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B6B92" w14:textId="0FA2BCB0" w:rsidR="007E74A7" w:rsidRPr="00263E24" w:rsidRDefault="00F305FB" w:rsidP="00263E24">
      <w:pPr>
        <w:pStyle w:val="Heading2"/>
        <w:jc w:val="center"/>
        <w:rPr>
          <w:rFonts w:ascii="Calibri Light" w:eastAsia="DengXian Light" w:hAnsi="Calibri Light" w:cs="Times New Roman"/>
          <w:b/>
          <w:color w:val="2F5496"/>
          <w:lang w:val="en-US"/>
        </w:rPr>
      </w:pPr>
      <w:r w:rsidRPr="00263E24">
        <w:rPr>
          <w:rFonts w:ascii="Calibri Light" w:eastAsia="DengXian Light" w:hAnsi="Calibri Light" w:cs="Times New Roman"/>
          <w:b/>
          <w:color w:val="2F5496"/>
          <w:lang w:val="en-US"/>
        </w:rPr>
        <w:t>DISABILITY</w:t>
      </w:r>
      <w:r w:rsidR="00B3591F" w:rsidRPr="00263E24">
        <w:rPr>
          <w:rFonts w:ascii="Calibri Light" w:eastAsia="DengXian Light" w:hAnsi="Calibri Light" w:cs="Times New Roman"/>
          <w:b/>
          <w:color w:val="2F5496"/>
          <w:lang w:val="en-US"/>
        </w:rPr>
        <w:t>-</w:t>
      </w:r>
      <w:r w:rsidRPr="00263E24">
        <w:rPr>
          <w:rFonts w:ascii="Calibri Light" w:eastAsia="DengXian Light" w:hAnsi="Calibri Light" w:cs="Times New Roman"/>
          <w:b/>
          <w:color w:val="2F5496"/>
          <w:lang w:val="en-US"/>
        </w:rPr>
        <w:t xml:space="preserve">INCLUSIVE </w:t>
      </w:r>
      <w:r w:rsidR="00B3591F" w:rsidRPr="00263E24">
        <w:rPr>
          <w:rFonts w:ascii="Calibri Light" w:eastAsia="DengXian Light" w:hAnsi="Calibri Light" w:cs="Times New Roman"/>
          <w:b/>
          <w:color w:val="2F5496"/>
          <w:lang w:val="en-US"/>
        </w:rPr>
        <w:t xml:space="preserve">COVID-19 </w:t>
      </w:r>
      <w:r w:rsidR="007E74A7" w:rsidRPr="00263E24">
        <w:rPr>
          <w:rFonts w:ascii="Calibri Light" w:eastAsia="DengXian Light" w:hAnsi="Calibri Light" w:cs="Times New Roman"/>
          <w:b/>
          <w:color w:val="2F5496"/>
          <w:lang w:val="en-US"/>
        </w:rPr>
        <w:t>RESPONSE AND RECOVERY</w:t>
      </w:r>
    </w:p>
    <w:p w14:paraId="617A8CD7" w14:textId="20ADEE29" w:rsidR="007E74A7" w:rsidRPr="0057398D" w:rsidRDefault="007E74A7" w:rsidP="00263E24">
      <w:pPr>
        <w:pStyle w:val="Heading2"/>
        <w:jc w:val="center"/>
      </w:pPr>
      <w:r w:rsidRPr="00263E24">
        <w:rPr>
          <w:rFonts w:ascii="Calibri Light" w:eastAsia="DengXian Light" w:hAnsi="Calibri Light" w:cs="Times New Roman"/>
          <w:b/>
          <w:color w:val="2F5496"/>
          <w:lang w:val="en-US"/>
        </w:rPr>
        <w:t xml:space="preserve">Key </w:t>
      </w:r>
      <w:r w:rsidR="00B3591F" w:rsidRPr="00263E24">
        <w:rPr>
          <w:rFonts w:ascii="Calibri Light" w:eastAsia="DengXian Light" w:hAnsi="Calibri Light" w:cs="Times New Roman"/>
          <w:b/>
          <w:color w:val="2F5496"/>
          <w:lang w:val="en-US"/>
        </w:rPr>
        <w:t>Messages</w:t>
      </w:r>
      <w:r w:rsidR="00847837" w:rsidRPr="0057398D">
        <w:rPr>
          <w:b/>
          <w:bCs/>
          <w:sz w:val="24"/>
          <w:szCs w:val="24"/>
        </w:rPr>
        <w:br/>
      </w:r>
    </w:p>
    <w:p w14:paraId="3579F4EA" w14:textId="77777777" w:rsidR="007E74A7" w:rsidRPr="00263E24" w:rsidRDefault="007E74A7" w:rsidP="007E74A7">
      <w:pPr>
        <w:rPr>
          <w:b/>
          <w:bCs/>
          <w:color w:val="2F5496"/>
          <w:u w:val="single"/>
        </w:rPr>
      </w:pPr>
      <w:r w:rsidRPr="00263E24">
        <w:rPr>
          <w:b/>
          <w:bCs/>
          <w:color w:val="2F5496"/>
          <w:u w:val="single"/>
        </w:rPr>
        <w:t>Background</w:t>
      </w:r>
    </w:p>
    <w:p w14:paraId="22B58290" w14:textId="77777777" w:rsidR="007E74A7" w:rsidRDefault="007E74A7" w:rsidP="007E74A7"/>
    <w:p w14:paraId="285E81B7" w14:textId="661AF28A" w:rsidR="00B0341D" w:rsidRDefault="00B0341D" w:rsidP="0057398D">
      <w:pPr>
        <w:pStyle w:val="ListParagraph"/>
        <w:numPr>
          <w:ilvl w:val="0"/>
          <w:numId w:val="1"/>
        </w:numPr>
        <w:tabs>
          <w:tab w:val="clear" w:pos="720"/>
          <w:tab w:val="num" w:pos="0"/>
        </w:tabs>
        <w:ind w:left="360"/>
      </w:pPr>
      <w:r>
        <w:t xml:space="preserve">At the beginning of April 2020, the coronavirus COVID-19 had infected over 1 million people in 204 countries and territories around the world. The pandemic’s disruption </w:t>
      </w:r>
      <w:r w:rsidR="00987B5F">
        <w:t xml:space="preserve">to </w:t>
      </w:r>
      <w:r>
        <w:t xml:space="preserve">economic activity has </w:t>
      </w:r>
      <w:r w:rsidR="00987B5F">
        <w:t>left</w:t>
      </w:r>
      <w:r>
        <w:t xml:space="preserve"> millions of workers unemployed, the </w:t>
      </w:r>
      <w:r w:rsidR="00662A03">
        <w:t xml:space="preserve">seen the </w:t>
      </w:r>
      <w:r>
        <w:t xml:space="preserve">collapse of trade, investment and financial markets over the course of few weeks. </w:t>
      </w:r>
      <w:r w:rsidR="0062413B">
        <w:t>C</w:t>
      </w:r>
      <w:r w:rsidR="0062413B" w:rsidRPr="0062413B">
        <w:t xml:space="preserve">ountries with existing humanitarian crises are particularly vulnerable, and less equipped </w:t>
      </w:r>
      <w:r w:rsidR="00D7698B">
        <w:t>to respond</w:t>
      </w:r>
      <w:r w:rsidR="0062413B" w:rsidRPr="0062413B">
        <w:t xml:space="preserve">. Humanitarian needs may also occur in other countries as a result of excessive pressure on health systems and the overall delivery of essential services, as well as secondary effects on employment, the economy and mobility, the rule of law, protection of human rights, and possible social discontent and unrest. </w:t>
      </w:r>
    </w:p>
    <w:p w14:paraId="4CA3142F" w14:textId="77777777" w:rsidR="0062413B" w:rsidRDefault="0062413B" w:rsidP="0057398D">
      <w:pPr>
        <w:pStyle w:val="ListParagraph"/>
        <w:ind w:left="360"/>
      </w:pPr>
    </w:p>
    <w:p w14:paraId="274A2C96" w14:textId="75FB78CF" w:rsidR="00B0341D" w:rsidRPr="001A4F4F" w:rsidRDefault="00B0341D" w:rsidP="0057398D">
      <w:pPr>
        <w:pStyle w:val="xmsolistparagraph"/>
        <w:numPr>
          <w:ilvl w:val="0"/>
          <w:numId w:val="1"/>
        </w:numPr>
        <w:tabs>
          <w:tab w:val="clear" w:pos="720"/>
          <w:tab w:val="num" w:pos="0"/>
        </w:tabs>
        <w:spacing w:before="0" w:beforeAutospacing="0" w:after="0" w:afterAutospacing="0"/>
        <w:ind w:left="360"/>
        <w:rPr>
          <w:rFonts w:eastAsia="Times New Roman"/>
        </w:rPr>
      </w:pPr>
      <w:r>
        <w:rPr>
          <w:rFonts w:eastAsia="Times New Roman"/>
        </w:rPr>
        <w:t>The Secretary</w:t>
      </w:r>
      <w:r w:rsidR="00662A03">
        <w:rPr>
          <w:rFonts w:eastAsia="Times New Roman"/>
        </w:rPr>
        <w:t>-</w:t>
      </w:r>
      <w:r>
        <w:rPr>
          <w:rFonts w:eastAsia="Times New Roman"/>
        </w:rPr>
        <w:t xml:space="preserve">General has outlined in his </w:t>
      </w:r>
      <w:r w:rsidR="00D610E5">
        <w:rPr>
          <w:rFonts w:eastAsia="Times New Roman"/>
        </w:rPr>
        <w:t>p</w:t>
      </w:r>
      <w:r>
        <w:rPr>
          <w:rFonts w:eastAsia="Times New Roman"/>
        </w:rPr>
        <w:t xml:space="preserve">olicy </w:t>
      </w:r>
      <w:r w:rsidR="00D610E5">
        <w:rPr>
          <w:rFonts w:eastAsia="Times New Roman"/>
        </w:rPr>
        <w:t>b</w:t>
      </w:r>
      <w:r>
        <w:rPr>
          <w:rFonts w:eastAsia="Times New Roman"/>
        </w:rPr>
        <w:t>rief</w:t>
      </w:r>
      <w:r w:rsidR="00D610E5">
        <w:rPr>
          <w:rFonts w:eastAsia="Times New Roman"/>
        </w:rPr>
        <w:t xml:space="preserve"> </w:t>
      </w:r>
      <w:r w:rsidR="00D610E5" w:rsidRPr="00F52403">
        <w:rPr>
          <w:rFonts w:eastAsia="Times New Roman"/>
        </w:rPr>
        <w:t>‘</w:t>
      </w:r>
      <w:hyperlink r:id="rId7" w:history="1">
        <w:r w:rsidR="00D62956" w:rsidRPr="00F52403">
          <w:rPr>
            <w:rStyle w:val="Hyperlink"/>
            <w:rFonts w:eastAsia="Times New Roman"/>
          </w:rPr>
          <w:t>A Disability-Inclusive Response to COVID-19</w:t>
        </w:r>
      </w:hyperlink>
      <w:r w:rsidR="00D62956" w:rsidRPr="00F52403">
        <w:rPr>
          <w:rFonts w:eastAsia="Times New Roman"/>
        </w:rPr>
        <w:t>’</w:t>
      </w:r>
      <w:r>
        <w:rPr>
          <w:rFonts w:eastAsia="Times New Roman"/>
        </w:rPr>
        <w:t xml:space="preserve"> how p</w:t>
      </w:r>
      <w:r w:rsidR="007E74A7">
        <w:rPr>
          <w:rFonts w:eastAsia="Times New Roman"/>
        </w:rPr>
        <w:t>ersons with disabilities are disproportionately affected by health, social and economic impacts of COVID-19</w:t>
      </w:r>
      <w:r>
        <w:rPr>
          <w:rFonts w:eastAsia="Times New Roman"/>
        </w:rPr>
        <w:t xml:space="preserve">. </w:t>
      </w:r>
      <w:r>
        <w:t xml:space="preserve">The impact of </w:t>
      </w:r>
      <w:r w:rsidR="00662A03">
        <w:t xml:space="preserve">the </w:t>
      </w:r>
      <w:r>
        <w:t xml:space="preserve">pandemic is heterogenous depending on regions, countries, sectors, and activities. </w:t>
      </w:r>
      <w:r w:rsidR="00662A03">
        <w:t>It is</w:t>
      </w:r>
      <w:r w:rsidR="007E74A7">
        <w:rPr>
          <w:rFonts w:eastAsia="Times New Roman"/>
        </w:rPr>
        <w:t xml:space="preserve"> even further exacerbated in humanitarian contexts</w:t>
      </w:r>
      <w:r>
        <w:rPr>
          <w:rFonts w:eastAsia="Times New Roman"/>
        </w:rPr>
        <w:t xml:space="preserve">, where </w:t>
      </w:r>
      <w:r w:rsidR="007E74A7">
        <w:rPr>
          <w:rFonts w:eastAsia="Times New Roman"/>
        </w:rPr>
        <w:t xml:space="preserve">persons with disabilities </w:t>
      </w:r>
      <w:r>
        <w:rPr>
          <w:rFonts w:eastAsia="Times New Roman"/>
        </w:rPr>
        <w:t xml:space="preserve">often </w:t>
      </w:r>
      <w:r w:rsidR="007E74A7">
        <w:rPr>
          <w:rFonts w:eastAsia="Times New Roman"/>
        </w:rPr>
        <w:t>face obstacles to accessing water, sanitation and hygiene facilities that are essential to prevention of COVID-19 infection.</w:t>
      </w:r>
      <w:r w:rsidR="00173BB5" w:rsidRPr="00173BB5">
        <w:rPr>
          <w:rFonts w:eastAsia="Times New Roman"/>
        </w:rPr>
        <w:t xml:space="preserve"> </w:t>
      </w:r>
      <w:r w:rsidR="00173BB5">
        <w:rPr>
          <w:rFonts w:eastAsia="Times New Roman"/>
        </w:rPr>
        <w:t>And school closures will result in children with disabilities being even further excluded from education, unless we take concrete steps to make learning inclusive.</w:t>
      </w:r>
      <w:r w:rsidR="00D62CDD">
        <w:rPr>
          <w:rFonts w:eastAsia="Times New Roman"/>
        </w:rPr>
        <w:t xml:space="preserve"> This also impacts women – mothers </w:t>
      </w:r>
      <w:r w:rsidR="00C633F8">
        <w:rPr>
          <w:rFonts w:eastAsia="Times New Roman"/>
        </w:rPr>
        <w:t xml:space="preserve">– who </w:t>
      </w:r>
      <w:r w:rsidR="00D62CDD">
        <w:rPr>
          <w:rFonts w:eastAsia="Times New Roman"/>
        </w:rPr>
        <w:t xml:space="preserve">support homeschooling for children with disabilities and carry the disproportionate share of care burden. </w:t>
      </w:r>
    </w:p>
    <w:p w14:paraId="639D4457" w14:textId="77777777" w:rsidR="0062413B" w:rsidRDefault="0062413B" w:rsidP="0057398D">
      <w:pPr>
        <w:pStyle w:val="ListParagraph"/>
        <w:ind w:left="360"/>
        <w:rPr>
          <w:rFonts w:eastAsia="Times New Roman"/>
        </w:rPr>
      </w:pPr>
    </w:p>
    <w:p w14:paraId="2353B33F" w14:textId="4B568341" w:rsidR="00B0341D" w:rsidRPr="0062413B" w:rsidRDefault="00323406" w:rsidP="0057398D">
      <w:pPr>
        <w:pStyle w:val="xmsolistparagraph"/>
        <w:numPr>
          <w:ilvl w:val="0"/>
          <w:numId w:val="1"/>
        </w:numPr>
        <w:tabs>
          <w:tab w:val="clear" w:pos="720"/>
          <w:tab w:val="num" w:pos="360"/>
        </w:tabs>
        <w:spacing w:before="0" w:beforeAutospacing="0" w:after="0" w:afterAutospacing="0"/>
        <w:ind w:left="360"/>
        <w:rPr>
          <w:rFonts w:eastAsia="Times New Roman"/>
        </w:rPr>
      </w:pPr>
      <w:r>
        <w:t xml:space="preserve">Mainstream COVID-19 </w:t>
      </w:r>
      <w:r w:rsidR="0062413B">
        <w:t>funding response has been swift, yet constrained by lack of information, field work restrictions and the overwhelming severity of the crisis. It is also</w:t>
      </w:r>
      <w:r w:rsidR="00B0341D">
        <w:t xml:space="preserve"> stymied by a prediction of reduced GDP and thus diminished ODA. This might result in a pivot to repurpose the bulk of overall funding for COVID-19 programming at the risk of </w:t>
      </w:r>
      <w:r w:rsidR="0062413B">
        <w:t xml:space="preserve">reduced funding availability for </w:t>
      </w:r>
      <w:r w:rsidR="00B0341D">
        <w:t>regular disability projects</w:t>
      </w:r>
      <w:r w:rsidR="0062413B">
        <w:t xml:space="preserve"> as well as </w:t>
      </w:r>
      <w:r w:rsidR="00B0341D">
        <w:t xml:space="preserve">thematic programme and advocacy components.  </w:t>
      </w:r>
    </w:p>
    <w:p w14:paraId="5D10321B" w14:textId="77777777" w:rsidR="0062413B" w:rsidRDefault="0062413B" w:rsidP="0057398D">
      <w:pPr>
        <w:pStyle w:val="ListParagraph"/>
        <w:ind w:left="360"/>
        <w:rPr>
          <w:rFonts w:eastAsia="Times New Roman"/>
        </w:rPr>
      </w:pPr>
    </w:p>
    <w:p w14:paraId="515F14D1" w14:textId="670FD660" w:rsidR="00F84E1E" w:rsidRDefault="007E74A7" w:rsidP="0057398D">
      <w:pPr>
        <w:pStyle w:val="ListParagraph"/>
        <w:numPr>
          <w:ilvl w:val="0"/>
          <w:numId w:val="1"/>
        </w:numPr>
        <w:tabs>
          <w:tab w:val="clear" w:pos="720"/>
          <w:tab w:val="num" w:pos="360"/>
        </w:tabs>
        <w:ind w:left="360"/>
        <w:rPr>
          <w:rFonts w:eastAsia="Times New Roman"/>
          <w:lang w:val="en-GB"/>
        </w:rPr>
      </w:pPr>
      <w:r w:rsidRPr="00F84E1E">
        <w:rPr>
          <w:rFonts w:eastAsia="Times New Roman"/>
          <w:lang w:val="en-GB"/>
        </w:rPr>
        <w:t xml:space="preserve">Persons with disabilities are not a homogeneous group; intersecting factors of risk, such as gender, age ethnicity or displacement status can compound discrimination faced when accessing the public health response and further deteriorate socio-economic resilience </w:t>
      </w:r>
      <w:r w:rsidR="00F305FB">
        <w:rPr>
          <w:rFonts w:eastAsia="Times New Roman"/>
          <w:lang w:val="en-GB"/>
        </w:rPr>
        <w:t>in general</w:t>
      </w:r>
      <w:r w:rsidR="002A3657">
        <w:rPr>
          <w:rFonts w:eastAsia="Times New Roman"/>
          <w:lang w:val="en-GB"/>
        </w:rPr>
        <w:t>,</w:t>
      </w:r>
      <w:r w:rsidR="00F305FB">
        <w:rPr>
          <w:rFonts w:eastAsia="Times New Roman"/>
          <w:lang w:val="en-GB"/>
        </w:rPr>
        <w:t xml:space="preserve"> and </w:t>
      </w:r>
      <w:r w:rsidRPr="00F84E1E">
        <w:rPr>
          <w:rFonts w:eastAsia="Times New Roman"/>
          <w:lang w:val="en-GB"/>
        </w:rPr>
        <w:t>in humanitarian contexts</w:t>
      </w:r>
      <w:r w:rsidR="00F305FB">
        <w:rPr>
          <w:rFonts w:eastAsia="Times New Roman"/>
          <w:lang w:val="en-GB"/>
        </w:rPr>
        <w:t xml:space="preserve"> in particular</w:t>
      </w:r>
      <w:r w:rsidR="00B0341D" w:rsidRPr="00F84E1E">
        <w:rPr>
          <w:rFonts w:eastAsia="Times New Roman"/>
          <w:lang w:val="en-GB"/>
        </w:rPr>
        <w:t xml:space="preserve">. </w:t>
      </w:r>
    </w:p>
    <w:p w14:paraId="47AE7C0E" w14:textId="77777777" w:rsidR="0062413B" w:rsidRPr="0062413B" w:rsidRDefault="0062413B" w:rsidP="0057398D">
      <w:pPr>
        <w:pStyle w:val="ListParagraph"/>
        <w:ind w:left="360"/>
        <w:rPr>
          <w:rFonts w:eastAsia="Times New Roman"/>
          <w:lang w:val="en-GB"/>
        </w:rPr>
      </w:pPr>
    </w:p>
    <w:p w14:paraId="0BD9EEAB" w14:textId="3769D62C" w:rsidR="00F84E1E" w:rsidRDefault="00F84E1E" w:rsidP="0057398D">
      <w:pPr>
        <w:pStyle w:val="ListParagraph"/>
        <w:numPr>
          <w:ilvl w:val="0"/>
          <w:numId w:val="1"/>
        </w:numPr>
        <w:tabs>
          <w:tab w:val="clear" w:pos="720"/>
          <w:tab w:val="num" w:pos="360"/>
        </w:tabs>
        <w:ind w:left="360"/>
      </w:pPr>
      <w:r>
        <w:t xml:space="preserve">Very few positive and normative lessons learnt exist from previous epidemics, (i.e. Ebola) in relation to the inclusion of persons with disabilities. </w:t>
      </w:r>
      <w:r w:rsidR="002A3657">
        <w:t xml:space="preserve">However, lessons </w:t>
      </w:r>
      <w:r>
        <w:t>learned from the inclusion of persons with disabilities in natural and manmade disasters show that a disability</w:t>
      </w:r>
      <w:r w:rsidR="002A3657">
        <w:t>-</w:t>
      </w:r>
      <w:r>
        <w:t xml:space="preserve">inclusive response to </w:t>
      </w:r>
      <w:r w:rsidR="002A3657">
        <w:t>COVID</w:t>
      </w:r>
      <w:r>
        <w:t>-19 is a better response for all.</w:t>
      </w:r>
    </w:p>
    <w:p w14:paraId="42A5D7D5" w14:textId="77777777" w:rsidR="00F84E1E" w:rsidRDefault="00F84E1E" w:rsidP="0057398D">
      <w:pPr>
        <w:pStyle w:val="xmsolistparagraph"/>
        <w:spacing w:before="0" w:beforeAutospacing="0" w:after="0" w:afterAutospacing="0"/>
        <w:rPr>
          <w:u w:val="single"/>
        </w:rPr>
      </w:pPr>
    </w:p>
    <w:p w14:paraId="6F55EBAE" w14:textId="724A2375" w:rsidR="007E74A7" w:rsidRPr="008B3948" w:rsidRDefault="007E74A7" w:rsidP="0057398D">
      <w:pPr>
        <w:pStyle w:val="xmsolistparagraph"/>
        <w:spacing w:before="0" w:beforeAutospacing="0" w:after="0" w:afterAutospacing="0"/>
        <w:rPr>
          <w:b/>
          <w:bCs/>
          <w:color w:val="2F5496"/>
          <w:u w:val="single"/>
        </w:rPr>
      </w:pPr>
      <w:r w:rsidRPr="008B3948">
        <w:rPr>
          <w:b/>
          <w:bCs/>
          <w:color w:val="2F5496"/>
          <w:u w:val="single"/>
        </w:rPr>
        <w:t xml:space="preserve">Key </w:t>
      </w:r>
      <w:r w:rsidR="002A3657" w:rsidRPr="008B3948">
        <w:rPr>
          <w:b/>
          <w:bCs/>
          <w:color w:val="2F5496"/>
          <w:u w:val="single"/>
        </w:rPr>
        <w:t>M</w:t>
      </w:r>
      <w:r w:rsidRPr="008B3948">
        <w:rPr>
          <w:b/>
          <w:bCs/>
          <w:color w:val="2F5496"/>
          <w:u w:val="single"/>
        </w:rPr>
        <w:t>essages</w:t>
      </w:r>
    </w:p>
    <w:p w14:paraId="4E3F623A" w14:textId="77777777" w:rsidR="007E74A7" w:rsidRDefault="007E74A7" w:rsidP="0057398D">
      <w:pPr>
        <w:pStyle w:val="xmsolistparagraph"/>
        <w:spacing w:before="0" w:beforeAutospacing="0" w:after="0" w:afterAutospacing="0"/>
        <w:ind w:left="360"/>
      </w:pPr>
    </w:p>
    <w:p w14:paraId="70A83A30" w14:textId="77777777" w:rsidR="00173BB5" w:rsidRDefault="00173BB5" w:rsidP="0057398D">
      <w:pPr>
        <w:pStyle w:val="xmsolistparagraph"/>
        <w:numPr>
          <w:ilvl w:val="0"/>
          <w:numId w:val="1"/>
        </w:numPr>
        <w:tabs>
          <w:tab w:val="clear" w:pos="720"/>
          <w:tab w:val="num" w:pos="360"/>
        </w:tabs>
        <w:spacing w:before="0" w:beforeAutospacing="0" w:after="0" w:afterAutospacing="0"/>
        <w:ind w:left="360"/>
        <w:rPr>
          <w:rFonts w:eastAsia="Times New Roman"/>
        </w:rPr>
      </w:pPr>
      <w:r>
        <w:rPr>
          <w:rFonts w:eastAsia="Times New Roman"/>
        </w:rPr>
        <w:t xml:space="preserve">Information about COVID-19 risk and prevention may not reach persons with disabilities if messages are not produced in accessible formats. </w:t>
      </w:r>
    </w:p>
    <w:p w14:paraId="00CD2B98" w14:textId="77777777" w:rsidR="00173BB5" w:rsidRPr="00B0341D" w:rsidRDefault="00173BB5" w:rsidP="0057398D">
      <w:pPr>
        <w:pStyle w:val="xmsolistparagraph"/>
        <w:spacing w:before="0" w:beforeAutospacing="0" w:after="0" w:afterAutospacing="0"/>
        <w:ind w:left="360"/>
        <w:rPr>
          <w:rFonts w:eastAsia="Times New Roman"/>
        </w:rPr>
      </w:pPr>
    </w:p>
    <w:p w14:paraId="5A0E05EA" w14:textId="3DAD618E" w:rsidR="007E74A7" w:rsidRDefault="007E74A7" w:rsidP="0057398D">
      <w:pPr>
        <w:pStyle w:val="xmsolistparagraph"/>
        <w:numPr>
          <w:ilvl w:val="0"/>
          <w:numId w:val="1"/>
        </w:numPr>
        <w:tabs>
          <w:tab w:val="clear" w:pos="720"/>
          <w:tab w:val="num" w:pos="360"/>
        </w:tabs>
        <w:spacing w:before="0" w:beforeAutospacing="0" w:after="0" w:afterAutospacing="0"/>
        <w:ind w:left="360"/>
        <w:rPr>
          <w:rFonts w:eastAsia="Times New Roman"/>
        </w:rPr>
      </w:pPr>
      <w:r>
        <w:rPr>
          <w:rFonts w:eastAsia="Times New Roman"/>
        </w:rPr>
        <w:t xml:space="preserve">Addressing the current challenges requires commitment and creativity. Most importantly, addressing these challenges requires engagement of persons with disabilities as actors in </w:t>
      </w:r>
      <w:r w:rsidR="00F305FB">
        <w:rPr>
          <w:rFonts w:eastAsia="Times New Roman"/>
        </w:rPr>
        <w:t xml:space="preserve">the health, </w:t>
      </w:r>
      <w:r w:rsidR="00F305FB">
        <w:rPr>
          <w:rFonts w:eastAsia="Times New Roman"/>
        </w:rPr>
        <w:lastRenderedPageBreak/>
        <w:t xml:space="preserve">socio economic and </w:t>
      </w:r>
      <w:r>
        <w:rPr>
          <w:rFonts w:eastAsia="Times New Roman"/>
        </w:rPr>
        <w:t>humanitarian response. One concrete action that can and should be taken by country and regional offices is to reach out to local organizations of persons with disabilities (OPDs) and engage them in assessing risks and designing an inclusive response. This engagement should involve a mutual exchange of expertise, including capacity building of OPD partners</w:t>
      </w:r>
      <w:r w:rsidR="00B0341D">
        <w:rPr>
          <w:rFonts w:eastAsia="Times New Roman"/>
        </w:rPr>
        <w:t>.</w:t>
      </w:r>
    </w:p>
    <w:p w14:paraId="6705B57A" w14:textId="77777777" w:rsidR="00B0341D" w:rsidRDefault="00B0341D" w:rsidP="0057398D">
      <w:pPr>
        <w:pStyle w:val="xmsolistparagraph"/>
        <w:spacing w:before="0" w:beforeAutospacing="0" w:after="0" w:afterAutospacing="0"/>
        <w:ind w:left="360"/>
        <w:rPr>
          <w:rFonts w:eastAsia="Times New Roman"/>
        </w:rPr>
      </w:pPr>
    </w:p>
    <w:p w14:paraId="0E9B999B" w14:textId="1D5C8B38" w:rsidR="000F2699" w:rsidRDefault="007E74A7" w:rsidP="0057398D">
      <w:pPr>
        <w:pStyle w:val="xmsolistparagraph"/>
        <w:spacing w:before="0" w:beforeAutospacing="0" w:after="0" w:afterAutospacing="0"/>
        <w:ind w:left="360"/>
        <w:rPr>
          <w:rFonts w:eastAsia="Times New Roman"/>
        </w:rPr>
      </w:pPr>
      <w:r w:rsidRPr="000F2699">
        <w:rPr>
          <w:rFonts w:eastAsia="Times New Roman"/>
        </w:rPr>
        <w:t xml:space="preserve">Another key action for ensuring that our response to COVID-19 is inclusive is to prioritize the collection and use of data disaggregated by disability. This is essential to understanding how persons with disabilities are differently impacted by COVID-19 and to monitoring how the response is reaching persons with disabilities. </w:t>
      </w:r>
      <w:r w:rsidR="00173BB5">
        <w:t>The lack of disability</w:t>
      </w:r>
      <w:r w:rsidR="00575C02">
        <w:t>-</w:t>
      </w:r>
      <w:r w:rsidR="00173BB5">
        <w:t>inclusive information and knowledge, including on specific challenges faced by women and girls with disabilities, hampers the design of responses</w:t>
      </w:r>
      <w:r w:rsidR="000F2699">
        <w:t>.</w:t>
      </w:r>
    </w:p>
    <w:p w14:paraId="3D41E2C3" w14:textId="77777777" w:rsidR="00B0341D" w:rsidRPr="000F2699" w:rsidRDefault="00B0341D" w:rsidP="0057398D">
      <w:pPr>
        <w:pStyle w:val="xmsolistparagraph"/>
        <w:spacing w:before="0" w:beforeAutospacing="0" w:after="0" w:afterAutospacing="0"/>
        <w:ind w:left="360"/>
        <w:rPr>
          <w:rFonts w:eastAsia="Times New Roman"/>
        </w:rPr>
      </w:pPr>
    </w:p>
    <w:p w14:paraId="23A516E0" w14:textId="79FDCD2C" w:rsidR="007E74A7" w:rsidRPr="0057398D" w:rsidRDefault="007E74A7" w:rsidP="0057398D">
      <w:pPr>
        <w:pStyle w:val="xmsolistparagraph"/>
        <w:numPr>
          <w:ilvl w:val="0"/>
          <w:numId w:val="1"/>
        </w:numPr>
        <w:tabs>
          <w:tab w:val="clear" w:pos="720"/>
          <w:tab w:val="num" w:pos="360"/>
        </w:tabs>
        <w:spacing w:before="0" w:beforeAutospacing="0" w:after="0" w:afterAutospacing="0"/>
        <w:ind w:left="354" w:hanging="357"/>
        <w:rPr>
          <w:rFonts w:eastAsia="Times New Roman"/>
        </w:rPr>
      </w:pPr>
      <w:r>
        <w:rPr>
          <w:rFonts w:eastAsia="Times New Roman"/>
        </w:rPr>
        <w:t>It is essential that inclusion of persons with disabilities in the COVID-19 response be considered throughout all stages of the Humanitarian Programme Cycle, starting from needs assessment. As we are entering the process of needs analysis for 2021 H</w:t>
      </w:r>
      <w:r w:rsidR="000F2699">
        <w:rPr>
          <w:rFonts w:eastAsia="Times New Roman"/>
        </w:rPr>
        <w:t xml:space="preserve">umanitarian </w:t>
      </w:r>
      <w:r>
        <w:rPr>
          <w:rFonts w:eastAsia="Times New Roman"/>
        </w:rPr>
        <w:t>N</w:t>
      </w:r>
      <w:r w:rsidR="000F2699">
        <w:rPr>
          <w:rFonts w:eastAsia="Times New Roman"/>
        </w:rPr>
        <w:t xml:space="preserve">eeds </w:t>
      </w:r>
      <w:r>
        <w:rPr>
          <w:rFonts w:eastAsia="Times New Roman"/>
        </w:rPr>
        <w:t>O</w:t>
      </w:r>
      <w:r w:rsidR="000F2699">
        <w:rPr>
          <w:rFonts w:eastAsia="Times New Roman"/>
        </w:rPr>
        <w:t>verview</w:t>
      </w:r>
      <w:r>
        <w:rPr>
          <w:rFonts w:eastAsia="Times New Roman"/>
        </w:rPr>
        <w:t>s</w:t>
      </w:r>
      <w:r w:rsidR="000F2699">
        <w:rPr>
          <w:rFonts w:eastAsia="Times New Roman"/>
        </w:rPr>
        <w:t xml:space="preserve"> (HNOs)</w:t>
      </w:r>
      <w:r>
        <w:rPr>
          <w:rFonts w:eastAsia="Times New Roman"/>
        </w:rPr>
        <w:t>, we need to be looking at how to make this process inclusive, such as by ensuring that any consultation with affected populations includes persons with disabilities.</w:t>
      </w:r>
      <w:r>
        <w:rPr>
          <w:rFonts w:eastAsia="Times New Roman"/>
          <w:color w:val="C82613"/>
        </w:rPr>
        <w:t xml:space="preserve"> </w:t>
      </w:r>
      <w:r>
        <w:rPr>
          <w:rFonts w:eastAsia="Times New Roman"/>
        </w:rPr>
        <w:t xml:space="preserve">Tools and resources to guide operations on doing this already exist and can be used in the context of the COVID-19 pandemic. </w:t>
      </w:r>
      <w:r w:rsidRPr="00F52403">
        <w:rPr>
          <w:rFonts w:eastAsia="Times New Roman"/>
        </w:rPr>
        <w:t xml:space="preserve">The </w:t>
      </w:r>
      <w:hyperlink r:id="rId8" w:history="1">
        <w:r w:rsidRPr="00F52403">
          <w:rPr>
            <w:rStyle w:val="Hyperlink"/>
            <w:rFonts w:eastAsia="Times New Roman"/>
          </w:rPr>
          <w:t>IASC Guidelines on Inclusion of Persons with Disabilities in Humanitarian Action</w:t>
        </w:r>
      </w:hyperlink>
      <w:r>
        <w:rPr>
          <w:rFonts w:eastAsia="Times New Roman"/>
        </w:rPr>
        <w:t xml:space="preserve"> provide an important guiding framework and the note on </w:t>
      </w:r>
      <w:r w:rsidR="00D62956" w:rsidRPr="00F52403">
        <w:rPr>
          <w:rFonts w:eastAsia="Times New Roman"/>
        </w:rPr>
        <w:t>‘</w:t>
      </w:r>
      <w:hyperlink r:id="rId9" w:history="1">
        <w:r w:rsidR="00DF5BDF" w:rsidRPr="00F52403">
          <w:rPr>
            <w:rStyle w:val="Hyperlink"/>
            <w:rFonts w:eastAsia="Times New Roman"/>
          </w:rPr>
          <w:t xml:space="preserve">Applying </w:t>
        </w:r>
        <w:r w:rsidRPr="00F52403">
          <w:rPr>
            <w:rStyle w:val="Hyperlink"/>
            <w:rFonts w:eastAsia="Times New Roman"/>
          </w:rPr>
          <w:t xml:space="preserve">the IASC Guidelines to the COVID-19 </w:t>
        </w:r>
        <w:r w:rsidR="00DF5BDF" w:rsidRPr="00F52403">
          <w:rPr>
            <w:rStyle w:val="Hyperlink"/>
            <w:rFonts w:eastAsia="Times New Roman"/>
          </w:rPr>
          <w:t>R</w:t>
        </w:r>
        <w:r w:rsidRPr="00F52403">
          <w:rPr>
            <w:rStyle w:val="Hyperlink"/>
            <w:rFonts w:eastAsia="Times New Roman"/>
          </w:rPr>
          <w:t>esponse</w:t>
        </w:r>
      </w:hyperlink>
      <w:r w:rsidR="00D62956" w:rsidRPr="00F52403">
        <w:rPr>
          <w:rFonts w:eastAsia="Times New Roman"/>
        </w:rPr>
        <w:t>’</w:t>
      </w:r>
      <w:r>
        <w:rPr>
          <w:rFonts w:eastAsia="Times New Roman"/>
        </w:rPr>
        <w:t xml:space="preserve"> should be used to identify concrete actions that we can integrate into programming at country and multi-country levels</w:t>
      </w:r>
      <w:r w:rsidR="00DF5BDF">
        <w:rPr>
          <w:rFonts w:eastAsia="Times New Roman"/>
        </w:rPr>
        <w:t>.</w:t>
      </w:r>
    </w:p>
    <w:p w14:paraId="45DB46AE" w14:textId="77777777" w:rsidR="00F305FB" w:rsidRDefault="00F305FB" w:rsidP="0057398D">
      <w:pPr>
        <w:pStyle w:val="ListParagraph"/>
        <w:ind w:left="360"/>
        <w:rPr>
          <w:rFonts w:eastAsia="Times New Roman"/>
        </w:rPr>
      </w:pPr>
    </w:p>
    <w:p w14:paraId="026DB592" w14:textId="003B5EA6" w:rsidR="00F305FB" w:rsidRPr="007F7124" w:rsidRDefault="00F305FB" w:rsidP="0057398D">
      <w:pPr>
        <w:pStyle w:val="xmsolistparagraph"/>
        <w:numPr>
          <w:ilvl w:val="0"/>
          <w:numId w:val="1"/>
        </w:numPr>
        <w:tabs>
          <w:tab w:val="clear" w:pos="720"/>
          <w:tab w:val="num" w:pos="360"/>
        </w:tabs>
        <w:spacing w:before="0" w:beforeAutospacing="0" w:after="0" w:afterAutospacing="0"/>
        <w:ind w:left="354" w:hanging="357"/>
        <w:rPr>
          <w:rFonts w:eastAsia="Times New Roman"/>
        </w:rPr>
      </w:pPr>
      <w:r>
        <w:rPr>
          <w:rFonts w:eastAsia="Times New Roman"/>
        </w:rPr>
        <w:t>Similarly, disability inclusion needs to be a key element in the design of the socio</w:t>
      </w:r>
      <w:r w:rsidR="00DF5BDF">
        <w:rPr>
          <w:rFonts w:eastAsia="Times New Roman"/>
        </w:rPr>
        <w:t>-</w:t>
      </w:r>
      <w:r>
        <w:rPr>
          <w:rFonts w:eastAsia="Times New Roman"/>
        </w:rPr>
        <w:t>economic response and recovery. This starts with the socio</w:t>
      </w:r>
      <w:r w:rsidR="00DF5BDF">
        <w:rPr>
          <w:rFonts w:eastAsia="Times New Roman"/>
        </w:rPr>
        <w:t>-</w:t>
      </w:r>
      <w:r>
        <w:rPr>
          <w:rFonts w:eastAsia="Times New Roman"/>
        </w:rPr>
        <w:t>eco</w:t>
      </w:r>
      <w:r w:rsidR="00D2641A">
        <w:rPr>
          <w:rFonts w:eastAsia="Times New Roman"/>
        </w:rPr>
        <w:t>n</w:t>
      </w:r>
      <w:r>
        <w:rPr>
          <w:rFonts w:eastAsia="Times New Roman"/>
        </w:rPr>
        <w:t>omic assessments which need to include an analysis of the situation of persons with disabilities and recommendations which will set the basis for the relevant response and recovery plans.</w:t>
      </w:r>
      <w:r w:rsidR="004C7737">
        <w:rPr>
          <w:rFonts w:eastAsia="Times New Roman"/>
        </w:rPr>
        <w:t xml:space="preserve"> Such economic assessment must carefully assess the economic price of disproportionate care burden that women play in both family and other social settings.</w:t>
      </w:r>
    </w:p>
    <w:p w14:paraId="0F6B6685" w14:textId="77777777" w:rsidR="007F7124" w:rsidRDefault="007F7124" w:rsidP="0057398D">
      <w:pPr>
        <w:pStyle w:val="ListParagraph"/>
        <w:ind w:left="360"/>
        <w:rPr>
          <w:rFonts w:eastAsia="Times New Roman"/>
        </w:rPr>
      </w:pPr>
    </w:p>
    <w:p w14:paraId="2648B94F" w14:textId="6628A4CC" w:rsidR="007E74A7" w:rsidRDefault="007F7124" w:rsidP="0057398D">
      <w:pPr>
        <w:pStyle w:val="xmsolistparagraph"/>
        <w:numPr>
          <w:ilvl w:val="0"/>
          <w:numId w:val="1"/>
        </w:numPr>
        <w:tabs>
          <w:tab w:val="clear" w:pos="720"/>
          <w:tab w:val="num" w:pos="360"/>
        </w:tabs>
        <w:spacing w:before="0" w:beforeAutospacing="0" w:after="0" w:afterAutospacing="0"/>
        <w:ind w:left="360"/>
        <w:rPr>
          <w:rFonts w:eastAsia="Times New Roman"/>
        </w:rPr>
      </w:pPr>
      <w:r w:rsidRPr="007F7124">
        <w:rPr>
          <w:rFonts w:eastAsia="Times New Roman"/>
        </w:rPr>
        <w:t xml:space="preserve">In </w:t>
      </w:r>
      <w:r w:rsidR="007E74A7" w:rsidRPr="007F7124">
        <w:rPr>
          <w:rFonts w:eastAsia="Times New Roman"/>
        </w:rPr>
        <w:t xml:space="preserve">recent years, there has been significant momentum on inclusion of persons with disabilities in </w:t>
      </w:r>
      <w:r w:rsidR="00F305FB">
        <w:rPr>
          <w:rFonts w:eastAsia="Times New Roman"/>
        </w:rPr>
        <w:t xml:space="preserve">development and </w:t>
      </w:r>
      <w:r w:rsidR="007E74A7" w:rsidRPr="007F7124">
        <w:rPr>
          <w:rFonts w:eastAsia="Times New Roman"/>
        </w:rPr>
        <w:t xml:space="preserve">humanitarian action and it is important that this global momentum translates to change ‘on the ground’ and that the current crisis does not prevent us from maintaining important gains. </w:t>
      </w:r>
    </w:p>
    <w:p w14:paraId="4EF9DFFE" w14:textId="77777777" w:rsidR="007F7124" w:rsidRDefault="007F7124" w:rsidP="0057398D">
      <w:pPr>
        <w:pStyle w:val="ListParagraph"/>
        <w:ind w:left="360"/>
        <w:rPr>
          <w:rFonts w:eastAsia="Times New Roman"/>
        </w:rPr>
      </w:pPr>
    </w:p>
    <w:p w14:paraId="6312FA5F" w14:textId="4706ADC8" w:rsidR="007F7124" w:rsidRPr="007F7124" w:rsidRDefault="007F7124" w:rsidP="0057398D">
      <w:pPr>
        <w:pStyle w:val="xmsolistparagraph"/>
        <w:numPr>
          <w:ilvl w:val="0"/>
          <w:numId w:val="1"/>
        </w:numPr>
        <w:tabs>
          <w:tab w:val="clear" w:pos="720"/>
          <w:tab w:val="num" w:pos="360"/>
        </w:tabs>
        <w:spacing w:before="0" w:beforeAutospacing="0" w:after="0" w:afterAutospacing="0"/>
        <w:ind w:left="360"/>
        <w:rPr>
          <w:rFonts w:eastAsia="Times New Roman"/>
        </w:rPr>
      </w:pPr>
      <w:r>
        <w:t>Disability</w:t>
      </w:r>
      <w:r w:rsidR="00D610E5">
        <w:t>-</w:t>
      </w:r>
      <w:r>
        <w:t xml:space="preserve">inclusive strategies </w:t>
      </w:r>
      <w:r w:rsidR="00F305FB">
        <w:t xml:space="preserve">need to be </w:t>
      </w:r>
      <w:r>
        <w:t xml:space="preserve">embedded in </w:t>
      </w:r>
      <w:r w:rsidR="00F305FB">
        <w:t>all stages of the response and recovery and will</w:t>
      </w:r>
      <w:r w:rsidR="00D610E5">
        <w:t xml:space="preserve"> </w:t>
      </w:r>
      <w:r w:rsidR="00F305FB">
        <w:t>cr</w:t>
      </w:r>
      <w:r w:rsidR="00D610E5">
        <w:t>e</w:t>
      </w:r>
      <w:r w:rsidR="00F305FB">
        <w:t xml:space="preserve">ate the basis for </w:t>
      </w:r>
      <w:r>
        <w:t>building back better.</w:t>
      </w:r>
      <w:r w:rsidR="00F305FB">
        <w:t xml:space="preserve"> A disability</w:t>
      </w:r>
      <w:r w:rsidR="00D610E5">
        <w:t>-</w:t>
      </w:r>
      <w:r w:rsidR="00F305FB">
        <w:t>inclusive response is a better response for everybody.</w:t>
      </w:r>
    </w:p>
    <w:sectPr w:rsidR="007F7124" w:rsidRPr="007F7124">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24F86" w14:textId="77777777" w:rsidR="000B35D7" w:rsidRDefault="000B35D7" w:rsidP="00B0341D">
      <w:r>
        <w:separator/>
      </w:r>
    </w:p>
  </w:endnote>
  <w:endnote w:type="continuationSeparator" w:id="0">
    <w:p w14:paraId="0630F5AE" w14:textId="77777777" w:rsidR="000B35D7" w:rsidRDefault="000B35D7" w:rsidP="00B0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F31C2" w14:textId="77777777" w:rsidR="000B35D7" w:rsidRDefault="000B35D7" w:rsidP="00B0341D">
      <w:r>
        <w:separator/>
      </w:r>
    </w:p>
  </w:footnote>
  <w:footnote w:type="continuationSeparator" w:id="0">
    <w:p w14:paraId="1D4DB5FF" w14:textId="77777777" w:rsidR="000B35D7" w:rsidRDefault="000B35D7" w:rsidP="00B0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243F" w14:textId="404E5A86" w:rsidR="00AB6950" w:rsidRPr="0057398D" w:rsidRDefault="00A96588">
    <w:pPr>
      <w:pStyle w:val="Header"/>
      <w:rPr>
        <w:sz w:val="20"/>
        <w:szCs w:val="20"/>
      </w:rPr>
    </w:pPr>
    <w:r w:rsidRPr="0057398D">
      <w:rPr>
        <w:sz w:val="20"/>
        <w:szCs w:val="20"/>
      </w:rPr>
      <w:t>Inter-Agency Working Group on Disability-Inclusive COVID-19 Response and Recovery</w:t>
    </w:r>
    <w:r>
      <w:rPr>
        <w:sz w:val="20"/>
        <w:szCs w:val="20"/>
      </w:rPr>
      <w:br/>
      <w:t>J</w:t>
    </w:r>
    <w:r w:rsidR="00C46A39">
      <w:rPr>
        <w:sz w:val="20"/>
        <w:szCs w:val="20"/>
      </w:rPr>
      <w:t>uly</w:t>
    </w:r>
    <w:r>
      <w:rPr>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038A8"/>
    <w:multiLevelType w:val="multilevel"/>
    <w:tmpl w:val="8514D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A7"/>
    <w:rsid w:val="00060290"/>
    <w:rsid w:val="000B35D7"/>
    <w:rsid w:val="000F2699"/>
    <w:rsid w:val="00173BB5"/>
    <w:rsid w:val="001A4F4F"/>
    <w:rsid w:val="00263E24"/>
    <w:rsid w:val="002A3657"/>
    <w:rsid w:val="002B4884"/>
    <w:rsid w:val="00323406"/>
    <w:rsid w:val="0034178B"/>
    <w:rsid w:val="004C7737"/>
    <w:rsid w:val="0051327B"/>
    <w:rsid w:val="0057398D"/>
    <w:rsid w:val="00575C02"/>
    <w:rsid w:val="0062413B"/>
    <w:rsid w:val="00662A03"/>
    <w:rsid w:val="006A2DFC"/>
    <w:rsid w:val="007048D7"/>
    <w:rsid w:val="0071079D"/>
    <w:rsid w:val="0074061B"/>
    <w:rsid w:val="007E74A7"/>
    <w:rsid w:val="007F7124"/>
    <w:rsid w:val="00847837"/>
    <w:rsid w:val="008B3948"/>
    <w:rsid w:val="00920A94"/>
    <w:rsid w:val="00921B44"/>
    <w:rsid w:val="009526D3"/>
    <w:rsid w:val="00987B5F"/>
    <w:rsid w:val="00A96588"/>
    <w:rsid w:val="00AB6950"/>
    <w:rsid w:val="00AF50A2"/>
    <w:rsid w:val="00B0341D"/>
    <w:rsid w:val="00B3591F"/>
    <w:rsid w:val="00B80195"/>
    <w:rsid w:val="00C46A39"/>
    <w:rsid w:val="00C633F8"/>
    <w:rsid w:val="00D2641A"/>
    <w:rsid w:val="00D610E5"/>
    <w:rsid w:val="00D62956"/>
    <w:rsid w:val="00D62CDD"/>
    <w:rsid w:val="00D7698B"/>
    <w:rsid w:val="00DF5BDF"/>
    <w:rsid w:val="00E33971"/>
    <w:rsid w:val="00F305FB"/>
    <w:rsid w:val="00F52403"/>
    <w:rsid w:val="00F84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CC892"/>
  <w15:chartTrackingRefBased/>
  <w15:docId w15:val="{C23B340B-C8F3-46E7-A175-412C5B50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4A7"/>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263E2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7E74A7"/>
    <w:pPr>
      <w:spacing w:before="100" w:beforeAutospacing="1" w:after="100" w:afterAutospacing="1"/>
    </w:pPr>
  </w:style>
  <w:style w:type="paragraph" w:styleId="Header">
    <w:name w:val="header"/>
    <w:basedOn w:val="Normal"/>
    <w:link w:val="HeaderChar"/>
    <w:uiPriority w:val="99"/>
    <w:unhideWhenUsed/>
    <w:rsid w:val="00B0341D"/>
    <w:pPr>
      <w:tabs>
        <w:tab w:val="center" w:pos="4680"/>
        <w:tab w:val="right" w:pos="9360"/>
      </w:tabs>
    </w:pPr>
  </w:style>
  <w:style w:type="character" w:customStyle="1" w:styleId="HeaderChar">
    <w:name w:val="Header Char"/>
    <w:basedOn w:val="DefaultParagraphFont"/>
    <w:link w:val="Header"/>
    <w:uiPriority w:val="99"/>
    <w:rsid w:val="00B0341D"/>
    <w:rPr>
      <w:rFonts w:ascii="Calibri" w:hAnsi="Calibri" w:cs="Calibri"/>
    </w:rPr>
  </w:style>
  <w:style w:type="paragraph" w:styleId="Footer">
    <w:name w:val="footer"/>
    <w:basedOn w:val="Normal"/>
    <w:link w:val="FooterChar"/>
    <w:uiPriority w:val="99"/>
    <w:unhideWhenUsed/>
    <w:rsid w:val="00B0341D"/>
    <w:pPr>
      <w:tabs>
        <w:tab w:val="center" w:pos="4680"/>
        <w:tab w:val="right" w:pos="9360"/>
      </w:tabs>
    </w:pPr>
  </w:style>
  <w:style w:type="character" w:customStyle="1" w:styleId="FooterChar">
    <w:name w:val="Footer Char"/>
    <w:basedOn w:val="DefaultParagraphFont"/>
    <w:link w:val="Footer"/>
    <w:uiPriority w:val="99"/>
    <w:rsid w:val="00B0341D"/>
    <w:rPr>
      <w:rFonts w:ascii="Calibri" w:hAnsi="Calibri" w:cs="Calibri"/>
    </w:rPr>
  </w:style>
  <w:style w:type="paragraph" w:styleId="ListParagraph">
    <w:name w:val="List Paragraph"/>
    <w:basedOn w:val="Normal"/>
    <w:uiPriority w:val="34"/>
    <w:qFormat/>
    <w:rsid w:val="00B0341D"/>
    <w:pPr>
      <w:ind w:left="720"/>
      <w:contextualSpacing/>
    </w:pPr>
  </w:style>
  <w:style w:type="character" w:styleId="CommentReference">
    <w:name w:val="annotation reference"/>
    <w:basedOn w:val="DefaultParagraphFont"/>
    <w:uiPriority w:val="99"/>
    <w:semiHidden/>
    <w:unhideWhenUsed/>
    <w:rsid w:val="00B0341D"/>
    <w:rPr>
      <w:sz w:val="18"/>
      <w:szCs w:val="18"/>
    </w:rPr>
  </w:style>
  <w:style w:type="paragraph" w:styleId="CommentText">
    <w:name w:val="annotation text"/>
    <w:basedOn w:val="Normal"/>
    <w:link w:val="CommentTextChar"/>
    <w:uiPriority w:val="99"/>
    <w:semiHidden/>
    <w:unhideWhenUsed/>
    <w:rsid w:val="00B0341D"/>
    <w:pPr>
      <w:spacing w:after="160"/>
    </w:pPr>
    <w:rPr>
      <w:rFonts w:asciiTheme="minorHAnsi" w:hAnsiTheme="minorHAnsi" w:cstheme="minorBidi"/>
      <w:sz w:val="24"/>
      <w:szCs w:val="24"/>
    </w:rPr>
  </w:style>
  <w:style w:type="character" w:customStyle="1" w:styleId="CommentTextChar">
    <w:name w:val="Comment Text Char"/>
    <w:basedOn w:val="DefaultParagraphFont"/>
    <w:link w:val="CommentText"/>
    <w:uiPriority w:val="99"/>
    <w:semiHidden/>
    <w:rsid w:val="00B0341D"/>
    <w:rPr>
      <w:sz w:val="24"/>
      <w:szCs w:val="24"/>
    </w:rPr>
  </w:style>
  <w:style w:type="paragraph" w:styleId="BalloonText">
    <w:name w:val="Balloon Text"/>
    <w:basedOn w:val="Normal"/>
    <w:link w:val="BalloonTextChar"/>
    <w:uiPriority w:val="99"/>
    <w:semiHidden/>
    <w:unhideWhenUsed/>
    <w:rsid w:val="00B0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05FB"/>
    <w:pPr>
      <w:spacing w:after="0"/>
    </w:pPr>
    <w:rPr>
      <w:rFonts w:ascii="Calibri" w:hAnsi="Calibri" w:cs="Calibri"/>
      <w:b/>
      <w:bCs/>
      <w:sz w:val="20"/>
      <w:szCs w:val="20"/>
    </w:rPr>
  </w:style>
  <w:style w:type="character" w:customStyle="1" w:styleId="CommentSubjectChar">
    <w:name w:val="Comment Subject Char"/>
    <w:basedOn w:val="CommentTextChar"/>
    <w:link w:val="CommentSubject"/>
    <w:uiPriority w:val="99"/>
    <w:semiHidden/>
    <w:rsid w:val="00F305FB"/>
    <w:rPr>
      <w:rFonts w:ascii="Calibri" w:hAnsi="Calibri" w:cs="Calibri"/>
      <w:b/>
      <w:bCs/>
      <w:sz w:val="20"/>
      <w:szCs w:val="20"/>
    </w:rPr>
  </w:style>
  <w:style w:type="character" w:styleId="Hyperlink">
    <w:name w:val="Hyperlink"/>
    <w:basedOn w:val="DefaultParagraphFont"/>
    <w:uiPriority w:val="99"/>
    <w:unhideWhenUsed/>
    <w:rsid w:val="00921B44"/>
    <w:rPr>
      <w:color w:val="0563C1" w:themeColor="hyperlink"/>
      <w:u w:val="single"/>
    </w:rPr>
  </w:style>
  <w:style w:type="character" w:styleId="UnresolvedMention">
    <w:name w:val="Unresolved Mention"/>
    <w:basedOn w:val="DefaultParagraphFont"/>
    <w:uiPriority w:val="99"/>
    <w:semiHidden/>
    <w:unhideWhenUsed/>
    <w:rsid w:val="00921B44"/>
    <w:rPr>
      <w:color w:val="605E5C"/>
      <w:shd w:val="clear" w:color="auto" w:fill="E1DFDD"/>
    </w:rPr>
  </w:style>
  <w:style w:type="paragraph" w:styleId="Revision">
    <w:name w:val="Revision"/>
    <w:hidden/>
    <w:uiPriority w:val="99"/>
    <w:semiHidden/>
    <w:rsid w:val="0051327B"/>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263E24"/>
    <w:rPr>
      <w:rFonts w:asciiTheme="majorHAnsi" w:eastAsiaTheme="majorEastAsia" w:hAnsiTheme="majorHAnsi" w:cstheme="majorBidi"/>
      <w:color w:val="2F5496" w:themeColor="accent1" w:themeShade="BF"/>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gencystandingcommittee.org/system/files/2019-11/IASC%20Guidelines%20on%20the%20Inclusion%20of%20Persons%20with%20Disabilities%20in%20Humanitarian%20Action%2C%202019.pdf" TargetMode="External"/><Relationship Id="rId3" Type="http://schemas.openxmlformats.org/officeDocument/2006/relationships/settings" Target="settings.xml"/><Relationship Id="rId7" Type="http://schemas.openxmlformats.org/officeDocument/2006/relationships/hyperlink" Target="https://www.un.org/sites/un2.un.org/files/sg_policy_brief_on_persons_with_disabilities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agencystandingcommittee.org/iasc-task-team-inclusion-persons-disabilities-humanitarian-action/iasc-key-messages-applying-i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 Muyser</dc:creator>
  <cp:keywords/>
  <dc:description/>
  <cp:lastModifiedBy>Georgia Dominik</cp:lastModifiedBy>
  <cp:revision>11</cp:revision>
  <dcterms:created xsi:type="dcterms:W3CDTF">2020-07-07T19:46:00Z</dcterms:created>
  <dcterms:modified xsi:type="dcterms:W3CDTF">2020-07-08T14:04:00Z</dcterms:modified>
</cp:coreProperties>
</file>