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0FCC" w14:textId="77777777" w:rsidR="008B0B0F" w:rsidRDefault="008B0B0F" w:rsidP="008B0B0F">
      <w:pPr>
        <w:spacing w:after="0"/>
        <w:jc w:val="center"/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</w:pPr>
      <w:r w:rsidRPr="008B0B0F"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  <w:t xml:space="preserve">Third Global Conference on Strengthening Synergies </w:t>
      </w:r>
    </w:p>
    <w:p w14:paraId="1AB5DBAC" w14:textId="4DEEB044" w:rsidR="008B0B0F" w:rsidRPr="008B0B0F" w:rsidRDefault="008B0B0F" w:rsidP="008B0B0F">
      <w:pPr>
        <w:jc w:val="center"/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</w:pPr>
      <w:r w:rsidRPr="008B0B0F"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  <w:t xml:space="preserve">between the Paris Agreement and the </w:t>
      </w:r>
      <w:r w:rsidR="00D11128"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  <w:t>2030 Agenda</w:t>
      </w:r>
      <w:r w:rsidRPr="008B0B0F">
        <w:rPr>
          <w:rFonts w:ascii="Segoe UI" w:eastAsia="Segoe UI" w:hAnsi="Segoe UI" w:cs="Segoe UI"/>
          <w:b/>
          <w:bCs/>
          <w:color w:val="2E74B5" w:themeColor="accent5" w:themeShade="BF"/>
          <w:sz w:val="28"/>
          <w:szCs w:val="28"/>
          <w:lang w:val="en-US"/>
        </w:rPr>
        <w:t xml:space="preserve"> for Sustainable Development</w:t>
      </w:r>
    </w:p>
    <w:p w14:paraId="794FD490" w14:textId="56528B2A" w:rsidR="05C04687" w:rsidRPr="00D11128" w:rsidRDefault="008B0B0F" w:rsidP="05C04687">
      <w:pPr>
        <w:jc w:val="center"/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</w:pPr>
      <w:r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>Tokyo</w:t>
      </w:r>
      <w:r w:rsidR="05C04687"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>Japan / Online</w:t>
      </w:r>
    </w:p>
    <w:p w14:paraId="27862D72" w14:textId="7A763EB0" w:rsidR="05C04687" w:rsidRDefault="008B0B0F" w:rsidP="05C04687">
      <w:pPr>
        <w:jc w:val="center"/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</w:pPr>
      <w:r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>20-21</w:t>
      </w:r>
      <w:r w:rsidR="05C04687"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>July</w:t>
      </w:r>
      <w:r w:rsidR="05C04687" w:rsidRPr="00D11128"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 xml:space="preserve"> 2022</w:t>
      </w:r>
    </w:p>
    <w:p w14:paraId="2B67110E" w14:textId="0DBDB052" w:rsidR="05C04687" w:rsidRDefault="00AC6040" w:rsidP="00AC6040">
      <w:pPr>
        <w:jc w:val="center"/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  <w:t>Side Event Summary</w:t>
      </w:r>
    </w:p>
    <w:p w14:paraId="4121E77F" w14:textId="77777777" w:rsidR="00AC6040" w:rsidRPr="00AC6040" w:rsidRDefault="00AC6040" w:rsidP="00AC6040">
      <w:pPr>
        <w:jc w:val="center"/>
        <w:rPr>
          <w:rFonts w:ascii="Segoe UI" w:eastAsia="Segoe UI" w:hAnsi="Segoe UI" w:cs="Segoe UI"/>
          <w:i/>
          <w:i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989"/>
      </w:tblGrid>
      <w:tr w:rsidR="00C9548B" w14:paraId="40ED5DA9" w14:textId="77777777" w:rsidTr="00C9548B">
        <w:trPr>
          <w:trHeight w:val="322"/>
        </w:trPr>
        <w:tc>
          <w:tcPr>
            <w:tcW w:w="8989" w:type="dxa"/>
          </w:tcPr>
          <w:p w14:paraId="53FCFD60" w14:textId="7BFC96D8" w:rsidR="00C9548B" w:rsidRDefault="008B0B0F" w:rsidP="05C04687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Event</w:t>
            </w:r>
            <w:r w:rsidR="00C9548B" w:rsidRPr="05C04687">
              <w:rPr>
                <w:rFonts w:ascii="Segoe UI" w:eastAsia="Segoe UI" w:hAnsi="Segoe UI" w:cs="Segoe UI"/>
                <w:b/>
                <w:bCs/>
              </w:rPr>
              <w:t xml:space="preserve"> title</w:t>
            </w:r>
            <w:r w:rsidR="00C9548B" w:rsidRPr="05C04687">
              <w:rPr>
                <w:rFonts w:ascii="Segoe UI" w:eastAsia="Segoe UI" w:hAnsi="Segoe UI" w:cs="Segoe UI"/>
              </w:rPr>
              <w:t xml:space="preserve"> </w:t>
            </w:r>
          </w:p>
        </w:tc>
      </w:tr>
      <w:tr w:rsidR="00C9548B" w14:paraId="3D2F7F32" w14:textId="77777777" w:rsidTr="00F65F74">
        <w:trPr>
          <w:trHeight w:val="966"/>
        </w:trPr>
        <w:tc>
          <w:tcPr>
            <w:tcW w:w="8989" w:type="dxa"/>
          </w:tcPr>
          <w:p w14:paraId="343131AF" w14:textId="77777777" w:rsidR="00AC6040" w:rsidRDefault="00AC6040" w:rsidP="00F16515">
            <w:pPr>
              <w:rPr>
                <w:i/>
                <w:iCs/>
              </w:rPr>
            </w:pPr>
          </w:p>
          <w:p w14:paraId="1F9C97CE" w14:textId="77777777" w:rsidR="00C9548B" w:rsidRDefault="00F16515" w:rsidP="00F16515">
            <w:pPr>
              <w:rPr>
                <w:i/>
                <w:iCs/>
              </w:rPr>
            </w:pPr>
            <w:r w:rsidRPr="00F16515">
              <w:rPr>
                <w:i/>
                <w:iCs/>
              </w:rPr>
              <w:t>Applying Circulating and Ecological Sphere (CES) Concept for Placing Urban Rural Linkages at the Core of Localization of Climate and Sustainable Development Actions</w:t>
            </w:r>
          </w:p>
          <w:p w14:paraId="08ABA392" w14:textId="5E4BDE50" w:rsidR="00AC6040" w:rsidRPr="00C9548B" w:rsidRDefault="00AC6040" w:rsidP="00F16515">
            <w:pPr>
              <w:rPr>
                <w:i/>
                <w:iCs/>
              </w:rPr>
            </w:pPr>
          </w:p>
        </w:tc>
      </w:tr>
      <w:tr w:rsidR="00C9548B" w14:paraId="69EBC246" w14:textId="77777777" w:rsidTr="00F65F74">
        <w:trPr>
          <w:trHeight w:val="425"/>
        </w:trPr>
        <w:tc>
          <w:tcPr>
            <w:tcW w:w="8989" w:type="dxa"/>
          </w:tcPr>
          <w:p w14:paraId="535E74B1" w14:textId="7BC7689A" w:rsidR="00C9548B" w:rsidRPr="00F65F74" w:rsidRDefault="00C9548B" w:rsidP="00F65F74">
            <w:pPr>
              <w:rPr>
                <w:rFonts w:ascii="Segoe UI" w:eastAsia="Segoe UI" w:hAnsi="Segoe UI" w:cs="Segoe UI"/>
                <w:b/>
                <w:bCs/>
                <w:color w:val="000000" w:themeColor="text1"/>
              </w:rPr>
            </w:pPr>
            <w:r w:rsidRPr="05C04687">
              <w:rPr>
                <w:rFonts w:ascii="Segoe UI" w:eastAsia="Segoe UI" w:hAnsi="Segoe UI" w:cs="Segoe UI"/>
                <w:b/>
                <w:bCs/>
                <w:color w:val="000000" w:themeColor="text1"/>
              </w:rPr>
              <w:t>Overview of event and key messages</w:t>
            </w:r>
          </w:p>
        </w:tc>
      </w:tr>
      <w:tr w:rsidR="00C9548B" w14:paraId="07389EE8" w14:textId="77777777" w:rsidTr="00C9548B">
        <w:trPr>
          <w:trHeight w:val="604"/>
        </w:trPr>
        <w:tc>
          <w:tcPr>
            <w:tcW w:w="8989" w:type="dxa"/>
          </w:tcPr>
          <w:p w14:paraId="0800A7FF" w14:textId="77777777" w:rsidR="00AC6040" w:rsidRDefault="00AC6040" w:rsidP="00AB2C54">
            <w:pPr>
              <w:rPr>
                <w:i/>
                <w:iCs/>
                <w:lang w:eastAsia="ja-JP"/>
              </w:rPr>
            </w:pPr>
          </w:p>
          <w:p w14:paraId="3FB42BFB" w14:textId="55786D29" w:rsidR="00AB2C54" w:rsidRDefault="00524DAD" w:rsidP="00AB2C54">
            <w:pPr>
              <w:rPr>
                <w:i/>
                <w:iCs/>
                <w:lang w:eastAsia="ja-JP"/>
              </w:rPr>
            </w:pPr>
            <w:r>
              <w:rPr>
                <w:rFonts w:hint="eastAsia"/>
                <w:i/>
                <w:iCs/>
                <w:lang w:eastAsia="ja-JP"/>
              </w:rPr>
              <w:t>T</w:t>
            </w:r>
            <w:r w:rsidR="009C6BB4">
              <w:rPr>
                <w:i/>
                <w:iCs/>
                <w:lang w:eastAsia="ja-JP"/>
              </w:rPr>
              <w:t>he</w:t>
            </w:r>
            <w:r w:rsidR="00AB2C54">
              <w:rPr>
                <w:i/>
                <w:iCs/>
                <w:lang w:eastAsia="ja-JP"/>
              </w:rPr>
              <w:t xml:space="preserve"> session was co-organised by Ministry of Environment of Japan, IGES, START International, </w:t>
            </w:r>
            <w:r w:rsidR="00AB2C54" w:rsidRPr="00AB2C54">
              <w:rPr>
                <w:i/>
                <w:iCs/>
                <w:lang w:eastAsia="ja-JP"/>
              </w:rPr>
              <w:t>Visvesvaraya National Institute of Technology (VNIT)</w:t>
            </w:r>
            <w:r w:rsidR="00AB2C54">
              <w:rPr>
                <w:i/>
                <w:iCs/>
                <w:lang w:eastAsia="ja-JP"/>
              </w:rPr>
              <w:t xml:space="preserve"> and Thammasat University. The purpose of this session was to </w:t>
            </w:r>
            <w:r w:rsidR="00AB2C54" w:rsidRPr="00AB2C54">
              <w:rPr>
                <w:i/>
                <w:iCs/>
                <w:lang w:eastAsia="ja-JP"/>
              </w:rPr>
              <w:t xml:space="preserve">provide a platform to </w:t>
            </w:r>
            <w:r w:rsidR="00AB2C54">
              <w:rPr>
                <w:i/>
                <w:iCs/>
                <w:lang w:eastAsia="ja-JP"/>
              </w:rPr>
              <w:t>exchange views on importance of</w:t>
            </w:r>
            <w:r w:rsidR="00AB2C54">
              <w:rPr>
                <w:rFonts w:hint="eastAsia"/>
                <w:i/>
                <w:iCs/>
                <w:lang w:eastAsia="ja-JP"/>
              </w:rPr>
              <w:t xml:space="preserve"> </w:t>
            </w:r>
            <w:r w:rsidR="00AB2C54" w:rsidRPr="00AB2C54">
              <w:rPr>
                <w:i/>
                <w:iCs/>
                <w:lang w:eastAsia="ja-JP"/>
              </w:rPr>
              <w:t>integrated actions for localization of global and national goals and targets</w:t>
            </w:r>
            <w:r w:rsidR="00AB2C54">
              <w:rPr>
                <w:i/>
                <w:iCs/>
                <w:lang w:eastAsia="ja-JP"/>
              </w:rPr>
              <w:t xml:space="preserve"> through applying Circulating and Ecological Sphere approach. This session shared the concept of CES and its application in Japan, South and South-East Asian city-regions. The panel discussed the key success factors of CES application in Japanese city region and global application of CES, and recent collaborative efforts to promote CES in South and South-East Asia. Key messages from the session are the following;</w:t>
            </w:r>
          </w:p>
          <w:p w14:paraId="0EC7D430" w14:textId="4E039E2B" w:rsidR="00AB2C54" w:rsidRDefault="00F4302B" w:rsidP="00AB2C54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It is urgent to take integrated and collective actions at local level to realise climate and SDGs synergies</w:t>
            </w:r>
          </w:p>
          <w:p w14:paraId="1516BA09" w14:textId="55F2ED3A" w:rsidR="00F4302B" w:rsidRDefault="00F4302B" w:rsidP="00AB2C54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CES approach offers opportunities to consider urban and rural systems in a collective manner to optimise resource circulation and consumption that contribute to economic, social and environmental sustainability simultaneously</w:t>
            </w:r>
          </w:p>
          <w:p w14:paraId="4BEC67E9" w14:textId="796E1D35" w:rsidR="00F4302B" w:rsidRPr="00AB2C54" w:rsidRDefault="00F4302B" w:rsidP="00AB2C54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 xml:space="preserve">Co-development approach should be placed at the core of CES framework to realise spatial and sectoral partnerships between urban and rural </w:t>
            </w:r>
          </w:p>
          <w:p w14:paraId="3948A25B" w14:textId="77777777" w:rsidR="009C25F1" w:rsidRDefault="009C25F1" w:rsidP="00C9548B">
            <w:pPr>
              <w:rPr>
                <w:i/>
                <w:iCs/>
                <w:lang w:eastAsia="ja-JP"/>
              </w:rPr>
            </w:pPr>
          </w:p>
          <w:p w14:paraId="69453DC1" w14:textId="77777777" w:rsidR="002D553F" w:rsidRDefault="009C25F1" w:rsidP="009C25F1">
            <w:pPr>
              <w:rPr>
                <w:b/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t>M</w:t>
            </w:r>
            <w:r w:rsidR="00A216B6">
              <w:rPr>
                <w:i/>
                <w:iCs/>
                <w:lang w:eastAsia="ja-JP"/>
              </w:rPr>
              <w:t>oderated by</w:t>
            </w:r>
            <w:r w:rsidR="00A216B6">
              <w:t xml:space="preserve"> </w:t>
            </w:r>
            <w:proofErr w:type="spellStart"/>
            <w:r w:rsidR="009C6BB4">
              <w:rPr>
                <w:b/>
                <w:i/>
                <w:iCs/>
                <w:lang w:eastAsia="ja-JP"/>
              </w:rPr>
              <w:t>Dr.</w:t>
            </w:r>
            <w:proofErr w:type="spellEnd"/>
            <w:r w:rsidR="009C6BB4">
              <w:rPr>
                <w:b/>
                <w:i/>
                <w:iCs/>
                <w:lang w:eastAsia="ja-JP"/>
              </w:rPr>
              <w:t xml:space="preserve"> E</w:t>
            </w:r>
            <w:r w:rsidR="00A216B6" w:rsidRPr="00A216B6">
              <w:rPr>
                <w:b/>
                <w:i/>
                <w:iCs/>
                <w:lang w:eastAsia="ja-JP"/>
              </w:rPr>
              <w:t xml:space="preserve">ric </w:t>
            </w:r>
            <w:proofErr w:type="spellStart"/>
            <w:r w:rsidR="00A216B6" w:rsidRPr="00A216B6">
              <w:rPr>
                <w:b/>
                <w:i/>
                <w:iCs/>
                <w:lang w:eastAsia="ja-JP"/>
              </w:rPr>
              <w:t>Zusman</w:t>
            </w:r>
            <w:proofErr w:type="spellEnd"/>
            <w:r w:rsidR="00A216B6" w:rsidRPr="00A216B6">
              <w:rPr>
                <w:b/>
                <w:i/>
                <w:iCs/>
                <w:lang w:eastAsia="ja-JP"/>
              </w:rPr>
              <w:t xml:space="preserve">, Research Leader, Integrated Sustainability </w:t>
            </w:r>
            <w:proofErr w:type="spellStart"/>
            <w:r w:rsidR="00A216B6" w:rsidRPr="00A216B6">
              <w:rPr>
                <w:b/>
                <w:i/>
                <w:iCs/>
                <w:lang w:eastAsia="ja-JP"/>
              </w:rPr>
              <w:t>Center</w:t>
            </w:r>
            <w:proofErr w:type="spellEnd"/>
            <w:r w:rsidR="00A216B6" w:rsidRPr="00A216B6">
              <w:rPr>
                <w:b/>
                <w:i/>
                <w:iCs/>
                <w:lang w:eastAsia="ja-JP"/>
              </w:rPr>
              <w:t>, IGES</w:t>
            </w:r>
          </w:p>
          <w:p w14:paraId="04F5A5D8" w14:textId="1C399CE8" w:rsidR="00AC6040" w:rsidRPr="00407EED" w:rsidRDefault="00AC6040" w:rsidP="009C25F1">
            <w:pPr>
              <w:rPr>
                <w:i/>
                <w:iCs/>
                <w:lang w:eastAsia="ja-JP"/>
              </w:rPr>
            </w:pPr>
          </w:p>
        </w:tc>
      </w:tr>
      <w:tr w:rsidR="00C9548B" w14:paraId="3EDC9A30" w14:textId="77777777" w:rsidTr="00F65F74">
        <w:trPr>
          <w:trHeight w:val="380"/>
        </w:trPr>
        <w:tc>
          <w:tcPr>
            <w:tcW w:w="8989" w:type="dxa"/>
          </w:tcPr>
          <w:p w14:paraId="02E4CE9C" w14:textId="459764CD" w:rsidR="00C9548B" w:rsidRPr="00F65F74" w:rsidRDefault="00C9548B" w:rsidP="00F65F74">
            <w:pPr>
              <w:rPr>
                <w:rFonts w:ascii="Segoe UI" w:eastAsia="Segoe UI" w:hAnsi="Segoe UI" w:cs="Segoe UI"/>
                <w:b/>
                <w:bCs/>
                <w:color w:val="201F1E"/>
              </w:rPr>
            </w:pPr>
            <w:r w:rsidRPr="05C04687">
              <w:rPr>
                <w:rFonts w:ascii="Segoe UI" w:eastAsia="Segoe UI" w:hAnsi="Segoe UI" w:cs="Segoe UI"/>
                <w:b/>
                <w:bCs/>
              </w:rPr>
              <w:t>S</w:t>
            </w:r>
            <w:r w:rsidRPr="05C04687">
              <w:rPr>
                <w:rFonts w:ascii="Segoe UI" w:eastAsia="Segoe UI" w:hAnsi="Segoe UI" w:cs="Segoe UI"/>
                <w:b/>
                <w:bCs/>
                <w:color w:val="201F1E"/>
              </w:rPr>
              <w:t>peaker notes (including remarks by moderator)</w:t>
            </w:r>
          </w:p>
        </w:tc>
      </w:tr>
      <w:tr w:rsidR="00C9548B" w14:paraId="580EC5CD" w14:textId="77777777" w:rsidTr="00C9548B">
        <w:trPr>
          <w:trHeight w:val="591"/>
        </w:trPr>
        <w:tc>
          <w:tcPr>
            <w:tcW w:w="8989" w:type="dxa"/>
          </w:tcPr>
          <w:p w14:paraId="68631EBB" w14:textId="35CB9FFC" w:rsidR="002D553F" w:rsidRDefault="002D553F" w:rsidP="00C9548B">
            <w:pPr>
              <w:rPr>
                <w:b/>
                <w:i/>
                <w:iCs/>
                <w:lang w:eastAsia="ja-JP"/>
              </w:rPr>
            </w:pPr>
          </w:p>
          <w:p w14:paraId="5FC54CE7" w14:textId="18B11FB6" w:rsidR="009C25F1" w:rsidRDefault="009C25F1" w:rsidP="00C9548B">
            <w:pPr>
              <w:rPr>
                <w:b/>
                <w:i/>
                <w:iCs/>
                <w:lang w:eastAsia="ja-JP"/>
              </w:rPr>
            </w:pPr>
            <w:r>
              <w:rPr>
                <w:rFonts w:hint="eastAsia"/>
                <w:b/>
                <w:i/>
                <w:iCs/>
                <w:lang w:eastAsia="ja-JP"/>
              </w:rPr>
              <w:t>&lt;</w:t>
            </w:r>
            <w:r>
              <w:rPr>
                <w:b/>
                <w:i/>
                <w:iCs/>
                <w:lang w:eastAsia="ja-JP"/>
              </w:rPr>
              <w:t>Opening remarks&gt;</w:t>
            </w:r>
          </w:p>
          <w:p w14:paraId="5E1A45F5" w14:textId="77777777" w:rsidR="00AC6040" w:rsidRDefault="00AC6040" w:rsidP="00C9548B">
            <w:pPr>
              <w:rPr>
                <w:b/>
                <w:i/>
                <w:iCs/>
                <w:lang w:eastAsia="ja-JP"/>
              </w:rPr>
            </w:pPr>
          </w:p>
          <w:p w14:paraId="31697574" w14:textId="71CD34BF" w:rsidR="009C25F1" w:rsidRDefault="009C25F1" w:rsidP="00C9548B">
            <w:pPr>
              <w:rPr>
                <w:i/>
                <w:iCs/>
                <w:lang w:eastAsia="ja-JP"/>
              </w:rPr>
            </w:pPr>
            <w:r>
              <w:rPr>
                <w:b/>
                <w:i/>
                <w:iCs/>
                <w:lang w:eastAsia="ja-JP"/>
              </w:rPr>
              <w:t>Professor</w:t>
            </w:r>
            <w:r w:rsidR="00487495">
              <w:rPr>
                <w:b/>
                <w:i/>
                <w:iCs/>
                <w:lang w:eastAsia="ja-JP"/>
              </w:rPr>
              <w:t xml:space="preserve"> Kazuhiko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r w:rsidRPr="009C25F1">
              <w:rPr>
                <w:b/>
                <w:i/>
                <w:iCs/>
                <w:lang w:eastAsia="ja-JP"/>
              </w:rPr>
              <w:t>Takeuchi, President</w:t>
            </w:r>
            <w:r w:rsidR="00BC02B2">
              <w:rPr>
                <w:b/>
                <w:i/>
                <w:iCs/>
                <w:lang w:eastAsia="ja-JP"/>
              </w:rPr>
              <w:t>,</w:t>
            </w:r>
            <w:r w:rsidRPr="009C25F1">
              <w:rPr>
                <w:b/>
                <w:i/>
                <w:iCs/>
                <w:lang w:eastAsia="ja-JP"/>
              </w:rPr>
              <w:t xml:space="preserve"> IGES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 xml:space="preserve">in his welcome speech shared the overview of the concept of CES. He highlighted </w:t>
            </w:r>
            <w:r w:rsidR="00F910B7">
              <w:rPr>
                <w:i/>
                <w:iCs/>
                <w:lang w:eastAsia="ja-JP"/>
              </w:rPr>
              <w:t xml:space="preserve">that </w:t>
            </w:r>
            <w:r>
              <w:rPr>
                <w:i/>
                <w:iCs/>
                <w:lang w:eastAsia="ja-JP"/>
              </w:rPr>
              <w:t>living in harmony with nature should be the key principle of localisation of climate and SDGs goals that need urban and rural collective actions.</w:t>
            </w:r>
          </w:p>
          <w:p w14:paraId="73C965BC" w14:textId="1050CF1E" w:rsidR="009C25F1" w:rsidRDefault="009C25F1" w:rsidP="00C9548B">
            <w:pPr>
              <w:rPr>
                <w:i/>
                <w:iCs/>
                <w:lang w:eastAsia="ja-JP"/>
              </w:rPr>
            </w:pPr>
          </w:p>
          <w:p w14:paraId="07266215" w14:textId="686D7B32" w:rsidR="009C25F1" w:rsidRPr="009C25F1" w:rsidRDefault="00487495" w:rsidP="00C9548B">
            <w:pPr>
              <w:rPr>
                <w:i/>
                <w:iCs/>
                <w:lang w:eastAsia="ja-JP"/>
              </w:rPr>
            </w:pPr>
            <w:r w:rsidRPr="00487495">
              <w:rPr>
                <w:b/>
                <w:i/>
                <w:iCs/>
                <w:lang w:eastAsia="ja-JP"/>
              </w:rPr>
              <w:t xml:space="preserve">Mr. Takao </w:t>
            </w:r>
            <w:proofErr w:type="spellStart"/>
            <w:r w:rsidRPr="00487495">
              <w:rPr>
                <w:b/>
                <w:i/>
                <w:iCs/>
                <w:lang w:eastAsia="ja-JP"/>
              </w:rPr>
              <w:t>Shiraishi</w:t>
            </w:r>
            <w:proofErr w:type="spellEnd"/>
            <w:r w:rsidRPr="00487495">
              <w:rPr>
                <w:b/>
                <w:i/>
                <w:iCs/>
                <w:lang w:eastAsia="ja-JP"/>
              </w:rPr>
              <w:t>, Director-General for Regional Decarbonization Policy, Ministry of Environment of Japan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</w:t>
            </w:r>
            <w:r w:rsidR="009C25F1">
              <w:rPr>
                <w:i/>
                <w:iCs/>
                <w:lang w:eastAsia="ja-JP"/>
              </w:rPr>
              <w:t>shared that the basic Environmental Plan of Japan integrated the CES concept as a strategic approach for localisation of SDGs and decarbonisation.</w:t>
            </w:r>
          </w:p>
          <w:p w14:paraId="210E9EF6" w14:textId="205F0E46" w:rsidR="009C25F1" w:rsidRDefault="009C25F1" w:rsidP="00C9548B">
            <w:pPr>
              <w:rPr>
                <w:b/>
                <w:i/>
                <w:iCs/>
                <w:lang w:eastAsia="ja-JP"/>
              </w:rPr>
            </w:pPr>
          </w:p>
          <w:p w14:paraId="2289F8BB" w14:textId="30FAB4BA" w:rsidR="00F16515" w:rsidRDefault="00A13435" w:rsidP="00C9548B">
            <w:pPr>
              <w:rPr>
                <w:b/>
                <w:i/>
                <w:iCs/>
                <w:lang w:eastAsia="ja-JP"/>
              </w:rPr>
            </w:pPr>
            <w:r w:rsidRPr="00A13435">
              <w:rPr>
                <w:rFonts w:hint="eastAsia"/>
                <w:b/>
                <w:i/>
                <w:iCs/>
                <w:lang w:eastAsia="ja-JP"/>
              </w:rPr>
              <w:lastRenderedPageBreak/>
              <w:t>&lt;</w:t>
            </w:r>
            <w:r w:rsidR="00F16515" w:rsidRPr="00F16515">
              <w:rPr>
                <w:rFonts w:hint="eastAsia"/>
                <w:b/>
                <w:i/>
                <w:iCs/>
                <w:lang w:eastAsia="ja-JP"/>
              </w:rPr>
              <w:t>P</w:t>
            </w:r>
            <w:r w:rsidR="00F16515" w:rsidRPr="00F16515">
              <w:rPr>
                <w:b/>
                <w:i/>
                <w:iCs/>
                <w:lang w:eastAsia="ja-JP"/>
              </w:rPr>
              <w:t>resentation Session</w:t>
            </w:r>
            <w:r w:rsidR="00F16515">
              <w:rPr>
                <w:b/>
                <w:i/>
                <w:iCs/>
                <w:lang w:eastAsia="ja-JP"/>
              </w:rPr>
              <w:t>&gt;</w:t>
            </w:r>
          </w:p>
          <w:p w14:paraId="1CF40C8E" w14:textId="77777777" w:rsidR="00AC6040" w:rsidRPr="002D553F" w:rsidRDefault="00AC6040" w:rsidP="00C9548B">
            <w:pPr>
              <w:rPr>
                <w:b/>
                <w:i/>
                <w:iCs/>
                <w:lang w:eastAsia="ja-JP"/>
              </w:rPr>
            </w:pPr>
          </w:p>
          <w:p w14:paraId="0584BB15" w14:textId="4B1C1816" w:rsidR="009C25F1" w:rsidRPr="00DA14C8" w:rsidRDefault="00F16515" w:rsidP="00487495">
            <w:pPr>
              <w:rPr>
                <w:i/>
                <w:iCs/>
                <w:lang w:eastAsia="ja-JP"/>
              </w:rPr>
            </w:pPr>
            <w:proofErr w:type="spellStart"/>
            <w:r>
              <w:rPr>
                <w:b/>
                <w:i/>
                <w:iCs/>
                <w:lang w:eastAsia="ja-JP"/>
              </w:rPr>
              <w:t>Dr.</w:t>
            </w:r>
            <w:proofErr w:type="spellEnd"/>
            <w:r>
              <w:rPr>
                <w:b/>
                <w:i/>
                <w:iCs/>
                <w:lang w:eastAsia="ja-JP"/>
              </w:rPr>
              <w:t xml:space="preserve"> </w:t>
            </w:r>
            <w:r w:rsidRPr="00F16515">
              <w:rPr>
                <w:b/>
                <w:i/>
                <w:iCs/>
                <w:lang w:eastAsia="ja-JP"/>
              </w:rPr>
              <w:t xml:space="preserve">Bijon Kumer Mitra, Deputy Director, Integrated Sustainability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Center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>, IGES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 w:rsidR="0094131B">
              <w:rPr>
                <w:i/>
                <w:iCs/>
                <w:lang w:eastAsia="ja-JP"/>
              </w:rPr>
              <w:t xml:space="preserve"> </w:t>
            </w:r>
            <w:r w:rsidR="009C25F1">
              <w:rPr>
                <w:i/>
                <w:iCs/>
                <w:lang w:eastAsia="ja-JP"/>
              </w:rPr>
              <w:t xml:space="preserve">shared application of CES approach in </w:t>
            </w:r>
            <w:r w:rsidR="00487495">
              <w:rPr>
                <w:i/>
                <w:iCs/>
                <w:lang w:eastAsia="ja-JP"/>
              </w:rPr>
              <w:t>various local contexts taking the good example from Japanese city-regions.</w:t>
            </w:r>
          </w:p>
          <w:p w14:paraId="6847659C" w14:textId="77777777" w:rsidR="00F16515" w:rsidRPr="0094131B" w:rsidRDefault="00F16515" w:rsidP="00C9548B">
            <w:pPr>
              <w:rPr>
                <w:i/>
                <w:iCs/>
                <w:lang w:eastAsia="ja-JP"/>
              </w:rPr>
            </w:pPr>
          </w:p>
          <w:p w14:paraId="127D6EC5" w14:textId="0FD4E58D" w:rsidR="00DA14C8" w:rsidRDefault="00DA14C8" w:rsidP="00DA14C8">
            <w:pPr>
              <w:rPr>
                <w:i/>
                <w:iCs/>
                <w:lang w:eastAsia="ja-JP"/>
              </w:rPr>
            </w:pPr>
            <w:r>
              <w:rPr>
                <w:b/>
                <w:i/>
                <w:iCs/>
                <w:lang w:eastAsia="ja-JP"/>
              </w:rPr>
              <w:t xml:space="preserve">Mr. </w:t>
            </w:r>
            <w:r w:rsidRPr="00F16515">
              <w:rPr>
                <w:b/>
                <w:i/>
                <w:iCs/>
                <w:lang w:eastAsia="ja-JP"/>
              </w:rPr>
              <w:t>Kazuaki Takahashi, Head of climate policy section, Yokohama City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talked about Yokohama city’s efforts to achieve decarbonisation through cooperation. He introduced the city’s projects focusing on city-to-city and inter-regiona</w:t>
            </w:r>
            <w:r w:rsidR="002D553F">
              <w:rPr>
                <w:i/>
                <w:iCs/>
                <w:lang w:eastAsia="ja-JP"/>
              </w:rPr>
              <w:t>l collaborations to achieve Net-</w:t>
            </w:r>
            <w:r>
              <w:rPr>
                <w:i/>
                <w:iCs/>
                <w:lang w:eastAsia="ja-JP"/>
              </w:rPr>
              <w:t>Zero. Also, he highlighted the need for changes towards lifestyles that is based on local resources.</w:t>
            </w:r>
          </w:p>
          <w:p w14:paraId="4AF33BC7" w14:textId="77777777" w:rsidR="00F16515" w:rsidRPr="00DA14C8" w:rsidRDefault="00F16515" w:rsidP="00C9548B">
            <w:pPr>
              <w:rPr>
                <w:i/>
                <w:iCs/>
                <w:lang w:eastAsia="ja-JP"/>
              </w:rPr>
            </w:pPr>
          </w:p>
          <w:p w14:paraId="521D3731" w14:textId="757718BA" w:rsidR="00660AB7" w:rsidRDefault="00660AB7" w:rsidP="00487495">
            <w:pPr>
              <w:rPr>
                <w:i/>
                <w:iCs/>
                <w:lang w:eastAsia="ja-JP"/>
              </w:rPr>
            </w:pPr>
            <w:r w:rsidRPr="00F16515">
              <w:rPr>
                <w:b/>
                <w:i/>
                <w:iCs/>
                <w:lang w:eastAsia="ja-JP"/>
              </w:rPr>
              <w:t>Mr. Toshio T</w:t>
            </w:r>
            <w:r>
              <w:rPr>
                <w:b/>
                <w:i/>
                <w:iCs/>
                <w:lang w:eastAsia="ja-JP"/>
              </w:rPr>
              <w:t xml:space="preserve">omioka, President, Aomori </w:t>
            </w:r>
            <w:proofErr w:type="spellStart"/>
            <w:r>
              <w:rPr>
                <w:b/>
                <w:i/>
                <w:iCs/>
                <w:lang w:eastAsia="ja-JP"/>
              </w:rPr>
              <w:t>Kenmin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Energy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 w:rsidRPr="00487495">
              <w:rPr>
                <w:i/>
                <w:iCs/>
                <w:lang w:eastAsia="ja-JP"/>
              </w:rPr>
              <w:t xml:space="preserve"> </w:t>
            </w:r>
            <w:r w:rsidR="00487495" w:rsidRPr="00487495">
              <w:rPr>
                <w:i/>
                <w:iCs/>
                <w:lang w:eastAsia="ja-JP"/>
              </w:rPr>
              <w:t>stressed the</w:t>
            </w:r>
            <w:r w:rsidR="00487495">
              <w:rPr>
                <w:b/>
                <w:i/>
                <w:iCs/>
                <w:lang w:eastAsia="ja-JP"/>
              </w:rPr>
              <w:t xml:space="preserve"> </w:t>
            </w:r>
            <w:r w:rsidR="00487495">
              <w:rPr>
                <w:i/>
                <w:iCs/>
                <w:lang w:eastAsia="ja-JP"/>
              </w:rPr>
              <w:t xml:space="preserve">importance of community-based renewable energy cooperatives that can promote local production and consumption of renewable energy and accelerate </w:t>
            </w:r>
            <w:r w:rsidR="00487495">
              <w:rPr>
                <w:rFonts w:hint="eastAsia"/>
                <w:i/>
                <w:iCs/>
                <w:lang w:eastAsia="ja-JP"/>
              </w:rPr>
              <w:t>t</w:t>
            </w:r>
            <w:r w:rsidR="00487495">
              <w:rPr>
                <w:i/>
                <w:iCs/>
                <w:lang w:eastAsia="ja-JP"/>
              </w:rPr>
              <w:t>he CES concept forward.</w:t>
            </w:r>
          </w:p>
          <w:p w14:paraId="47B90E85" w14:textId="77777777" w:rsidR="00F16515" w:rsidRPr="00660AB7" w:rsidRDefault="00F16515" w:rsidP="00C9548B">
            <w:pPr>
              <w:rPr>
                <w:i/>
                <w:iCs/>
                <w:lang w:eastAsia="ja-JP"/>
              </w:rPr>
            </w:pPr>
          </w:p>
          <w:p w14:paraId="20D7F555" w14:textId="74FC94D9" w:rsidR="00487495" w:rsidRDefault="00A216B6" w:rsidP="00A216B6">
            <w:pPr>
              <w:rPr>
                <w:i/>
                <w:iCs/>
                <w:lang w:eastAsia="ja-JP"/>
              </w:rPr>
            </w:pPr>
            <w:proofErr w:type="spellStart"/>
            <w:r w:rsidRPr="00F16515">
              <w:rPr>
                <w:b/>
                <w:i/>
                <w:iCs/>
                <w:lang w:eastAsia="ja-JP"/>
              </w:rPr>
              <w:t>Dr.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Sameer M.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Deshkar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>, Coordinator, IRDR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b/>
                <w:i/>
                <w:iCs/>
                <w:lang w:eastAsia="ja-JP"/>
              </w:rPr>
              <w:t>ICoE</w:t>
            </w:r>
            <w:proofErr w:type="spellEnd"/>
            <w:r>
              <w:rPr>
                <w:b/>
                <w:i/>
                <w:iCs/>
                <w:lang w:eastAsia="ja-JP"/>
              </w:rPr>
              <w:t xml:space="preserve"> Resilient Communities &amp;</w:t>
            </w:r>
            <w:r w:rsidRPr="00F16515">
              <w:rPr>
                <w:b/>
                <w:i/>
                <w:iCs/>
                <w:lang w:eastAsia="ja-JP"/>
              </w:rPr>
              <w:t xml:space="preserve"> Settlements, VNIT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 xml:space="preserve">presented a case study in the Nagpur city region in India. Based on the study, he </w:t>
            </w:r>
            <w:r w:rsidR="00487495">
              <w:rPr>
                <w:i/>
                <w:iCs/>
                <w:lang w:eastAsia="ja-JP"/>
              </w:rPr>
              <w:t>introduced the five entry points for the application of CES; policy coordination, stakeholder engagement, urban-rural partnership, community awareness and technological interventions.</w:t>
            </w:r>
          </w:p>
          <w:p w14:paraId="670EE325" w14:textId="77777777" w:rsidR="00F16515" w:rsidRPr="00A216B6" w:rsidRDefault="00F16515" w:rsidP="00C9548B">
            <w:pPr>
              <w:rPr>
                <w:i/>
                <w:iCs/>
                <w:lang w:eastAsia="ja-JP"/>
              </w:rPr>
            </w:pPr>
          </w:p>
          <w:p w14:paraId="2AB396D5" w14:textId="18E73DA6" w:rsidR="00F16515" w:rsidRDefault="00A216B6" w:rsidP="00C9548B">
            <w:pPr>
              <w:rPr>
                <w:i/>
                <w:iCs/>
                <w:lang w:eastAsia="ja-JP"/>
              </w:rPr>
            </w:pPr>
            <w:proofErr w:type="spellStart"/>
            <w:r w:rsidRPr="00F16515">
              <w:rPr>
                <w:b/>
                <w:i/>
                <w:iCs/>
                <w:lang w:eastAsia="ja-JP"/>
              </w:rPr>
              <w:t>Dr.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Wijitbusaba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Ann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Marome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>, Head of Urban Futures and Policy Research Unit, Thammasat University, Thailand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introduced a case study in the </w:t>
            </w:r>
            <w:proofErr w:type="spellStart"/>
            <w:r>
              <w:rPr>
                <w:i/>
                <w:iCs/>
                <w:lang w:eastAsia="ja-JP"/>
              </w:rPr>
              <w:t>Udon</w:t>
            </w:r>
            <w:proofErr w:type="spellEnd"/>
            <w:r>
              <w:rPr>
                <w:i/>
                <w:iCs/>
                <w:lang w:eastAsia="ja-JP"/>
              </w:rPr>
              <w:t xml:space="preserve"> Thani city region. She reported that</w:t>
            </w:r>
            <w:r w:rsidR="00487495">
              <w:rPr>
                <w:i/>
                <w:iCs/>
                <w:lang w:eastAsia="ja-JP"/>
              </w:rPr>
              <w:t xml:space="preserve"> the study conducted analysis of</w:t>
            </w:r>
            <w:r>
              <w:rPr>
                <w:i/>
                <w:iCs/>
                <w:lang w:eastAsia="ja-JP"/>
              </w:rPr>
              <w:t xml:space="preserve"> urban-rural </w:t>
            </w:r>
            <w:r w:rsidR="00487495">
              <w:rPr>
                <w:i/>
                <w:iCs/>
                <w:lang w:eastAsia="ja-JP"/>
              </w:rPr>
              <w:t xml:space="preserve">natural and socio-economic </w:t>
            </w:r>
            <w:r>
              <w:rPr>
                <w:i/>
                <w:iCs/>
                <w:lang w:eastAsia="ja-JP"/>
              </w:rPr>
              <w:t xml:space="preserve">resource flows, stakeholder </w:t>
            </w:r>
            <w:r w:rsidR="00487495">
              <w:rPr>
                <w:i/>
                <w:iCs/>
                <w:lang w:eastAsia="ja-JP"/>
              </w:rPr>
              <w:t xml:space="preserve">engagement </w:t>
            </w:r>
            <w:r>
              <w:rPr>
                <w:i/>
                <w:iCs/>
                <w:lang w:eastAsia="ja-JP"/>
              </w:rPr>
              <w:t>workshops and in-depth interview</w:t>
            </w:r>
            <w:r w:rsidR="00487495">
              <w:rPr>
                <w:i/>
                <w:iCs/>
                <w:lang w:eastAsia="ja-JP"/>
              </w:rPr>
              <w:t>s</w:t>
            </w:r>
            <w:r>
              <w:rPr>
                <w:i/>
                <w:iCs/>
                <w:lang w:eastAsia="ja-JP"/>
              </w:rPr>
              <w:t xml:space="preserve"> with local governments</w:t>
            </w:r>
            <w:r w:rsidR="00487495">
              <w:rPr>
                <w:i/>
                <w:iCs/>
                <w:lang w:eastAsia="ja-JP"/>
              </w:rPr>
              <w:t xml:space="preserve"> and approaches</w:t>
            </w:r>
            <w:r>
              <w:rPr>
                <w:i/>
                <w:iCs/>
                <w:lang w:eastAsia="ja-JP"/>
              </w:rPr>
              <w:t xml:space="preserve"> to translate knowledge into </w:t>
            </w:r>
            <w:r w:rsidR="00487495">
              <w:rPr>
                <w:i/>
                <w:iCs/>
                <w:lang w:eastAsia="ja-JP"/>
              </w:rPr>
              <w:t xml:space="preserve">local </w:t>
            </w:r>
            <w:r>
              <w:rPr>
                <w:i/>
                <w:iCs/>
                <w:lang w:eastAsia="ja-JP"/>
              </w:rPr>
              <w:t>actions</w:t>
            </w:r>
            <w:r w:rsidR="00487495">
              <w:rPr>
                <w:i/>
                <w:iCs/>
                <w:lang w:eastAsia="ja-JP"/>
              </w:rPr>
              <w:t xml:space="preserve"> led by the province</w:t>
            </w:r>
            <w:r>
              <w:rPr>
                <w:i/>
                <w:iCs/>
                <w:lang w:eastAsia="ja-JP"/>
              </w:rPr>
              <w:t>.</w:t>
            </w:r>
          </w:p>
          <w:p w14:paraId="14C38416" w14:textId="0C5723EC" w:rsidR="00A216B6" w:rsidRDefault="00A216B6" w:rsidP="00C9548B">
            <w:pPr>
              <w:rPr>
                <w:i/>
                <w:iCs/>
                <w:lang w:eastAsia="ja-JP"/>
              </w:rPr>
            </w:pPr>
          </w:p>
          <w:p w14:paraId="26C934E9" w14:textId="599253EA" w:rsidR="00A216B6" w:rsidRDefault="00F16515" w:rsidP="00C9548B">
            <w:pPr>
              <w:rPr>
                <w:b/>
                <w:i/>
                <w:iCs/>
                <w:lang w:eastAsia="ja-JP"/>
              </w:rPr>
            </w:pPr>
            <w:r>
              <w:rPr>
                <w:b/>
                <w:i/>
                <w:iCs/>
                <w:lang w:eastAsia="ja-JP"/>
              </w:rPr>
              <w:t>&lt;</w:t>
            </w:r>
            <w:r>
              <w:rPr>
                <w:rFonts w:hint="eastAsia"/>
                <w:b/>
                <w:i/>
                <w:iCs/>
                <w:lang w:eastAsia="ja-JP"/>
              </w:rPr>
              <w:t>P</w:t>
            </w:r>
            <w:r w:rsidR="00A216B6">
              <w:rPr>
                <w:b/>
                <w:i/>
                <w:iCs/>
                <w:lang w:eastAsia="ja-JP"/>
              </w:rPr>
              <w:t>anel discussion&gt;</w:t>
            </w:r>
          </w:p>
          <w:p w14:paraId="5DAA17EA" w14:textId="77777777" w:rsidR="00AC6040" w:rsidRPr="00A216B6" w:rsidRDefault="00AC6040" w:rsidP="00C9548B">
            <w:pPr>
              <w:rPr>
                <w:b/>
                <w:i/>
                <w:iCs/>
                <w:lang w:eastAsia="ja-JP"/>
              </w:rPr>
            </w:pPr>
          </w:p>
          <w:p w14:paraId="1036E579" w14:textId="7A34C3AC" w:rsidR="00F16515" w:rsidRPr="00141709" w:rsidRDefault="00141709" w:rsidP="00C9548B">
            <w:pPr>
              <w:rPr>
                <w:i/>
                <w:iCs/>
                <w:lang w:eastAsia="ja-JP"/>
              </w:rPr>
            </w:pPr>
            <w:r w:rsidRPr="00F16515">
              <w:rPr>
                <w:b/>
                <w:i/>
                <w:iCs/>
                <w:lang w:eastAsia="ja-JP"/>
              </w:rPr>
              <w:t xml:space="preserve">Ms.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Hitomi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Shimizu, SDGs Ambassador,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Shimokawa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Town, Hokkaido, Japan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 xml:space="preserve">talked about </w:t>
            </w:r>
            <w:proofErr w:type="spellStart"/>
            <w:r>
              <w:rPr>
                <w:i/>
                <w:iCs/>
                <w:lang w:eastAsia="ja-JP"/>
              </w:rPr>
              <w:t>Shimokawa</w:t>
            </w:r>
            <w:proofErr w:type="spellEnd"/>
            <w:r>
              <w:rPr>
                <w:i/>
                <w:iCs/>
                <w:lang w:eastAsia="ja-JP"/>
              </w:rPr>
              <w:t xml:space="preserve"> town’s approach on applying CES concept with people-centred activities. She introduced how her town uses the SDGs idea by connecting it to the town’s culture such as a community’s event.</w:t>
            </w:r>
          </w:p>
          <w:p w14:paraId="28C0037A" w14:textId="77777777" w:rsidR="00F16515" w:rsidRDefault="00F16515" w:rsidP="00C9548B">
            <w:pPr>
              <w:rPr>
                <w:i/>
                <w:iCs/>
                <w:lang w:eastAsia="ja-JP"/>
              </w:rPr>
            </w:pPr>
          </w:p>
          <w:p w14:paraId="15F4BA24" w14:textId="55438A6E" w:rsidR="00141709" w:rsidRDefault="00141709" w:rsidP="00141709">
            <w:pPr>
              <w:rPr>
                <w:i/>
                <w:iCs/>
                <w:lang w:eastAsia="ja-JP"/>
              </w:rPr>
            </w:pPr>
            <w:r w:rsidRPr="00F16515">
              <w:rPr>
                <w:b/>
                <w:i/>
                <w:iCs/>
                <w:lang w:eastAsia="ja-JP"/>
              </w:rPr>
              <w:t xml:space="preserve">Mr.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Wanchai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Chanporn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, Deputy Governor,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Udon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Thani, Thailand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b/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 xml:space="preserve">talked about his vision to </w:t>
            </w:r>
            <w:r w:rsidR="00CC0BAF">
              <w:rPr>
                <w:i/>
                <w:iCs/>
                <w:lang w:eastAsia="ja-JP"/>
              </w:rPr>
              <w:t>become the best model of</w:t>
            </w:r>
            <w:r>
              <w:rPr>
                <w:i/>
                <w:iCs/>
                <w:lang w:eastAsia="ja-JP"/>
              </w:rPr>
              <w:t xml:space="preserve"> CES </w:t>
            </w:r>
            <w:r w:rsidR="00CC0BAF">
              <w:rPr>
                <w:i/>
                <w:iCs/>
                <w:lang w:eastAsia="ja-JP"/>
              </w:rPr>
              <w:t>application</w:t>
            </w:r>
            <w:r>
              <w:rPr>
                <w:i/>
                <w:iCs/>
                <w:lang w:eastAsia="ja-JP"/>
              </w:rPr>
              <w:t xml:space="preserve"> in the next five years. He intends to make the region’s comprehensive plan greener mainly by supporting electric vehicles, reducing agricultural wastes and establishing “BCG (Bio-Circular-Green) economy” more concretely.</w:t>
            </w:r>
          </w:p>
          <w:p w14:paraId="38D56628" w14:textId="77777777" w:rsidR="00F16515" w:rsidRPr="00141709" w:rsidRDefault="00F16515" w:rsidP="00C9548B">
            <w:pPr>
              <w:rPr>
                <w:i/>
                <w:iCs/>
                <w:lang w:eastAsia="ja-JP"/>
              </w:rPr>
            </w:pPr>
          </w:p>
          <w:p w14:paraId="6CEAD1CA" w14:textId="1B227C00" w:rsidR="00141709" w:rsidRPr="00F16515" w:rsidRDefault="00141709" w:rsidP="00141709">
            <w:pPr>
              <w:rPr>
                <w:i/>
                <w:iCs/>
                <w:lang w:eastAsia="ja-JP"/>
              </w:rPr>
            </w:pPr>
            <w:r w:rsidRPr="00F16515">
              <w:rPr>
                <w:b/>
                <w:i/>
                <w:iCs/>
                <w:lang w:eastAsia="ja-JP"/>
              </w:rPr>
              <w:t xml:space="preserve">Professor </w:t>
            </w:r>
            <w:proofErr w:type="spellStart"/>
            <w:r w:rsidRPr="00F16515">
              <w:rPr>
                <w:b/>
                <w:i/>
                <w:iCs/>
                <w:lang w:eastAsia="ja-JP"/>
              </w:rPr>
              <w:t>Rajib</w:t>
            </w:r>
            <w:proofErr w:type="spellEnd"/>
            <w:r w:rsidRPr="00F16515">
              <w:rPr>
                <w:b/>
                <w:i/>
                <w:iCs/>
                <w:lang w:eastAsia="ja-JP"/>
              </w:rPr>
              <w:t xml:space="preserve"> Shaw, Keio University, </w:t>
            </w:r>
            <w:proofErr w:type="gramStart"/>
            <w:r w:rsidRPr="00F16515">
              <w:rPr>
                <w:b/>
                <w:i/>
                <w:iCs/>
                <w:lang w:eastAsia="ja-JP"/>
              </w:rPr>
              <w:t>Japan</w:t>
            </w:r>
            <w:proofErr w:type="gramEnd"/>
            <w:r w:rsidRPr="00F16515">
              <w:rPr>
                <w:b/>
                <w:i/>
                <w:iCs/>
                <w:lang w:eastAsia="ja-JP"/>
              </w:rPr>
              <w:t xml:space="preserve"> and Coordinating Lead Author for Asia chapter of IPCC’s 6th Assessment Report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mentioned the key perspectives in the application of CES – governance, technology, local knowledge and citizen’s approach. On the importance of citizen’s initiatives, he suggested to make “the last </w:t>
            </w:r>
            <w:r w:rsidR="00627A5D">
              <w:rPr>
                <w:i/>
                <w:iCs/>
                <w:lang w:eastAsia="ja-JP"/>
              </w:rPr>
              <w:t>one mile the first mile” in order to co-design and co-deliver the solutions.</w:t>
            </w:r>
          </w:p>
          <w:p w14:paraId="71EB953D" w14:textId="77777777" w:rsidR="00F16515" w:rsidRPr="00141709" w:rsidRDefault="00F16515" w:rsidP="00C9548B">
            <w:pPr>
              <w:rPr>
                <w:i/>
                <w:iCs/>
                <w:lang w:eastAsia="ja-JP"/>
              </w:rPr>
            </w:pPr>
          </w:p>
          <w:p w14:paraId="7700EB56" w14:textId="14FBBDE8" w:rsidR="006A1CEF" w:rsidRDefault="00524DAD" w:rsidP="00C9548B">
            <w:pPr>
              <w:rPr>
                <w:i/>
                <w:iCs/>
                <w:lang w:eastAsia="ja-JP"/>
              </w:rPr>
            </w:pPr>
            <w:r>
              <w:rPr>
                <w:b/>
                <w:i/>
                <w:iCs/>
                <w:lang w:eastAsia="ja-JP"/>
              </w:rPr>
              <w:t xml:space="preserve">Mr. </w:t>
            </w:r>
            <w:r w:rsidRPr="00F16515">
              <w:rPr>
                <w:b/>
                <w:i/>
                <w:iCs/>
                <w:lang w:eastAsia="ja-JP"/>
              </w:rPr>
              <w:t>Yasuo Takahashi, Executive Director, IGES</w:t>
            </w:r>
            <w:r w:rsidR="00AC6040">
              <w:rPr>
                <w:b/>
                <w:i/>
                <w:iCs/>
                <w:lang w:eastAsia="ja-JP"/>
              </w:rPr>
              <w:t>,</w:t>
            </w:r>
            <w:r>
              <w:rPr>
                <w:i/>
                <w:iCs/>
                <w:lang w:eastAsia="ja-JP"/>
              </w:rPr>
              <w:t xml:space="preserve"> </w:t>
            </w:r>
            <w:r w:rsidR="00CC0BAF">
              <w:rPr>
                <w:i/>
                <w:iCs/>
                <w:lang w:eastAsia="ja-JP"/>
              </w:rPr>
              <w:t>highlighted the importance of international effort</w:t>
            </w:r>
            <w:r w:rsidR="002D0ED7">
              <w:rPr>
                <w:i/>
                <w:iCs/>
                <w:lang w:eastAsia="ja-JP"/>
              </w:rPr>
              <w:t>s</w:t>
            </w:r>
            <w:r w:rsidR="00CC0BAF">
              <w:rPr>
                <w:i/>
                <w:iCs/>
                <w:lang w:eastAsia="ja-JP"/>
              </w:rPr>
              <w:t xml:space="preserve"> to advance the CES approach for localisation of SDGs and decarbonisation. In this regard, he introduced CES-Asia initiative by IGES, START and other key partners that aims to promote bottom-up approach to develop CES model in the local contexts. He also pointed out </w:t>
            </w:r>
            <w:r w:rsidR="002D0ED7">
              <w:rPr>
                <w:i/>
                <w:iCs/>
                <w:lang w:eastAsia="ja-JP"/>
              </w:rPr>
              <w:t xml:space="preserve">that </w:t>
            </w:r>
            <w:r w:rsidR="00CC0BAF">
              <w:rPr>
                <w:i/>
                <w:iCs/>
                <w:lang w:eastAsia="ja-JP"/>
              </w:rPr>
              <w:t>bottom-up approach will lead to the national policy process as well as global agenda development process.</w:t>
            </w:r>
          </w:p>
          <w:p w14:paraId="3C3B4EED" w14:textId="77777777" w:rsidR="002D553F" w:rsidRDefault="002D553F" w:rsidP="00C9548B">
            <w:pPr>
              <w:rPr>
                <w:i/>
                <w:iCs/>
                <w:lang w:eastAsia="ja-JP"/>
              </w:rPr>
            </w:pPr>
          </w:p>
          <w:p w14:paraId="533A9ADE" w14:textId="004EADC2" w:rsidR="002D553F" w:rsidRPr="00524DAD" w:rsidRDefault="002D553F" w:rsidP="00C9548B">
            <w:pPr>
              <w:rPr>
                <w:i/>
                <w:iCs/>
                <w:lang w:eastAsia="ja-JP"/>
              </w:rPr>
            </w:pPr>
            <w:r>
              <w:rPr>
                <w:i/>
                <w:iCs/>
                <w:lang w:eastAsia="ja-JP"/>
              </w:rPr>
              <w:lastRenderedPageBreak/>
              <w:t xml:space="preserve">The moderator, </w:t>
            </w:r>
            <w:proofErr w:type="spellStart"/>
            <w:r>
              <w:rPr>
                <w:b/>
                <w:i/>
                <w:iCs/>
                <w:lang w:eastAsia="ja-JP"/>
              </w:rPr>
              <w:t>Dr.</w:t>
            </w:r>
            <w:proofErr w:type="spellEnd"/>
            <w:r>
              <w:rPr>
                <w:b/>
                <w:i/>
                <w:iCs/>
                <w:lang w:eastAsia="ja-JP"/>
              </w:rPr>
              <w:t xml:space="preserve"> E</w:t>
            </w:r>
            <w:r w:rsidRPr="00A216B6">
              <w:rPr>
                <w:b/>
                <w:i/>
                <w:iCs/>
                <w:lang w:eastAsia="ja-JP"/>
              </w:rPr>
              <w:t xml:space="preserve">ric </w:t>
            </w:r>
            <w:proofErr w:type="spellStart"/>
            <w:r w:rsidRPr="00A216B6">
              <w:rPr>
                <w:b/>
                <w:i/>
                <w:iCs/>
                <w:lang w:eastAsia="ja-JP"/>
              </w:rPr>
              <w:t>Zusman</w:t>
            </w:r>
            <w:proofErr w:type="spellEnd"/>
            <w:r w:rsidRPr="00A216B6">
              <w:rPr>
                <w:b/>
                <w:i/>
                <w:iCs/>
                <w:lang w:eastAsia="ja-JP"/>
              </w:rPr>
              <w:t xml:space="preserve">, Research Leader, Integrated Sustainability </w:t>
            </w:r>
            <w:proofErr w:type="spellStart"/>
            <w:r w:rsidRPr="00A216B6">
              <w:rPr>
                <w:b/>
                <w:i/>
                <w:iCs/>
                <w:lang w:eastAsia="ja-JP"/>
              </w:rPr>
              <w:t>Center</w:t>
            </w:r>
            <w:proofErr w:type="spellEnd"/>
            <w:r w:rsidRPr="00A216B6">
              <w:rPr>
                <w:b/>
                <w:i/>
                <w:iCs/>
                <w:lang w:eastAsia="ja-JP"/>
              </w:rPr>
              <w:t>, IGES</w:t>
            </w:r>
            <w:r>
              <w:rPr>
                <w:i/>
                <w:iCs/>
                <w:lang w:eastAsia="ja-JP"/>
              </w:rPr>
              <w:t xml:space="preserve">, summarised the event </w:t>
            </w:r>
            <w:r w:rsidR="00E91834">
              <w:rPr>
                <w:i/>
                <w:iCs/>
                <w:lang w:eastAsia="ja-JP"/>
              </w:rPr>
              <w:t xml:space="preserve">that it </w:t>
            </w:r>
            <w:r>
              <w:rPr>
                <w:i/>
                <w:iCs/>
                <w:lang w:eastAsia="ja-JP"/>
              </w:rPr>
              <w:t xml:space="preserve">brought together examples in different contexts and views from different positions, </w:t>
            </w:r>
            <w:r w:rsidR="00627A5D">
              <w:rPr>
                <w:i/>
                <w:iCs/>
                <w:lang w:eastAsia="ja-JP"/>
              </w:rPr>
              <w:t>which made this event itself a place to share knowledge and co-design solutions.</w:t>
            </w:r>
          </w:p>
        </w:tc>
      </w:tr>
    </w:tbl>
    <w:p w14:paraId="386D668E" w14:textId="77777777" w:rsidR="00B378EB" w:rsidRPr="00B378EB" w:rsidRDefault="00B378EB" w:rsidP="00491F85">
      <w:pPr>
        <w:rPr>
          <w:lang w:eastAsia="ja-JP"/>
        </w:rPr>
      </w:pPr>
    </w:p>
    <w:sectPr w:rsidR="00B378EB" w:rsidRPr="00B378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788"/>
    <w:multiLevelType w:val="hybridMultilevel"/>
    <w:tmpl w:val="1FCC5DB2"/>
    <w:lvl w:ilvl="0" w:tplc="DEF018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C5F28"/>
    <w:multiLevelType w:val="hybridMultilevel"/>
    <w:tmpl w:val="ED9E5BD6"/>
    <w:lvl w:ilvl="0" w:tplc="F1609BFE">
      <w:start w:val="18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C24C3"/>
    <w:multiLevelType w:val="hybridMultilevel"/>
    <w:tmpl w:val="256040D8"/>
    <w:lvl w:ilvl="0" w:tplc="05E4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22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45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C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A9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84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E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4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0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6115"/>
    <w:multiLevelType w:val="hybridMultilevel"/>
    <w:tmpl w:val="2C32EF32"/>
    <w:lvl w:ilvl="0" w:tplc="DC2ABE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D0C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C7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4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21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8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4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0C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82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E3DB"/>
    <w:multiLevelType w:val="hybridMultilevel"/>
    <w:tmpl w:val="2C344A44"/>
    <w:lvl w:ilvl="0" w:tplc="745A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6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4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AB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8B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9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26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C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3EBA"/>
    <w:multiLevelType w:val="hybridMultilevel"/>
    <w:tmpl w:val="82A208DC"/>
    <w:lvl w:ilvl="0" w:tplc="2EDE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AB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8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AD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0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3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82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6955"/>
    <w:multiLevelType w:val="hybridMultilevel"/>
    <w:tmpl w:val="598E10A8"/>
    <w:lvl w:ilvl="0" w:tplc="E50EE7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503BBB"/>
    <w:multiLevelType w:val="hybridMultilevel"/>
    <w:tmpl w:val="C5B8B626"/>
    <w:lvl w:ilvl="0" w:tplc="38406608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568364">
    <w:abstractNumId w:val="5"/>
  </w:num>
  <w:num w:numId="2" w16cid:durableId="308636842">
    <w:abstractNumId w:val="2"/>
  </w:num>
  <w:num w:numId="3" w16cid:durableId="308246979">
    <w:abstractNumId w:val="3"/>
  </w:num>
  <w:num w:numId="4" w16cid:durableId="1186792470">
    <w:abstractNumId w:val="4"/>
  </w:num>
  <w:num w:numId="5" w16cid:durableId="378239849">
    <w:abstractNumId w:val="0"/>
  </w:num>
  <w:num w:numId="6" w16cid:durableId="1744260320">
    <w:abstractNumId w:val="1"/>
  </w:num>
  <w:num w:numId="7" w16cid:durableId="1105803718">
    <w:abstractNumId w:val="7"/>
  </w:num>
  <w:num w:numId="8" w16cid:durableId="135477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71FA39"/>
    <w:rsid w:val="000153B1"/>
    <w:rsid w:val="0005053F"/>
    <w:rsid w:val="000745EA"/>
    <w:rsid w:val="000A4DC6"/>
    <w:rsid w:val="00141709"/>
    <w:rsid w:val="0019680A"/>
    <w:rsid w:val="001F4FC9"/>
    <w:rsid w:val="00265632"/>
    <w:rsid w:val="00283BC9"/>
    <w:rsid w:val="002D0ED7"/>
    <w:rsid w:val="002D553F"/>
    <w:rsid w:val="0030332E"/>
    <w:rsid w:val="003E6846"/>
    <w:rsid w:val="00407EED"/>
    <w:rsid w:val="00487495"/>
    <w:rsid w:val="00491F85"/>
    <w:rsid w:val="00524DAD"/>
    <w:rsid w:val="0055522D"/>
    <w:rsid w:val="005F3979"/>
    <w:rsid w:val="00627A5D"/>
    <w:rsid w:val="00660AB7"/>
    <w:rsid w:val="006A1CEF"/>
    <w:rsid w:val="00773209"/>
    <w:rsid w:val="007F6283"/>
    <w:rsid w:val="00872DAE"/>
    <w:rsid w:val="008B0B0F"/>
    <w:rsid w:val="00935DD5"/>
    <w:rsid w:val="0094131B"/>
    <w:rsid w:val="009C25F1"/>
    <w:rsid w:val="009C3963"/>
    <w:rsid w:val="009C6BB4"/>
    <w:rsid w:val="00A13435"/>
    <w:rsid w:val="00A216B6"/>
    <w:rsid w:val="00A25EEC"/>
    <w:rsid w:val="00A8543B"/>
    <w:rsid w:val="00AB2C54"/>
    <w:rsid w:val="00AC6040"/>
    <w:rsid w:val="00B378EB"/>
    <w:rsid w:val="00B75CE4"/>
    <w:rsid w:val="00BC02B2"/>
    <w:rsid w:val="00C9548B"/>
    <w:rsid w:val="00CC0BAF"/>
    <w:rsid w:val="00D11128"/>
    <w:rsid w:val="00D13D71"/>
    <w:rsid w:val="00DA14C8"/>
    <w:rsid w:val="00DD66D2"/>
    <w:rsid w:val="00DE3B46"/>
    <w:rsid w:val="00E0312E"/>
    <w:rsid w:val="00E30AF2"/>
    <w:rsid w:val="00E91834"/>
    <w:rsid w:val="00F16515"/>
    <w:rsid w:val="00F4302B"/>
    <w:rsid w:val="00F65F74"/>
    <w:rsid w:val="00F910B7"/>
    <w:rsid w:val="00FD75C3"/>
    <w:rsid w:val="05C04687"/>
    <w:rsid w:val="1471FA39"/>
    <w:rsid w:val="1889ACDB"/>
    <w:rsid w:val="1915F899"/>
    <w:rsid w:val="358D319F"/>
    <w:rsid w:val="390FF06E"/>
    <w:rsid w:val="52AD752D"/>
    <w:rsid w:val="698CD57F"/>
    <w:rsid w:val="6D535C4D"/>
    <w:rsid w:val="6EEF2CAE"/>
    <w:rsid w:val="708AFD0F"/>
    <w:rsid w:val="760022AC"/>
    <w:rsid w:val="7F5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471FA39"/>
  <w15:chartTrackingRefBased/>
  <w15:docId w15:val="{174F08BE-ADFE-4AEE-9A04-CC5051A6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57C82F7016B43815690E6CC3E9EDE" ma:contentTypeVersion="9" ma:contentTypeDescription="Create a new document." ma:contentTypeScope="" ma:versionID="2200a832ba9dd08d7d9e40f4b489f957">
  <xsd:schema xmlns:xsd="http://www.w3.org/2001/XMLSchema" xmlns:xs="http://www.w3.org/2001/XMLSchema" xmlns:p="http://schemas.microsoft.com/office/2006/metadata/properties" xmlns:ns3="8d0a0b48-7c0f-421a-97e3-2d894d7f4439" xmlns:ns4="7f3060fc-effa-4893-9d26-8e783741bca4" targetNamespace="http://schemas.microsoft.com/office/2006/metadata/properties" ma:root="true" ma:fieldsID="c233d0fc2622643e2da6678c3a41e104" ns3:_="" ns4:_="">
    <xsd:import namespace="8d0a0b48-7c0f-421a-97e3-2d894d7f4439"/>
    <xsd:import namespace="7f3060fc-effa-4893-9d26-8e783741b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0b48-7c0f-421a-97e3-2d894d7f4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0fc-effa-4893-9d26-8e783741b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98081-DAAB-4411-996B-C6012EE3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0b48-7c0f-421a-97e3-2d894d7f4439"/>
    <ds:schemaRef ds:uri="7f3060fc-effa-4893-9d26-8e783741b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16B26-3829-4DED-81CA-50DA11D85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0EBAF-7BB3-4A21-83E5-CFA6B62EDCE3}">
  <ds:schemaRefs>
    <ds:schemaRef ds:uri="7f3060fc-effa-4893-9d26-8e783741bca4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8d0a0b48-7c0f-421a-97e3-2d894d7f4439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4956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Hope Sutherland</dc:creator>
  <cp:keywords/>
  <dc:description/>
  <cp:lastModifiedBy>Jonathan Proksch</cp:lastModifiedBy>
  <cp:revision>2</cp:revision>
  <dcterms:created xsi:type="dcterms:W3CDTF">2022-07-28T13:25:00Z</dcterms:created>
  <dcterms:modified xsi:type="dcterms:W3CDTF">2022-07-28T13:25:00Z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0x010100C0757C82F7016B43815690E6CC3E9EDE</vt:lpwstr>
  </property>
</Properties>
</file>