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0FCC" w14:textId="77777777" w:rsidR="008B0B0F" w:rsidRPr="003E00A0" w:rsidRDefault="008B0B0F" w:rsidP="008B0B0F">
      <w:pPr>
        <w:spacing w:after="0"/>
        <w:jc w:val="center"/>
        <w:rPr>
          <w:rFonts w:ascii="Segoe UI" w:eastAsia="Segoe UI" w:hAnsi="Segoe UI" w:cs="Segoe UI"/>
          <w:b/>
          <w:bCs/>
          <w:color w:val="2E74B5" w:themeColor="accent5" w:themeShade="BF"/>
          <w:sz w:val="28"/>
          <w:szCs w:val="28"/>
        </w:rPr>
      </w:pPr>
      <w:r w:rsidRPr="003E00A0">
        <w:rPr>
          <w:rFonts w:ascii="Segoe UI" w:eastAsia="Segoe UI" w:hAnsi="Segoe UI" w:cs="Segoe UI"/>
          <w:b/>
          <w:bCs/>
          <w:color w:val="2E74B5" w:themeColor="accent5" w:themeShade="BF"/>
          <w:sz w:val="28"/>
          <w:szCs w:val="28"/>
        </w:rPr>
        <w:t xml:space="preserve">Third Global Conference on Strengthening Synergies </w:t>
      </w:r>
    </w:p>
    <w:p w14:paraId="1AB5DBAC" w14:textId="4DEEB044" w:rsidR="008B0B0F" w:rsidRPr="003E00A0" w:rsidRDefault="008B0B0F" w:rsidP="008B0B0F">
      <w:pPr>
        <w:jc w:val="center"/>
        <w:rPr>
          <w:rFonts w:ascii="Segoe UI" w:eastAsia="Segoe UI" w:hAnsi="Segoe UI" w:cs="Segoe UI"/>
          <w:b/>
          <w:bCs/>
          <w:color w:val="2E74B5" w:themeColor="accent5" w:themeShade="BF"/>
          <w:sz w:val="28"/>
          <w:szCs w:val="28"/>
        </w:rPr>
      </w:pPr>
      <w:r w:rsidRPr="003E00A0">
        <w:rPr>
          <w:rFonts w:ascii="Segoe UI" w:eastAsia="Segoe UI" w:hAnsi="Segoe UI" w:cs="Segoe UI"/>
          <w:b/>
          <w:bCs/>
          <w:color w:val="2E74B5" w:themeColor="accent5" w:themeShade="BF"/>
          <w:sz w:val="28"/>
          <w:szCs w:val="28"/>
        </w:rPr>
        <w:t xml:space="preserve">between the Paris Agreement and the </w:t>
      </w:r>
      <w:r w:rsidR="00D11128" w:rsidRPr="003E00A0">
        <w:rPr>
          <w:rFonts w:ascii="Segoe UI" w:eastAsia="Segoe UI" w:hAnsi="Segoe UI" w:cs="Segoe UI"/>
          <w:b/>
          <w:bCs/>
          <w:color w:val="2E74B5" w:themeColor="accent5" w:themeShade="BF"/>
          <w:sz w:val="28"/>
          <w:szCs w:val="28"/>
        </w:rPr>
        <w:t>2030 Agenda</w:t>
      </w:r>
      <w:r w:rsidRPr="003E00A0">
        <w:rPr>
          <w:rFonts w:ascii="Segoe UI" w:eastAsia="Segoe UI" w:hAnsi="Segoe UI" w:cs="Segoe UI"/>
          <w:b/>
          <w:bCs/>
          <w:color w:val="2E74B5" w:themeColor="accent5" w:themeShade="BF"/>
          <w:sz w:val="28"/>
          <w:szCs w:val="28"/>
        </w:rPr>
        <w:t xml:space="preserve"> for Sustainable Development</w:t>
      </w:r>
    </w:p>
    <w:p w14:paraId="794FD490" w14:textId="56528B2A" w:rsidR="05C04687" w:rsidRPr="003E00A0" w:rsidRDefault="008B0B0F" w:rsidP="05C04687">
      <w:pPr>
        <w:jc w:val="center"/>
        <w:rPr>
          <w:rFonts w:ascii="Segoe UI" w:eastAsia="Segoe UI" w:hAnsi="Segoe UI" w:cs="Segoe UI"/>
          <w:i/>
          <w:iCs/>
          <w:color w:val="000000" w:themeColor="text1"/>
          <w:sz w:val="24"/>
          <w:szCs w:val="24"/>
        </w:rPr>
      </w:pPr>
      <w:r w:rsidRPr="003E00A0">
        <w:rPr>
          <w:rFonts w:ascii="Segoe UI" w:eastAsia="Segoe UI" w:hAnsi="Segoe UI" w:cs="Segoe UI"/>
          <w:i/>
          <w:iCs/>
          <w:color w:val="000000" w:themeColor="text1"/>
          <w:sz w:val="24"/>
          <w:szCs w:val="24"/>
        </w:rPr>
        <w:t>Tokyo</w:t>
      </w:r>
      <w:r w:rsidR="05C04687" w:rsidRPr="003E00A0">
        <w:rPr>
          <w:rFonts w:ascii="Segoe UI" w:eastAsia="Segoe UI" w:hAnsi="Segoe UI" w:cs="Segoe UI"/>
          <w:i/>
          <w:iCs/>
          <w:color w:val="000000" w:themeColor="text1"/>
          <w:sz w:val="24"/>
          <w:szCs w:val="24"/>
        </w:rPr>
        <w:t xml:space="preserve">, </w:t>
      </w:r>
      <w:r w:rsidRPr="003E00A0">
        <w:rPr>
          <w:rFonts w:ascii="Segoe UI" w:eastAsia="Segoe UI" w:hAnsi="Segoe UI" w:cs="Segoe UI"/>
          <w:i/>
          <w:iCs/>
          <w:color w:val="000000" w:themeColor="text1"/>
          <w:sz w:val="24"/>
          <w:szCs w:val="24"/>
        </w:rPr>
        <w:t>Japan / Online</w:t>
      </w:r>
    </w:p>
    <w:p w14:paraId="27862D72" w14:textId="50AB9981" w:rsidR="05C04687" w:rsidRDefault="008B0B0F" w:rsidP="05C04687">
      <w:pPr>
        <w:jc w:val="center"/>
        <w:rPr>
          <w:rFonts w:ascii="Segoe UI" w:eastAsia="Segoe UI" w:hAnsi="Segoe UI" w:cs="Segoe UI"/>
          <w:i/>
          <w:iCs/>
          <w:color w:val="000000" w:themeColor="text1"/>
          <w:sz w:val="24"/>
          <w:szCs w:val="24"/>
        </w:rPr>
      </w:pPr>
      <w:r w:rsidRPr="003E00A0">
        <w:rPr>
          <w:rFonts w:ascii="Segoe UI" w:eastAsia="Segoe UI" w:hAnsi="Segoe UI" w:cs="Segoe UI"/>
          <w:i/>
          <w:iCs/>
          <w:color w:val="000000" w:themeColor="text1"/>
          <w:sz w:val="24"/>
          <w:szCs w:val="24"/>
        </w:rPr>
        <w:t>20-21</w:t>
      </w:r>
      <w:r w:rsidR="05C04687" w:rsidRPr="003E00A0">
        <w:rPr>
          <w:rFonts w:ascii="Segoe UI" w:eastAsia="Segoe UI" w:hAnsi="Segoe UI" w:cs="Segoe UI"/>
          <w:i/>
          <w:iCs/>
          <w:color w:val="000000" w:themeColor="text1"/>
          <w:sz w:val="24"/>
          <w:szCs w:val="24"/>
        </w:rPr>
        <w:t xml:space="preserve"> </w:t>
      </w:r>
      <w:r w:rsidRPr="003E00A0">
        <w:rPr>
          <w:rFonts w:ascii="Segoe UI" w:eastAsia="Segoe UI" w:hAnsi="Segoe UI" w:cs="Segoe UI"/>
          <w:i/>
          <w:iCs/>
          <w:color w:val="000000" w:themeColor="text1"/>
          <w:sz w:val="24"/>
          <w:szCs w:val="24"/>
        </w:rPr>
        <w:t>July</w:t>
      </w:r>
      <w:r w:rsidR="05C04687" w:rsidRPr="003E00A0">
        <w:rPr>
          <w:rFonts w:ascii="Segoe UI" w:eastAsia="Segoe UI" w:hAnsi="Segoe UI" w:cs="Segoe UI"/>
          <w:i/>
          <w:iCs/>
          <w:color w:val="000000" w:themeColor="text1"/>
          <w:sz w:val="24"/>
          <w:szCs w:val="24"/>
        </w:rPr>
        <w:t xml:space="preserve"> 2022</w:t>
      </w:r>
    </w:p>
    <w:p w14:paraId="2B67110E" w14:textId="5EAE7DEF" w:rsidR="05C04687" w:rsidRDefault="00CB0920" w:rsidP="00CB0920">
      <w:pPr>
        <w:jc w:val="center"/>
        <w:rPr>
          <w:rFonts w:ascii="Segoe UI" w:eastAsia="Segoe UI" w:hAnsi="Segoe UI" w:cs="Segoe UI"/>
          <w:i/>
          <w:iCs/>
          <w:color w:val="000000" w:themeColor="text1"/>
          <w:sz w:val="24"/>
          <w:szCs w:val="24"/>
        </w:rPr>
      </w:pPr>
      <w:r>
        <w:rPr>
          <w:rFonts w:ascii="Segoe UI" w:eastAsia="Segoe UI" w:hAnsi="Segoe UI" w:cs="Segoe UI"/>
          <w:i/>
          <w:iCs/>
          <w:color w:val="000000" w:themeColor="text1"/>
          <w:sz w:val="24"/>
          <w:szCs w:val="24"/>
        </w:rPr>
        <w:t>Side Event Summary</w:t>
      </w:r>
    </w:p>
    <w:p w14:paraId="67222B6A" w14:textId="77777777" w:rsidR="00CB0920" w:rsidRPr="003E00A0" w:rsidRDefault="00CB0920" w:rsidP="00CB0920">
      <w:pPr>
        <w:jc w:val="center"/>
      </w:pPr>
    </w:p>
    <w:tbl>
      <w:tblPr>
        <w:tblStyle w:val="TableGrid"/>
        <w:tblW w:w="0" w:type="auto"/>
        <w:tblLayout w:type="fixed"/>
        <w:tblLook w:val="06A0" w:firstRow="1" w:lastRow="0" w:firstColumn="1" w:lastColumn="0" w:noHBand="1" w:noVBand="1"/>
      </w:tblPr>
      <w:tblGrid>
        <w:gridCol w:w="8989"/>
      </w:tblGrid>
      <w:tr w:rsidR="00C9548B" w:rsidRPr="003E00A0" w14:paraId="40ED5DA9" w14:textId="77777777" w:rsidTr="00C9548B">
        <w:trPr>
          <w:trHeight w:val="322"/>
        </w:trPr>
        <w:tc>
          <w:tcPr>
            <w:tcW w:w="8989" w:type="dxa"/>
          </w:tcPr>
          <w:p w14:paraId="53FCFD60" w14:textId="7BFC96D8" w:rsidR="00C9548B" w:rsidRPr="003E00A0" w:rsidRDefault="008B0B0F" w:rsidP="05C04687">
            <w:pPr>
              <w:rPr>
                <w:rFonts w:ascii="Segoe UI" w:eastAsia="Segoe UI" w:hAnsi="Segoe UI" w:cs="Segoe UI"/>
              </w:rPr>
            </w:pPr>
            <w:r w:rsidRPr="003E00A0">
              <w:rPr>
                <w:rFonts w:ascii="Segoe UI" w:eastAsia="Segoe UI" w:hAnsi="Segoe UI" w:cs="Segoe UI"/>
                <w:b/>
                <w:bCs/>
              </w:rPr>
              <w:t>Event</w:t>
            </w:r>
            <w:r w:rsidR="00C9548B" w:rsidRPr="003E00A0">
              <w:rPr>
                <w:rFonts w:ascii="Segoe UI" w:eastAsia="Segoe UI" w:hAnsi="Segoe UI" w:cs="Segoe UI"/>
                <w:b/>
                <w:bCs/>
              </w:rPr>
              <w:t xml:space="preserve"> title</w:t>
            </w:r>
            <w:r w:rsidR="00C9548B" w:rsidRPr="003E00A0">
              <w:rPr>
                <w:rFonts w:ascii="Segoe UI" w:eastAsia="Segoe UI" w:hAnsi="Segoe UI" w:cs="Segoe UI"/>
              </w:rPr>
              <w:t xml:space="preserve"> </w:t>
            </w:r>
          </w:p>
        </w:tc>
      </w:tr>
      <w:tr w:rsidR="00C9548B" w:rsidRPr="003E00A0" w14:paraId="3D2F7F32" w14:textId="77777777" w:rsidTr="00F65F74">
        <w:trPr>
          <w:trHeight w:val="966"/>
        </w:trPr>
        <w:tc>
          <w:tcPr>
            <w:tcW w:w="8989" w:type="dxa"/>
          </w:tcPr>
          <w:p w14:paraId="787A7275" w14:textId="77777777" w:rsidR="00CB0920" w:rsidRDefault="00CB0920" w:rsidP="00F65F74">
            <w:pPr>
              <w:rPr>
                <w:i/>
                <w:iCs/>
              </w:rPr>
            </w:pPr>
          </w:p>
          <w:p w14:paraId="73442247" w14:textId="5EE28FBA" w:rsidR="00C9548B" w:rsidRDefault="002953E2" w:rsidP="00F65F74">
            <w:pPr>
              <w:rPr>
                <w:i/>
                <w:iCs/>
              </w:rPr>
            </w:pPr>
            <w:r w:rsidRPr="003E00A0">
              <w:rPr>
                <w:i/>
                <w:iCs/>
              </w:rPr>
              <w:t>Promoting synergies at local level: Why Local Governments are strengthening synergies between climate agenda and sustainable development?</w:t>
            </w:r>
          </w:p>
          <w:p w14:paraId="08ABA392" w14:textId="13AD1D27" w:rsidR="00CB0920" w:rsidRPr="003E00A0" w:rsidRDefault="00CB0920" w:rsidP="00F65F74">
            <w:pPr>
              <w:rPr>
                <w:i/>
                <w:iCs/>
              </w:rPr>
            </w:pPr>
          </w:p>
        </w:tc>
      </w:tr>
      <w:tr w:rsidR="00C9548B" w:rsidRPr="003E00A0" w14:paraId="69EBC246" w14:textId="77777777" w:rsidTr="00CB0920">
        <w:trPr>
          <w:trHeight w:val="354"/>
        </w:trPr>
        <w:tc>
          <w:tcPr>
            <w:tcW w:w="8989" w:type="dxa"/>
          </w:tcPr>
          <w:p w14:paraId="535E74B1" w14:textId="7BC7689A" w:rsidR="00C9548B" w:rsidRPr="003E00A0" w:rsidRDefault="00C9548B" w:rsidP="00F65F74">
            <w:pPr>
              <w:rPr>
                <w:rFonts w:ascii="Segoe UI" w:eastAsia="Segoe UI" w:hAnsi="Segoe UI" w:cs="Segoe UI"/>
                <w:b/>
                <w:bCs/>
                <w:color w:val="000000" w:themeColor="text1"/>
              </w:rPr>
            </w:pPr>
            <w:r w:rsidRPr="003E00A0">
              <w:rPr>
                <w:rFonts w:ascii="Segoe UI" w:eastAsia="Segoe UI" w:hAnsi="Segoe UI" w:cs="Segoe UI"/>
                <w:b/>
                <w:bCs/>
                <w:color w:val="000000" w:themeColor="text1"/>
              </w:rPr>
              <w:t>Overview of event and key messages</w:t>
            </w:r>
          </w:p>
        </w:tc>
      </w:tr>
      <w:tr w:rsidR="00C9548B" w:rsidRPr="003E00A0" w14:paraId="07389EE8" w14:textId="77777777" w:rsidTr="00C9548B">
        <w:trPr>
          <w:trHeight w:val="604"/>
        </w:trPr>
        <w:tc>
          <w:tcPr>
            <w:tcW w:w="8989" w:type="dxa"/>
          </w:tcPr>
          <w:p w14:paraId="26752F85" w14:textId="77777777" w:rsidR="00F65F74" w:rsidRPr="003E00A0" w:rsidRDefault="00F65F74" w:rsidP="00C9548B">
            <w:pPr>
              <w:rPr>
                <w:i/>
                <w:iCs/>
              </w:rPr>
            </w:pPr>
          </w:p>
          <w:p w14:paraId="3A32E33C" w14:textId="0B029F8F" w:rsidR="00F65F74" w:rsidRPr="003E00A0" w:rsidRDefault="002953E2" w:rsidP="00CB0920">
            <w:pPr>
              <w:rPr>
                <w:i/>
                <w:iCs/>
              </w:rPr>
            </w:pPr>
            <w:r w:rsidRPr="003E00A0">
              <w:rPr>
                <w:i/>
                <w:iCs/>
              </w:rPr>
              <w:t>Local and regional governments (LRGs) are actively working to localise climate and sustainability agendas.</w:t>
            </w:r>
            <w:r w:rsidR="008B4575" w:rsidRPr="003E00A0">
              <w:rPr>
                <w:i/>
                <w:iCs/>
              </w:rPr>
              <w:t xml:space="preserve"> A growing number of cities have declared their intentions to achieve carbon neutrality by 2050—and in many cases, even before that date—while also are deploying innovative strategies to localise the Sustainable Development Goals.</w:t>
            </w:r>
            <w:r w:rsidRPr="003E00A0">
              <w:rPr>
                <w:i/>
                <w:iCs/>
              </w:rPr>
              <w:t xml:space="preserve"> This side event, moderated by Yatsuka Kataoka, Programme Director, City Taskforce, IGES, brought together a wide range of representatives from local and regional governments to discuss how they are strengthening synergies between climate action and the SDGs at the local level. Speakers remarked the crucial role of LRGs in implementing global agendas and materialising tangible actions.</w:t>
            </w:r>
            <w:r w:rsidR="008B4575" w:rsidRPr="003E00A0">
              <w:rPr>
                <w:i/>
                <w:iCs/>
              </w:rPr>
              <w:t xml:space="preserve"> At the same time, they noted the need to overcome barriers to implementation, such as the current silo approach of much of local governance, </w:t>
            </w:r>
            <w:proofErr w:type="gramStart"/>
            <w:r w:rsidR="008B4575" w:rsidRPr="003E00A0">
              <w:rPr>
                <w:i/>
                <w:iCs/>
              </w:rPr>
              <w:t>in order to</w:t>
            </w:r>
            <w:proofErr w:type="gramEnd"/>
            <w:r w:rsidR="008B4575" w:rsidRPr="003E00A0">
              <w:rPr>
                <w:i/>
                <w:iCs/>
              </w:rPr>
              <w:t xml:space="preserve"> find additional synergies. One notable tool used to facilitate the conceptualisation of synergies is the Voluntary Local Review (VLR) process, which helps </w:t>
            </w:r>
            <w:r w:rsidR="0066121B" w:rsidRPr="003E00A0">
              <w:rPr>
                <w:i/>
                <w:iCs/>
              </w:rPr>
              <w:t>to find synergies between different policy domains while also limiting trade-offs.</w:t>
            </w:r>
          </w:p>
          <w:p w14:paraId="04F5A5D8" w14:textId="4D44463E" w:rsidR="00F65F74" w:rsidRPr="003E00A0" w:rsidRDefault="00F65F74" w:rsidP="00ED44F8">
            <w:pPr>
              <w:rPr>
                <w:i/>
                <w:iCs/>
                <w:lang w:eastAsia="ja-JP"/>
              </w:rPr>
            </w:pPr>
          </w:p>
        </w:tc>
      </w:tr>
      <w:tr w:rsidR="00C9548B" w:rsidRPr="003E00A0" w14:paraId="3EDC9A30" w14:textId="77777777" w:rsidTr="00F65F74">
        <w:trPr>
          <w:trHeight w:val="380"/>
        </w:trPr>
        <w:tc>
          <w:tcPr>
            <w:tcW w:w="8989" w:type="dxa"/>
          </w:tcPr>
          <w:p w14:paraId="02E4CE9C" w14:textId="459764CD" w:rsidR="00C9548B" w:rsidRPr="003E00A0" w:rsidRDefault="00C9548B" w:rsidP="00F65F74">
            <w:pPr>
              <w:rPr>
                <w:rFonts w:ascii="Segoe UI" w:eastAsia="Segoe UI" w:hAnsi="Segoe UI" w:cs="Segoe UI"/>
                <w:b/>
                <w:bCs/>
                <w:color w:val="201F1E"/>
              </w:rPr>
            </w:pPr>
            <w:r w:rsidRPr="003E00A0">
              <w:rPr>
                <w:rFonts w:ascii="Segoe UI" w:eastAsia="Segoe UI" w:hAnsi="Segoe UI" w:cs="Segoe UI"/>
                <w:b/>
                <w:bCs/>
              </w:rPr>
              <w:t>S</w:t>
            </w:r>
            <w:r w:rsidRPr="003E00A0">
              <w:rPr>
                <w:rFonts w:ascii="Segoe UI" w:eastAsia="Segoe UI" w:hAnsi="Segoe UI" w:cs="Segoe UI"/>
                <w:b/>
                <w:bCs/>
                <w:color w:val="201F1E"/>
              </w:rPr>
              <w:t>peaker notes (including remarks by moderator)</w:t>
            </w:r>
          </w:p>
        </w:tc>
      </w:tr>
      <w:tr w:rsidR="00C9548B" w:rsidRPr="003E00A0" w14:paraId="580EC5CD" w14:textId="77777777" w:rsidTr="00C9548B">
        <w:trPr>
          <w:trHeight w:val="591"/>
        </w:trPr>
        <w:tc>
          <w:tcPr>
            <w:tcW w:w="8989" w:type="dxa"/>
          </w:tcPr>
          <w:p w14:paraId="34FC4FDF" w14:textId="77777777" w:rsidR="00F70470" w:rsidRPr="003E00A0" w:rsidRDefault="00F70470" w:rsidP="00ED44F8">
            <w:pPr>
              <w:rPr>
                <w:b/>
                <w:bCs/>
                <w:i/>
                <w:iCs/>
              </w:rPr>
            </w:pPr>
          </w:p>
          <w:p w14:paraId="4FA4FC6F" w14:textId="5BB7116B" w:rsidR="0066121B" w:rsidRDefault="0066121B" w:rsidP="008B0B0F">
            <w:pPr>
              <w:ind w:left="720"/>
              <w:jc w:val="both"/>
              <w:rPr>
                <w:i/>
                <w:iCs/>
              </w:rPr>
            </w:pPr>
            <w:r w:rsidRPr="003E00A0">
              <w:rPr>
                <w:b/>
                <w:bCs/>
                <w:i/>
                <w:iCs/>
              </w:rPr>
              <w:t xml:space="preserve">Professor TAKEUCHI Kazuhiko, President, IGES </w:t>
            </w:r>
            <w:r w:rsidRPr="003E00A0">
              <w:rPr>
                <w:i/>
                <w:iCs/>
              </w:rPr>
              <w:t>discussed the role of</w:t>
            </w:r>
            <w:r w:rsidR="00C04A21">
              <w:rPr>
                <w:i/>
                <w:iCs/>
              </w:rPr>
              <w:t xml:space="preserve"> Voluntary</w:t>
            </w:r>
            <w:r w:rsidR="00C04A21">
              <w:rPr>
                <w:i/>
                <w:iCs/>
                <w:lang w:val="en-US"/>
              </w:rPr>
              <w:t xml:space="preserve"> </w:t>
            </w:r>
            <w:r w:rsidRPr="003E00A0">
              <w:rPr>
                <w:i/>
                <w:iCs/>
              </w:rPr>
              <w:t>L</w:t>
            </w:r>
            <w:r w:rsidR="00C04A21">
              <w:rPr>
                <w:i/>
                <w:iCs/>
              </w:rPr>
              <w:t xml:space="preserve">ocal </w:t>
            </w:r>
            <w:r w:rsidRPr="003E00A0">
              <w:rPr>
                <w:i/>
                <w:iCs/>
              </w:rPr>
              <w:t>R</w:t>
            </w:r>
            <w:r w:rsidR="00C04A21">
              <w:rPr>
                <w:i/>
                <w:iCs/>
              </w:rPr>
              <w:t>eview</w:t>
            </w:r>
            <w:r w:rsidRPr="003E00A0">
              <w:rPr>
                <w:i/>
                <w:iCs/>
              </w:rPr>
              <w:t>s</w:t>
            </w:r>
            <w:r w:rsidR="00C04A21">
              <w:rPr>
                <w:i/>
                <w:iCs/>
              </w:rPr>
              <w:t xml:space="preserve"> (VLRs)</w:t>
            </w:r>
            <w:r w:rsidRPr="003E00A0">
              <w:rPr>
                <w:i/>
                <w:iCs/>
              </w:rPr>
              <w:t xml:space="preserve"> in strengthening multi-level governance as well as identifying synergies between different global agendas. He underlined that cooperative work between different departments and levels of governments is paramount to achieve the ambitious goals set by the SDGs and the Paris Agreement. </w:t>
            </w:r>
          </w:p>
          <w:p w14:paraId="3CDD9F69" w14:textId="1D3958B0" w:rsidR="0066121B" w:rsidRPr="003E00A0" w:rsidRDefault="0066121B" w:rsidP="00ED44F8">
            <w:pPr>
              <w:jc w:val="both"/>
              <w:rPr>
                <w:i/>
                <w:iCs/>
                <w:lang w:eastAsia="ja-JP"/>
              </w:rPr>
            </w:pPr>
          </w:p>
          <w:p w14:paraId="1384A3B1" w14:textId="303D7C02" w:rsidR="00F70470" w:rsidRPr="003E00A0" w:rsidRDefault="00C04A21" w:rsidP="00F70470">
            <w:pPr>
              <w:ind w:left="720"/>
              <w:jc w:val="both"/>
              <w:rPr>
                <w:i/>
                <w:iCs/>
              </w:rPr>
            </w:pPr>
            <w:r>
              <w:rPr>
                <w:b/>
                <w:bCs/>
                <w:i/>
                <w:iCs/>
              </w:rPr>
              <w:t xml:space="preserve">Mr. </w:t>
            </w:r>
            <w:r w:rsidR="0066121B" w:rsidRPr="003E00A0">
              <w:rPr>
                <w:b/>
                <w:bCs/>
                <w:i/>
                <w:iCs/>
              </w:rPr>
              <w:t>Vasco ALVES CORDEIRO, President, The European Committee of the Regions</w:t>
            </w:r>
            <w:r w:rsidR="0066121B" w:rsidRPr="003E00A0">
              <w:rPr>
                <w:i/>
                <w:iCs/>
              </w:rPr>
              <w:t xml:space="preserve"> shared the perspective from European regions. </w:t>
            </w:r>
            <w:r w:rsidR="00F70470" w:rsidRPr="003E00A0">
              <w:rPr>
                <w:i/>
                <w:iCs/>
              </w:rPr>
              <w:t>They</w:t>
            </w:r>
            <w:r w:rsidR="0066121B" w:rsidRPr="003E00A0">
              <w:rPr>
                <w:i/>
                <w:iCs/>
              </w:rPr>
              <w:t xml:space="preserve"> stressed that local governments are the first line of defence against current and future crisis</w:t>
            </w:r>
            <w:r w:rsidR="00F70470" w:rsidRPr="003E00A0">
              <w:rPr>
                <w:i/>
                <w:iCs/>
              </w:rPr>
              <w:t xml:space="preserve">. It is important to amplify their voices in the global conversation on sustainable development, switching to a bottom-up approach. </w:t>
            </w:r>
          </w:p>
          <w:p w14:paraId="460C658C" w14:textId="77777777" w:rsidR="008D77D1" w:rsidRPr="008D77D1" w:rsidRDefault="008D77D1" w:rsidP="00ED44F8">
            <w:pPr>
              <w:jc w:val="both"/>
              <w:rPr>
                <w:rFonts w:ascii="Meiryo UI" w:eastAsia="Meiryo UI" w:hAnsi="Meiryo UI"/>
                <w:i/>
                <w:iCs/>
                <w:sz w:val="21"/>
                <w:szCs w:val="21"/>
                <w:lang w:eastAsia="ja-JP"/>
              </w:rPr>
            </w:pPr>
          </w:p>
          <w:p w14:paraId="72B9FD3F" w14:textId="75AB9C2A" w:rsidR="00F70470" w:rsidRPr="003E00A0" w:rsidRDefault="00C04A21" w:rsidP="00F70470">
            <w:pPr>
              <w:ind w:left="720"/>
              <w:jc w:val="both"/>
              <w:rPr>
                <w:i/>
                <w:iCs/>
              </w:rPr>
            </w:pPr>
            <w:r>
              <w:rPr>
                <w:b/>
                <w:bCs/>
                <w:i/>
                <w:iCs/>
              </w:rPr>
              <w:t xml:space="preserve">Mr. </w:t>
            </w:r>
            <w:r w:rsidR="00F70470" w:rsidRPr="003E00A0">
              <w:rPr>
                <w:b/>
                <w:bCs/>
                <w:i/>
                <w:iCs/>
              </w:rPr>
              <w:t>UCHIDA Togo, Executive Director, ICLEI Japan Office</w:t>
            </w:r>
            <w:r w:rsidR="00F70470" w:rsidRPr="003E00A0">
              <w:rPr>
                <w:i/>
                <w:iCs/>
              </w:rPr>
              <w:t xml:space="preserve"> </w:t>
            </w:r>
            <w:r w:rsidR="00FD5631" w:rsidRPr="003E00A0">
              <w:rPr>
                <w:i/>
                <w:iCs/>
              </w:rPr>
              <w:t>noted that in Japan, decarbonisation efforts</w:t>
            </w:r>
            <w:r w:rsidR="00BD41BA">
              <w:rPr>
                <w:rFonts w:hint="eastAsia"/>
                <w:i/>
                <w:iCs/>
                <w:lang w:eastAsia="ja-JP"/>
              </w:rPr>
              <w:t xml:space="preserve"> </w:t>
            </w:r>
            <w:r w:rsidR="00BD41BA">
              <w:rPr>
                <w:i/>
                <w:iCs/>
                <w:lang w:eastAsia="ja-JP"/>
              </w:rPr>
              <w:t>are pursued through</w:t>
            </w:r>
            <w:r w:rsidR="00FD5631" w:rsidRPr="003E00A0">
              <w:rPr>
                <w:i/>
                <w:iCs/>
              </w:rPr>
              <w:t xml:space="preserve"> </w:t>
            </w:r>
            <w:r w:rsidR="00BD41BA">
              <w:rPr>
                <w:i/>
                <w:iCs/>
              </w:rPr>
              <w:t xml:space="preserve">collaboration between local and </w:t>
            </w:r>
            <w:r w:rsidR="00FD5631" w:rsidRPr="003E00A0">
              <w:rPr>
                <w:i/>
                <w:iCs/>
              </w:rPr>
              <w:t>national government</w:t>
            </w:r>
            <w:r w:rsidR="00BD41BA">
              <w:rPr>
                <w:i/>
                <w:iCs/>
              </w:rPr>
              <w:t xml:space="preserve"> and SDGs are at the core of these activities</w:t>
            </w:r>
            <w:r w:rsidR="00FD5631" w:rsidRPr="003E00A0">
              <w:rPr>
                <w:i/>
                <w:iCs/>
              </w:rPr>
              <w:t xml:space="preserve">. </w:t>
            </w:r>
            <w:r>
              <w:rPr>
                <w:i/>
                <w:iCs/>
              </w:rPr>
              <w:t xml:space="preserve">Mr. Uchida also explained </w:t>
            </w:r>
            <w:r w:rsidR="00BD41BA">
              <w:rPr>
                <w:i/>
                <w:iCs/>
              </w:rPr>
              <w:t xml:space="preserve">how the </w:t>
            </w:r>
            <w:r w:rsidR="000E5FCC">
              <w:rPr>
                <w:i/>
                <w:iCs/>
              </w:rPr>
              <w:t xml:space="preserve">leading </w:t>
            </w:r>
            <w:r w:rsidR="00BD41BA">
              <w:rPr>
                <w:i/>
                <w:iCs/>
              </w:rPr>
              <w:t>local governments under G7 countries are</w:t>
            </w:r>
            <w:r w:rsidR="000E5FCC">
              <w:rPr>
                <w:i/>
                <w:iCs/>
              </w:rPr>
              <w:t xml:space="preserve"> recognising the importance and working </w:t>
            </w:r>
            <w:r w:rsidR="000E5FCC">
              <w:rPr>
                <w:i/>
                <w:iCs/>
              </w:rPr>
              <w:lastRenderedPageBreak/>
              <w:t xml:space="preserve">on synergies amongst key international agenda on sustainability such as the </w:t>
            </w:r>
            <w:proofErr w:type="gramStart"/>
            <w:r w:rsidR="000E5FCC">
              <w:rPr>
                <w:i/>
                <w:iCs/>
              </w:rPr>
              <w:t>Agenda</w:t>
            </w:r>
            <w:proofErr w:type="gramEnd"/>
            <w:r w:rsidR="000E5FCC">
              <w:rPr>
                <w:i/>
                <w:iCs/>
              </w:rPr>
              <w:t xml:space="preserve"> 2030 and the Paris Agreement</w:t>
            </w:r>
            <w:r w:rsidR="002239EF">
              <w:rPr>
                <w:i/>
                <w:iCs/>
              </w:rPr>
              <w:t xml:space="preserve">. </w:t>
            </w:r>
          </w:p>
          <w:p w14:paraId="7D72C8C6" w14:textId="3DE3988C" w:rsidR="00FD5631" w:rsidRPr="00C916FB" w:rsidRDefault="00FD5631" w:rsidP="00F70470">
            <w:pPr>
              <w:ind w:left="720"/>
              <w:jc w:val="both"/>
              <w:rPr>
                <w:i/>
                <w:iCs/>
              </w:rPr>
            </w:pPr>
          </w:p>
          <w:p w14:paraId="42F5B8B4" w14:textId="501482BB" w:rsidR="00FD5631" w:rsidRDefault="00FD5631" w:rsidP="00FD5631">
            <w:pPr>
              <w:ind w:left="720"/>
              <w:jc w:val="both"/>
              <w:rPr>
                <w:i/>
                <w:iCs/>
              </w:rPr>
            </w:pPr>
            <w:proofErr w:type="spellStart"/>
            <w:r w:rsidRPr="003E00A0">
              <w:rPr>
                <w:b/>
                <w:bCs/>
                <w:i/>
                <w:iCs/>
              </w:rPr>
              <w:t>Dr.</w:t>
            </w:r>
            <w:proofErr w:type="spellEnd"/>
            <w:r w:rsidRPr="003E00A0">
              <w:rPr>
                <w:b/>
                <w:bCs/>
                <w:i/>
                <w:iCs/>
              </w:rPr>
              <w:t xml:space="preserve"> Helmi </w:t>
            </w:r>
            <w:r w:rsidR="005D1822" w:rsidRPr="003E00A0">
              <w:rPr>
                <w:b/>
                <w:bCs/>
                <w:i/>
                <w:iCs/>
              </w:rPr>
              <w:t>GUNAWAN</w:t>
            </w:r>
            <w:r w:rsidRPr="003E00A0">
              <w:rPr>
                <w:b/>
                <w:bCs/>
                <w:i/>
                <w:iCs/>
              </w:rPr>
              <w:t>, Head of Conservation and Climate Change Control, West Java Environmental Agency, Indonesia</w:t>
            </w:r>
            <w:r w:rsidRPr="003E00A0">
              <w:rPr>
                <w:i/>
                <w:iCs/>
              </w:rPr>
              <w:t xml:space="preserve"> presented about the mechanisms implemented in West Java to promote synergies. For instance, West Java is connecting low carbon development and SDGs’ objectives in sectors such as solid waste or wastewater management.</w:t>
            </w:r>
            <w:r w:rsidR="002239EF">
              <w:rPr>
                <w:i/>
                <w:iCs/>
              </w:rPr>
              <w:t xml:space="preserve"> He also introduced key urban related discussion topics under G20 process. </w:t>
            </w:r>
          </w:p>
          <w:p w14:paraId="31026D9B" w14:textId="4533B10B" w:rsidR="00FD5631" w:rsidRPr="003E00A0" w:rsidRDefault="00FD5631" w:rsidP="00ED44F8">
            <w:pPr>
              <w:jc w:val="both"/>
              <w:rPr>
                <w:i/>
                <w:iCs/>
                <w:lang w:eastAsia="ja-JP"/>
              </w:rPr>
            </w:pPr>
          </w:p>
          <w:p w14:paraId="6B1BD5C0" w14:textId="31A3A1B2" w:rsidR="00FD5631" w:rsidRPr="003E00A0" w:rsidRDefault="002239EF" w:rsidP="00FD5631">
            <w:pPr>
              <w:ind w:left="720"/>
              <w:jc w:val="both"/>
              <w:rPr>
                <w:i/>
                <w:iCs/>
              </w:rPr>
            </w:pPr>
            <w:r>
              <w:rPr>
                <w:b/>
                <w:bCs/>
                <w:i/>
                <w:iCs/>
              </w:rPr>
              <w:t xml:space="preserve">Mr. </w:t>
            </w:r>
            <w:r w:rsidR="00FD5631" w:rsidRPr="003E00A0">
              <w:rPr>
                <w:b/>
                <w:bCs/>
                <w:i/>
                <w:iCs/>
              </w:rPr>
              <w:t>NAKAMURA Yasuaki, Director for Development Cooperation Division, International Affairs Bureau, City of Yokohama</w:t>
            </w:r>
            <w:r>
              <w:rPr>
                <w:b/>
                <w:bCs/>
                <w:i/>
                <w:iCs/>
              </w:rPr>
              <w:t>, Japan</w:t>
            </w:r>
            <w:r w:rsidR="005D1822" w:rsidRPr="003E00A0">
              <w:rPr>
                <w:i/>
                <w:iCs/>
              </w:rPr>
              <w:t xml:space="preserve"> introduced </w:t>
            </w:r>
            <w:r>
              <w:rPr>
                <w:i/>
                <w:iCs/>
              </w:rPr>
              <w:t>integrated actions</w:t>
            </w:r>
            <w:r w:rsidR="005D1822" w:rsidRPr="003E00A0">
              <w:rPr>
                <w:i/>
                <w:iCs/>
              </w:rPr>
              <w:t xml:space="preserve"> of Yokohama, an internationally recognised sustainable smart city. Yokohama developed its VLR in 2021 as a global communication tool, mapping the SDGs into municipal agendas while emphasising strategies on zero carbon development. </w:t>
            </w:r>
          </w:p>
          <w:p w14:paraId="478B472C" w14:textId="77777777" w:rsidR="00BA289D" w:rsidRPr="003E00A0" w:rsidRDefault="00BA289D" w:rsidP="00ED44F8">
            <w:pPr>
              <w:jc w:val="both"/>
              <w:rPr>
                <w:i/>
                <w:iCs/>
                <w:lang w:eastAsia="ja-JP"/>
              </w:rPr>
            </w:pPr>
          </w:p>
          <w:p w14:paraId="4FB6C95F" w14:textId="51A27680" w:rsidR="005D1822" w:rsidRPr="003E00A0" w:rsidRDefault="002239EF" w:rsidP="00FD5631">
            <w:pPr>
              <w:ind w:left="720"/>
              <w:jc w:val="both"/>
              <w:rPr>
                <w:i/>
                <w:iCs/>
              </w:rPr>
            </w:pPr>
            <w:r>
              <w:rPr>
                <w:b/>
                <w:i/>
                <w:iCs/>
              </w:rPr>
              <w:t xml:space="preserve">Ms. </w:t>
            </w:r>
            <w:proofErr w:type="spellStart"/>
            <w:r w:rsidR="005D1822" w:rsidRPr="003E00A0">
              <w:rPr>
                <w:b/>
                <w:i/>
                <w:iCs/>
              </w:rPr>
              <w:t>Roshanie</w:t>
            </w:r>
            <w:proofErr w:type="spellEnd"/>
            <w:r w:rsidR="005D1822" w:rsidRPr="003E00A0">
              <w:rPr>
                <w:b/>
                <w:i/>
                <w:iCs/>
              </w:rPr>
              <w:t xml:space="preserve"> DISSANAYAKE, Colombo Municipal Commissioner, Sri Lanka</w:t>
            </w:r>
            <w:r w:rsidR="005D1822" w:rsidRPr="003E00A0">
              <w:rPr>
                <w:i/>
                <w:iCs/>
              </w:rPr>
              <w:t xml:space="preserve"> introduced Colombo’s local actions to fight climate change and implement the SDGs. They stressed that even though, Sri Lanka successfully presented its first VNR in 2018, persistent systemic and structural issues limit actions from local governments—issues that need to be urgently addressed. </w:t>
            </w:r>
          </w:p>
          <w:p w14:paraId="3ABEB1E5" w14:textId="77777777" w:rsidR="005F1849" w:rsidRPr="003E00A0" w:rsidRDefault="005F1849" w:rsidP="00ED44F8">
            <w:pPr>
              <w:jc w:val="both"/>
              <w:rPr>
                <w:i/>
                <w:iCs/>
                <w:lang w:eastAsia="ja-JP"/>
              </w:rPr>
            </w:pPr>
          </w:p>
          <w:p w14:paraId="1685467D" w14:textId="1A7CAA1C" w:rsidR="003E00A0" w:rsidRDefault="002239EF" w:rsidP="00FD5631">
            <w:pPr>
              <w:ind w:left="720"/>
              <w:jc w:val="both"/>
              <w:rPr>
                <w:i/>
                <w:iCs/>
              </w:rPr>
            </w:pPr>
            <w:r>
              <w:rPr>
                <w:b/>
                <w:i/>
                <w:iCs/>
              </w:rPr>
              <w:t xml:space="preserve">Ms. </w:t>
            </w:r>
            <w:r w:rsidR="003E00A0" w:rsidRPr="003E00A0">
              <w:rPr>
                <w:b/>
                <w:i/>
                <w:iCs/>
              </w:rPr>
              <w:t xml:space="preserve">SHIMIZU </w:t>
            </w:r>
            <w:proofErr w:type="spellStart"/>
            <w:r w:rsidR="003E00A0" w:rsidRPr="003E00A0">
              <w:rPr>
                <w:b/>
                <w:i/>
                <w:iCs/>
              </w:rPr>
              <w:t>Hitomi</w:t>
            </w:r>
            <w:proofErr w:type="spellEnd"/>
            <w:r w:rsidR="003E00A0" w:rsidRPr="003E00A0">
              <w:rPr>
                <w:i/>
                <w:iCs/>
              </w:rPr>
              <w:t>,</w:t>
            </w:r>
            <w:r w:rsidR="003E00A0" w:rsidRPr="003E00A0">
              <w:rPr>
                <w:b/>
                <w:bCs/>
                <w:i/>
                <w:iCs/>
              </w:rPr>
              <w:t xml:space="preserve"> Policy Promotions Department, SDGs Strategy Office, Shimokawa Town, Hokkaido</w:t>
            </w:r>
            <w:r>
              <w:rPr>
                <w:b/>
                <w:bCs/>
                <w:i/>
                <w:iCs/>
              </w:rPr>
              <w:t>, Japan</w:t>
            </w:r>
            <w:r w:rsidR="003E00A0" w:rsidRPr="003E00A0">
              <w:rPr>
                <w:i/>
                <w:iCs/>
              </w:rPr>
              <w:t xml:space="preserve"> discussed </w:t>
            </w:r>
            <w:proofErr w:type="spellStart"/>
            <w:r w:rsidR="003E00A0" w:rsidRPr="003E00A0">
              <w:rPr>
                <w:i/>
                <w:iCs/>
              </w:rPr>
              <w:t>Shimokawa’s</w:t>
            </w:r>
            <w:proofErr w:type="spellEnd"/>
            <w:r w:rsidR="003E00A0" w:rsidRPr="003E00A0">
              <w:rPr>
                <w:i/>
                <w:iCs/>
              </w:rPr>
              <w:t xml:space="preserve"> experience on SDG localisation. </w:t>
            </w:r>
            <w:r w:rsidR="003E00A0">
              <w:rPr>
                <w:i/>
                <w:iCs/>
              </w:rPr>
              <w:t xml:space="preserve">Shimokawa, which was among the first local governments to present a VLR in 2018, is integrating social, economic, and environmental concerns in its municipal strategies, and has developed its own set of SDG indicators to measure progress. </w:t>
            </w:r>
          </w:p>
          <w:p w14:paraId="52EC7D0F" w14:textId="77777777" w:rsidR="005F1849" w:rsidRPr="005F1849" w:rsidRDefault="005F1849" w:rsidP="00ED44F8">
            <w:pPr>
              <w:jc w:val="both"/>
              <w:rPr>
                <w:rFonts w:ascii="Meiryo UI" w:eastAsia="Meiryo UI" w:hAnsi="Meiryo UI"/>
                <w:i/>
                <w:iCs/>
                <w:sz w:val="21"/>
                <w:szCs w:val="21"/>
                <w:lang w:eastAsia="ja-JP"/>
              </w:rPr>
            </w:pPr>
          </w:p>
          <w:p w14:paraId="4BC129BC" w14:textId="54063864" w:rsidR="009C43BD" w:rsidRDefault="002239EF" w:rsidP="00FD5631">
            <w:pPr>
              <w:ind w:left="720"/>
              <w:jc w:val="both"/>
              <w:rPr>
                <w:i/>
                <w:iCs/>
                <w:lang w:val="en"/>
              </w:rPr>
            </w:pPr>
            <w:r>
              <w:rPr>
                <w:b/>
                <w:i/>
                <w:iCs/>
                <w:lang w:val="en"/>
              </w:rPr>
              <w:t xml:space="preserve">Mr. </w:t>
            </w:r>
            <w:r w:rsidR="003E00A0" w:rsidRPr="009C43BD">
              <w:rPr>
                <w:b/>
                <w:i/>
                <w:iCs/>
                <w:lang w:val="en"/>
              </w:rPr>
              <w:t xml:space="preserve">SHIMIZU </w:t>
            </w:r>
            <w:proofErr w:type="spellStart"/>
            <w:r w:rsidR="003E00A0" w:rsidRPr="009C43BD">
              <w:rPr>
                <w:b/>
                <w:i/>
                <w:iCs/>
                <w:lang w:val="en"/>
              </w:rPr>
              <w:t>Hayato</w:t>
            </w:r>
            <w:proofErr w:type="spellEnd"/>
            <w:r w:rsidR="003E00A0" w:rsidRPr="009C43BD">
              <w:rPr>
                <w:b/>
                <w:i/>
                <w:iCs/>
                <w:lang w:val="en"/>
              </w:rPr>
              <w:t>, Mayor of Saitama City</w:t>
            </w:r>
            <w:r>
              <w:rPr>
                <w:b/>
                <w:i/>
                <w:iCs/>
                <w:lang w:val="en"/>
              </w:rPr>
              <w:t>, Japan</w:t>
            </w:r>
            <w:r w:rsidR="009C43BD">
              <w:rPr>
                <w:i/>
                <w:iCs/>
                <w:lang w:val="en"/>
              </w:rPr>
              <w:t xml:space="preserve"> </w:t>
            </w:r>
            <w:r w:rsidR="001D6618" w:rsidRPr="001D6618">
              <w:rPr>
                <w:i/>
                <w:iCs/>
                <w:lang w:val="en"/>
              </w:rPr>
              <w:t xml:space="preserve">provided a final reflection and highlighted the way forward. They stressed the importance of increasing local efforts. Partnerships between the private and public sector as well across cities and regions were suggested as key elements to accelerate transitioning to a carbon neutral society. </w:t>
            </w:r>
          </w:p>
          <w:p w14:paraId="0DAE2CE6" w14:textId="52CD24A6" w:rsidR="001D6618" w:rsidRDefault="001D6618" w:rsidP="00FD5631">
            <w:pPr>
              <w:ind w:left="720"/>
              <w:jc w:val="both"/>
              <w:rPr>
                <w:i/>
                <w:iCs/>
              </w:rPr>
            </w:pPr>
          </w:p>
          <w:p w14:paraId="3FFBCAA9" w14:textId="6C74F0DA" w:rsidR="009C43BD" w:rsidRPr="003E00A0" w:rsidRDefault="002239EF" w:rsidP="00FD5631">
            <w:pPr>
              <w:ind w:left="720"/>
              <w:jc w:val="both"/>
              <w:rPr>
                <w:i/>
                <w:iCs/>
              </w:rPr>
            </w:pPr>
            <w:r>
              <w:rPr>
                <w:b/>
                <w:i/>
                <w:iCs/>
                <w:lang w:val="en"/>
              </w:rPr>
              <w:t xml:space="preserve">Ms. </w:t>
            </w:r>
            <w:proofErr w:type="spellStart"/>
            <w:r w:rsidR="009C43BD" w:rsidRPr="009C43BD">
              <w:rPr>
                <w:b/>
                <w:i/>
                <w:iCs/>
                <w:lang w:val="en"/>
              </w:rPr>
              <w:t>Kobie</w:t>
            </w:r>
            <w:proofErr w:type="spellEnd"/>
            <w:r w:rsidR="009C43BD" w:rsidRPr="009C43BD">
              <w:rPr>
                <w:b/>
                <w:i/>
                <w:iCs/>
                <w:lang w:val="en"/>
              </w:rPr>
              <w:t xml:space="preserve"> BRAND</w:t>
            </w:r>
            <w:r w:rsidR="009C43BD" w:rsidRPr="009C43BD">
              <w:rPr>
                <w:i/>
                <w:iCs/>
                <w:lang w:val="en"/>
              </w:rPr>
              <w:t xml:space="preserve">, </w:t>
            </w:r>
            <w:r w:rsidR="009C43BD" w:rsidRPr="002239EF">
              <w:rPr>
                <w:b/>
                <w:bCs/>
                <w:i/>
                <w:iCs/>
                <w:lang w:val="en"/>
              </w:rPr>
              <w:t>Deputy Secretary General and Regional Director of African region, ICLEI</w:t>
            </w:r>
            <w:r w:rsidR="009C43BD">
              <w:rPr>
                <w:i/>
                <w:iCs/>
                <w:lang w:val="en"/>
              </w:rPr>
              <w:t xml:space="preserve"> provided the closing remarks. They highlighted that multilevel governance, a whole of government approach, and collaborative governance will be powerful drivers for change, and in this, LRGs play a leading role. </w:t>
            </w:r>
          </w:p>
          <w:p w14:paraId="533A9ADE" w14:textId="0DB1270D" w:rsidR="001D6618" w:rsidRPr="00CB0920" w:rsidRDefault="001D6618" w:rsidP="001D6618">
            <w:pPr>
              <w:ind w:leftChars="335" w:left="737"/>
              <w:rPr>
                <w:i/>
                <w:iCs/>
                <w:lang w:val="en-US" w:eastAsia="ja-JP"/>
              </w:rPr>
            </w:pPr>
          </w:p>
        </w:tc>
      </w:tr>
    </w:tbl>
    <w:p w14:paraId="6B8FF35A" w14:textId="56F58950" w:rsidR="05C04687" w:rsidRPr="003E00A0" w:rsidRDefault="05C04687" w:rsidP="008B0B0F"/>
    <w:sectPr w:rsidR="05C04687" w:rsidRPr="003E00A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0C0C" w14:textId="77777777" w:rsidR="00845609" w:rsidRDefault="00845609" w:rsidP="00BD41BA">
      <w:pPr>
        <w:spacing w:after="0" w:line="240" w:lineRule="auto"/>
      </w:pPr>
      <w:r>
        <w:separator/>
      </w:r>
    </w:p>
  </w:endnote>
  <w:endnote w:type="continuationSeparator" w:id="0">
    <w:p w14:paraId="781E94C7" w14:textId="77777777" w:rsidR="00845609" w:rsidRDefault="00845609" w:rsidP="00BD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UI">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EC07" w14:textId="77777777" w:rsidR="00845609" w:rsidRDefault="00845609" w:rsidP="00BD41BA">
      <w:pPr>
        <w:spacing w:after="0" w:line="240" w:lineRule="auto"/>
      </w:pPr>
      <w:r>
        <w:separator/>
      </w:r>
    </w:p>
  </w:footnote>
  <w:footnote w:type="continuationSeparator" w:id="0">
    <w:p w14:paraId="3D38784D" w14:textId="77777777" w:rsidR="00845609" w:rsidRDefault="00845609" w:rsidP="00BD4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C24C3"/>
    <w:multiLevelType w:val="hybridMultilevel"/>
    <w:tmpl w:val="256040D8"/>
    <w:lvl w:ilvl="0" w:tplc="05E45F0E">
      <w:start w:val="1"/>
      <w:numFmt w:val="bullet"/>
      <w:lvlText w:val=""/>
      <w:lvlJc w:val="left"/>
      <w:pPr>
        <w:ind w:left="720" w:hanging="360"/>
      </w:pPr>
      <w:rPr>
        <w:rFonts w:ascii="Symbol" w:hAnsi="Symbol" w:hint="default"/>
      </w:rPr>
    </w:lvl>
    <w:lvl w:ilvl="1" w:tplc="0CD22C86">
      <w:start w:val="1"/>
      <w:numFmt w:val="bullet"/>
      <w:lvlText w:val="o"/>
      <w:lvlJc w:val="left"/>
      <w:pPr>
        <w:ind w:left="1440" w:hanging="360"/>
      </w:pPr>
      <w:rPr>
        <w:rFonts w:ascii="Courier New" w:hAnsi="Courier New" w:hint="default"/>
      </w:rPr>
    </w:lvl>
    <w:lvl w:ilvl="2" w:tplc="6A745884">
      <w:start w:val="1"/>
      <w:numFmt w:val="bullet"/>
      <w:lvlText w:val=""/>
      <w:lvlJc w:val="left"/>
      <w:pPr>
        <w:ind w:left="2160" w:hanging="360"/>
      </w:pPr>
      <w:rPr>
        <w:rFonts w:ascii="Wingdings" w:hAnsi="Wingdings" w:hint="default"/>
      </w:rPr>
    </w:lvl>
    <w:lvl w:ilvl="3" w:tplc="5B1CC846">
      <w:start w:val="1"/>
      <w:numFmt w:val="bullet"/>
      <w:lvlText w:val=""/>
      <w:lvlJc w:val="left"/>
      <w:pPr>
        <w:ind w:left="2880" w:hanging="360"/>
      </w:pPr>
      <w:rPr>
        <w:rFonts w:ascii="Symbol" w:hAnsi="Symbol" w:hint="default"/>
      </w:rPr>
    </w:lvl>
    <w:lvl w:ilvl="4" w:tplc="983A9278">
      <w:start w:val="1"/>
      <w:numFmt w:val="bullet"/>
      <w:lvlText w:val="o"/>
      <w:lvlJc w:val="left"/>
      <w:pPr>
        <w:ind w:left="3600" w:hanging="360"/>
      </w:pPr>
      <w:rPr>
        <w:rFonts w:ascii="Courier New" w:hAnsi="Courier New" w:hint="default"/>
      </w:rPr>
    </w:lvl>
    <w:lvl w:ilvl="5" w:tplc="9C78431C">
      <w:start w:val="1"/>
      <w:numFmt w:val="bullet"/>
      <w:lvlText w:val=""/>
      <w:lvlJc w:val="left"/>
      <w:pPr>
        <w:ind w:left="4320" w:hanging="360"/>
      </w:pPr>
      <w:rPr>
        <w:rFonts w:ascii="Wingdings" w:hAnsi="Wingdings" w:hint="default"/>
      </w:rPr>
    </w:lvl>
    <w:lvl w:ilvl="6" w:tplc="F33E21A8">
      <w:start w:val="1"/>
      <w:numFmt w:val="bullet"/>
      <w:lvlText w:val=""/>
      <w:lvlJc w:val="left"/>
      <w:pPr>
        <w:ind w:left="5040" w:hanging="360"/>
      </w:pPr>
      <w:rPr>
        <w:rFonts w:ascii="Symbol" w:hAnsi="Symbol" w:hint="default"/>
      </w:rPr>
    </w:lvl>
    <w:lvl w:ilvl="7" w:tplc="749640A0">
      <w:start w:val="1"/>
      <w:numFmt w:val="bullet"/>
      <w:lvlText w:val="o"/>
      <w:lvlJc w:val="left"/>
      <w:pPr>
        <w:ind w:left="5760" w:hanging="360"/>
      </w:pPr>
      <w:rPr>
        <w:rFonts w:ascii="Courier New" w:hAnsi="Courier New" w:hint="default"/>
      </w:rPr>
    </w:lvl>
    <w:lvl w:ilvl="8" w:tplc="BF00DE56">
      <w:start w:val="1"/>
      <w:numFmt w:val="bullet"/>
      <w:lvlText w:val=""/>
      <w:lvlJc w:val="left"/>
      <w:pPr>
        <w:ind w:left="6480" w:hanging="360"/>
      </w:pPr>
      <w:rPr>
        <w:rFonts w:ascii="Wingdings" w:hAnsi="Wingdings" w:hint="default"/>
      </w:rPr>
    </w:lvl>
  </w:abstractNum>
  <w:abstractNum w:abstractNumId="1" w15:restartNumberingAfterBreak="0">
    <w:nsid w:val="67B66115"/>
    <w:multiLevelType w:val="hybridMultilevel"/>
    <w:tmpl w:val="2C32EF32"/>
    <w:lvl w:ilvl="0" w:tplc="DC2ABEBA">
      <w:start w:val="1"/>
      <w:numFmt w:val="bullet"/>
      <w:lvlText w:val="-"/>
      <w:lvlJc w:val="left"/>
      <w:pPr>
        <w:ind w:left="720" w:hanging="360"/>
      </w:pPr>
      <w:rPr>
        <w:rFonts w:ascii="Calibri" w:hAnsi="Calibri" w:hint="default"/>
      </w:rPr>
    </w:lvl>
    <w:lvl w:ilvl="1" w:tplc="7CD0C8B2">
      <w:start w:val="1"/>
      <w:numFmt w:val="bullet"/>
      <w:lvlText w:val="o"/>
      <w:lvlJc w:val="left"/>
      <w:pPr>
        <w:ind w:left="1440" w:hanging="360"/>
      </w:pPr>
      <w:rPr>
        <w:rFonts w:ascii="Courier New" w:hAnsi="Courier New" w:hint="default"/>
      </w:rPr>
    </w:lvl>
    <w:lvl w:ilvl="2" w:tplc="DA7C7B80">
      <w:start w:val="1"/>
      <w:numFmt w:val="bullet"/>
      <w:lvlText w:val=""/>
      <w:lvlJc w:val="left"/>
      <w:pPr>
        <w:ind w:left="2160" w:hanging="360"/>
      </w:pPr>
      <w:rPr>
        <w:rFonts w:ascii="Wingdings" w:hAnsi="Wingdings" w:hint="default"/>
      </w:rPr>
    </w:lvl>
    <w:lvl w:ilvl="3" w:tplc="5D9243FE">
      <w:start w:val="1"/>
      <w:numFmt w:val="bullet"/>
      <w:lvlText w:val=""/>
      <w:lvlJc w:val="left"/>
      <w:pPr>
        <w:ind w:left="2880" w:hanging="360"/>
      </w:pPr>
      <w:rPr>
        <w:rFonts w:ascii="Symbol" w:hAnsi="Symbol" w:hint="default"/>
      </w:rPr>
    </w:lvl>
    <w:lvl w:ilvl="4" w:tplc="CEB21376">
      <w:start w:val="1"/>
      <w:numFmt w:val="bullet"/>
      <w:lvlText w:val="o"/>
      <w:lvlJc w:val="left"/>
      <w:pPr>
        <w:ind w:left="3600" w:hanging="360"/>
      </w:pPr>
      <w:rPr>
        <w:rFonts w:ascii="Courier New" w:hAnsi="Courier New" w:hint="default"/>
      </w:rPr>
    </w:lvl>
    <w:lvl w:ilvl="5" w:tplc="D4B8503A">
      <w:start w:val="1"/>
      <w:numFmt w:val="bullet"/>
      <w:lvlText w:val=""/>
      <w:lvlJc w:val="left"/>
      <w:pPr>
        <w:ind w:left="4320" w:hanging="360"/>
      </w:pPr>
      <w:rPr>
        <w:rFonts w:ascii="Wingdings" w:hAnsi="Wingdings" w:hint="default"/>
      </w:rPr>
    </w:lvl>
    <w:lvl w:ilvl="6" w:tplc="4754AF58">
      <w:start w:val="1"/>
      <w:numFmt w:val="bullet"/>
      <w:lvlText w:val=""/>
      <w:lvlJc w:val="left"/>
      <w:pPr>
        <w:ind w:left="5040" w:hanging="360"/>
      </w:pPr>
      <w:rPr>
        <w:rFonts w:ascii="Symbol" w:hAnsi="Symbol" w:hint="default"/>
      </w:rPr>
    </w:lvl>
    <w:lvl w:ilvl="7" w:tplc="7520C3E2">
      <w:start w:val="1"/>
      <w:numFmt w:val="bullet"/>
      <w:lvlText w:val="o"/>
      <w:lvlJc w:val="left"/>
      <w:pPr>
        <w:ind w:left="5760" w:hanging="360"/>
      </w:pPr>
      <w:rPr>
        <w:rFonts w:ascii="Courier New" w:hAnsi="Courier New" w:hint="default"/>
      </w:rPr>
    </w:lvl>
    <w:lvl w:ilvl="8" w:tplc="3D182572">
      <w:start w:val="1"/>
      <w:numFmt w:val="bullet"/>
      <w:lvlText w:val=""/>
      <w:lvlJc w:val="left"/>
      <w:pPr>
        <w:ind w:left="6480" w:hanging="360"/>
      </w:pPr>
      <w:rPr>
        <w:rFonts w:ascii="Wingdings" w:hAnsi="Wingdings" w:hint="default"/>
      </w:rPr>
    </w:lvl>
  </w:abstractNum>
  <w:abstractNum w:abstractNumId="2" w15:restartNumberingAfterBreak="0">
    <w:nsid w:val="6B04E3DB"/>
    <w:multiLevelType w:val="hybridMultilevel"/>
    <w:tmpl w:val="2C344A44"/>
    <w:lvl w:ilvl="0" w:tplc="745A4526">
      <w:start w:val="1"/>
      <w:numFmt w:val="bullet"/>
      <w:lvlText w:val=""/>
      <w:lvlJc w:val="left"/>
      <w:pPr>
        <w:ind w:left="720" w:hanging="360"/>
      </w:pPr>
      <w:rPr>
        <w:rFonts w:ascii="Symbol" w:hAnsi="Symbol" w:hint="default"/>
      </w:rPr>
    </w:lvl>
    <w:lvl w:ilvl="1" w:tplc="539E6B6A">
      <w:start w:val="1"/>
      <w:numFmt w:val="bullet"/>
      <w:lvlText w:val="o"/>
      <w:lvlJc w:val="left"/>
      <w:pPr>
        <w:ind w:left="1440" w:hanging="360"/>
      </w:pPr>
      <w:rPr>
        <w:rFonts w:ascii="Courier New" w:hAnsi="Courier New" w:hint="default"/>
      </w:rPr>
    </w:lvl>
    <w:lvl w:ilvl="2" w:tplc="6316E084">
      <w:start w:val="1"/>
      <w:numFmt w:val="bullet"/>
      <w:lvlText w:val=""/>
      <w:lvlJc w:val="left"/>
      <w:pPr>
        <w:ind w:left="2160" w:hanging="360"/>
      </w:pPr>
      <w:rPr>
        <w:rFonts w:ascii="Wingdings" w:hAnsi="Wingdings" w:hint="default"/>
      </w:rPr>
    </w:lvl>
    <w:lvl w:ilvl="3" w:tplc="AC34C9FE">
      <w:start w:val="1"/>
      <w:numFmt w:val="bullet"/>
      <w:lvlText w:val=""/>
      <w:lvlJc w:val="left"/>
      <w:pPr>
        <w:ind w:left="2880" w:hanging="360"/>
      </w:pPr>
      <w:rPr>
        <w:rFonts w:ascii="Symbol" w:hAnsi="Symbol" w:hint="default"/>
      </w:rPr>
    </w:lvl>
    <w:lvl w:ilvl="4" w:tplc="D19AB830">
      <w:start w:val="1"/>
      <w:numFmt w:val="bullet"/>
      <w:lvlText w:val="o"/>
      <w:lvlJc w:val="left"/>
      <w:pPr>
        <w:ind w:left="3600" w:hanging="360"/>
      </w:pPr>
      <w:rPr>
        <w:rFonts w:ascii="Courier New" w:hAnsi="Courier New" w:hint="default"/>
      </w:rPr>
    </w:lvl>
    <w:lvl w:ilvl="5" w:tplc="B328B342">
      <w:start w:val="1"/>
      <w:numFmt w:val="bullet"/>
      <w:lvlText w:val=""/>
      <w:lvlJc w:val="left"/>
      <w:pPr>
        <w:ind w:left="4320" w:hanging="360"/>
      </w:pPr>
      <w:rPr>
        <w:rFonts w:ascii="Wingdings" w:hAnsi="Wingdings" w:hint="default"/>
      </w:rPr>
    </w:lvl>
    <w:lvl w:ilvl="6" w:tplc="5DD89B5E">
      <w:start w:val="1"/>
      <w:numFmt w:val="bullet"/>
      <w:lvlText w:val=""/>
      <w:lvlJc w:val="left"/>
      <w:pPr>
        <w:ind w:left="5040" w:hanging="360"/>
      </w:pPr>
      <w:rPr>
        <w:rFonts w:ascii="Symbol" w:hAnsi="Symbol" w:hint="default"/>
      </w:rPr>
    </w:lvl>
    <w:lvl w:ilvl="7" w:tplc="EC42692E">
      <w:start w:val="1"/>
      <w:numFmt w:val="bullet"/>
      <w:lvlText w:val="o"/>
      <w:lvlJc w:val="left"/>
      <w:pPr>
        <w:ind w:left="5760" w:hanging="360"/>
      </w:pPr>
      <w:rPr>
        <w:rFonts w:ascii="Courier New" w:hAnsi="Courier New" w:hint="default"/>
      </w:rPr>
    </w:lvl>
    <w:lvl w:ilvl="8" w:tplc="7FBCCB28">
      <w:start w:val="1"/>
      <w:numFmt w:val="bullet"/>
      <w:lvlText w:val=""/>
      <w:lvlJc w:val="left"/>
      <w:pPr>
        <w:ind w:left="6480" w:hanging="360"/>
      </w:pPr>
      <w:rPr>
        <w:rFonts w:ascii="Wingdings" w:hAnsi="Wingdings" w:hint="default"/>
      </w:rPr>
    </w:lvl>
  </w:abstractNum>
  <w:abstractNum w:abstractNumId="3" w15:restartNumberingAfterBreak="0">
    <w:nsid w:val="6F873EBA"/>
    <w:multiLevelType w:val="hybridMultilevel"/>
    <w:tmpl w:val="82A208DC"/>
    <w:lvl w:ilvl="0" w:tplc="2EDE7B16">
      <w:start w:val="1"/>
      <w:numFmt w:val="bullet"/>
      <w:lvlText w:val=""/>
      <w:lvlJc w:val="left"/>
      <w:pPr>
        <w:ind w:left="720" w:hanging="360"/>
      </w:pPr>
      <w:rPr>
        <w:rFonts w:ascii="Symbol" w:hAnsi="Symbol" w:hint="default"/>
      </w:rPr>
    </w:lvl>
    <w:lvl w:ilvl="1" w:tplc="895AB3C8">
      <w:start w:val="1"/>
      <w:numFmt w:val="bullet"/>
      <w:lvlText w:val="o"/>
      <w:lvlJc w:val="left"/>
      <w:pPr>
        <w:ind w:left="1440" w:hanging="360"/>
      </w:pPr>
      <w:rPr>
        <w:rFonts w:ascii="Courier New" w:hAnsi="Courier New" w:hint="default"/>
      </w:rPr>
    </w:lvl>
    <w:lvl w:ilvl="2" w:tplc="9AF896C6">
      <w:start w:val="1"/>
      <w:numFmt w:val="bullet"/>
      <w:lvlText w:val=""/>
      <w:lvlJc w:val="left"/>
      <w:pPr>
        <w:ind w:left="2160" w:hanging="360"/>
      </w:pPr>
      <w:rPr>
        <w:rFonts w:ascii="Wingdings" w:hAnsi="Wingdings" w:hint="default"/>
      </w:rPr>
    </w:lvl>
    <w:lvl w:ilvl="3" w:tplc="BA3ADCAA">
      <w:start w:val="1"/>
      <w:numFmt w:val="bullet"/>
      <w:lvlText w:val=""/>
      <w:lvlJc w:val="left"/>
      <w:pPr>
        <w:ind w:left="2880" w:hanging="360"/>
      </w:pPr>
      <w:rPr>
        <w:rFonts w:ascii="Symbol" w:hAnsi="Symbol" w:hint="default"/>
      </w:rPr>
    </w:lvl>
    <w:lvl w:ilvl="4" w:tplc="DFA6A288">
      <w:start w:val="1"/>
      <w:numFmt w:val="bullet"/>
      <w:lvlText w:val="o"/>
      <w:lvlJc w:val="left"/>
      <w:pPr>
        <w:ind w:left="3600" w:hanging="360"/>
      </w:pPr>
      <w:rPr>
        <w:rFonts w:ascii="Courier New" w:hAnsi="Courier New" w:hint="default"/>
      </w:rPr>
    </w:lvl>
    <w:lvl w:ilvl="5" w:tplc="B9C095F8">
      <w:start w:val="1"/>
      <w:numFmt w:val="bullet"/>
      <w:lvlText w:val=""/>
      <w:lvlJc w:val="left"/>
      <w:pPr>
        <w:ind w:left="4320" w:hanging="360"/>
      </w:pPr>
      <w:rPr>
        <w:rFonts w:ascii="Wingdings" w:hAnsi="Wingdings" w:hint="default"/>
      </w:rPr>
    </w:lvl>
    <w:lvl w:ilvl="6" w:tplc="F8D238A6">
      <w:start w:val="1"/>
      <w:numFmt w:val="bullet"/>
      <w:lvlText w:val=""/>
      <w:lvlJc w:val="left"/>
      <w:pPr>
        <w:ind w:left="5040" w:hanging="360"/>
      </w:pPr>
      <w:rPr>
        <w:rFonts w:ascii="Symbol" w:hAnsi="Symbol" w:hint="default"/>
      </w:rPr>
    </w:lvl>
    <w:lvl w:ilvl="7" w:tplc="AFC8283A">
      <w:start w:val="1"/>
      <w:numFmt w:val="bullet"/>
      <w:lvlText w:val="o"/>
      <w:lvlJc w:val="left"/>
      <w:pPr>
        <w:ind w:left="5760" w:hanging="360"/>
      </w:pPr>
      <w:rPr>
        <w:rFonts w:ascii="Courier New" w:hAnsi="Courier New" w:hint="default"/>
      </w:rPr>
    </w:lvl>
    <w:lvl w:ilvl="8" w:tplc="7CE6F510">
      <w:start w:val="1"/>
      <w:numFmt w:val="bullet"/>
      <w:lvlText w:val=""/>
      <w:lvlJc w:val="left"/>
      <w:pPr>
        <w:ind w:left="6480" w:hanging="360"/>
      </w:pPr>
      <w:rPr>
        <w:rFonts w:ascii="Wingdings" w:hAnsi="Wingdings" w:hint="default"/>
      </w:rPr>
    </w:lvl>
  </w:abstractNum>
  <w:num w:numId="1" w16cid:durableId="450637191">
    <w:abstractNumId w:val="3"/>
  </w:num>
  <w:num w:numId="2" w16cid:durableId="751633162">
    <w:abstractNumId w:val="0"/>
  </w:num>
  <w:num w:numId="3" w16cid:durableId="596249406">
    <w:abstractNumId w:val="1"/>
  </w:num>
  <w:num w:numId="4" w16cid:durableId="222955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71FA39"/>
    <w:rsid w:val="000153B1"/>
    <w:rsid w:val="0005053F"/>
    <w:rsid w:val="000679C7"/>
    <w:rsid w:val="000E5FCC"/>
    <w:rsid w:val="001D6618"/>
    <w:rsid w:val="00207FBD"/>
    <w:rsid w:val="002239EF"/>
    <w:rsid w:val="002953E2"/>
    <w:rsid w:val="003E00A0"/>
    <w:rsid w:val="004A66F3"/>
    <w:rsid w:val="005D1822"/>
    <w:rsid w:val="005F1849"/>
    <w:rsid w:val="0066121B"/>
    <w:rsid w:val="0076440A"/>
    <w:rsid w:val="007F6283"/>
    <w:rsid w:val="00845609"/>
    <w:rsid w:val="008B0B0F"/>
    <w:rsid w:val="008B4575"/>
    <w:rsid w:val="008D77D1"/>
    <w:rsid w:val="009111A0"/>
    <w:rsid w:val="009C43BD"/>
    <w:rsid w:val="00BA289D"/>
    <w:rsid w:val="00BD41BA"/>
    <w:rsid w:val="00C04A21"/>
    <w:rsid w:val="00C916FB"/>
    <w:rsid w:val="00C9548B"/>
    <w:rsid w:val="00CB0920"/>
    <w:rsid w:val="00D11128"/>
    <w:rsid w:val="00DD66D2"/>
    <w:rsid w:val="00E0312E"/>
    <w:rsid w:val="00E13575"/>
    <w:rsid w:val="00E662E6"/>
    <w:rsid w:val="00ED44F8"/>
    <w:rsid w:val="00F65F74"/>
    <w:rsid w:val="00F70470"/>
    <w:rsid w:val="00FD5631"/>
    <w:rsid w:val="00FD75C3"/>
    <w:rsid w:val="05C04687"/>
    <w:rsid w:val="1471FA39"/>
    <w:rsid w:val="1889ACDB"/>
    <w:rsid w:val="1915F899"/>
    <w:rsid w:val="358D319F"/>
    <w:rsid w:val="390FF06E"/>
    <w:rsid w:val="52AD752D"/>
    <w:rsid w:val="698CD57F"/>
    <w:rsid w:val="6D535C4D"/>
    <w:rsid w:val="6EEF2CAE"/>
    <w:rsid w:val="708AFD0F"/>
    <w:rsid w:val="760022AC"/>
    <w:rsid w:val="7F5105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71FA39"/>
  <w15:chartTrackingRefBased/>
  <w15:docId w15:val="{174F08BE-ADFE-4AEE-9A04-CC5051A6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F70470"/>
    <w:rPr>
      <w:sz w:val="16"/>
      <w:szCs w:val="16"/>
    </w:rPr>
  </w:style>
  <w:style w:type="paragraph" w:styleId="CommentText">
    <w:name w:val="annotation text"/>
    <w:basedOn w:val="Normal"/>
    <w:link w:val="CommentTextChar"/>
    <w:uiPriority w:val="99"/>
    <w:semiHidden/>
    <w:unhideWhenUsed/>
    <w:rsid w:val="00F70470"/>
    <w:pPr>
      <w:spacing w:line="240" w:lineRule="auto"/>
    </w:pPr>
    <w:rPr>
      <w:sz w:val="20"/>
      <w:szCs w:val="20"/>
    </w:rPr>
  </w:style>
  <w:style w:type="character" w:customStyle="1" w:styleId="CommentTextChar">
    <w:name w:val="Comment Text Char"/>
    <w:basedOn w:val="DefaultParagraphFont"/>
    <w:link w:val="CommentText"/>
    <w:uiPriority w:val="99"/>
    <w:semiHidden/>
    <w:rsid w:val="00F70470"/>
    <w:rPr>
      <w:sz w:val="20"/>
      <w:szCs w:val="20"/>
    </w:rPr>
  </w:style>
  <w:style w:type="paragraph" w:styleId="CommentSubject">
    <w:name w:val="annotation subject"/>
    <w:basedOn w:val="CommentText"/>
    <w:next w:val="CommentText"/>
    <w:link w:val="CommentSubjectChar"/>
    <w:uiPriority w:val="99"/>
    <w:semiHidden/>
    <w:unhideWhenUsed/>
    <w:rsid w:val="00F70470"/>
    <w:rPr>
      <w:b/>
      <w:bCs/>
    </w:rPr>
  </w:style>
  <w:style w:type="character" w:customStyle="1" w:styleId="CommentSubjectChar">
    <w:name w:val="Comment Subject Char"/>
    <w:basedOn w:val="CommentTextChar"/>
    <w:link w:val="CommentSubject"/>
    <w:uiPriority w:val="99"/>
    <w:semiHidden/>
    <w:rsid w:val="00F70470"/>
    <w:rPr>
      <w:b/>
      <w:bCs/>
      <w:sz w:val="20"/>
      <w:szCs w:val="20"/>
    </w:rPr>
  </w:style>
  <w:style w:type="paragraph" w:styleId="Header">
    <w:name w:val="header"/>
    <w:basedOn w:val="Normal"/>
    <w:link w:val="HeaderChar"/>
    <w:uiPriority w:val="99"/>
    <w:unhideWhenUsed/>
    <w:rsid w:val="00BD41BA"/>
    <w:pPr>
      <w:tabs>
        <w:tab w:val="center" w:pos="4252"/>
        <w:tab w:val="right" w:pos="8504"/>
      </w:tabs>
      <w:snapToGrid w:val="0"/>
    </w:pPr>
  </w:style>
  <w:style w:type="character" w:customStyle="1" w:styleId="HeaderChar">
    <w:name w:val="Header Char"/>
    <w:basedOn w:val="DefaultParagraphFont"/>
    <w:link w:val="Header"/>
    <w:uiPriority w:val="99"/>
    <w:rsid w:val="00BD41BA"/>
  </w:style>
  <w:style w:type="paragraph" w:styleId="Footer">
    <w:name w:val="footer"/>
    <w:basedOn w:val="Normal"/>
    <w:link w:val="FooterChar"/>
    <w:uiPriority w:val="99"/>
    <w:unhideWhenUsed/>
    <w:rsid w:val="00BD41BA"/>
    <w:pPr>
      <w:tabs>
        <w:tab w:val="center" w:pos="4252"/>
        <w:tab w:val="right" w:pos="8504"/>
      </w:tabs>
      <w:snapToGrid w:val="0"/>
    </w:pPr>
  </w:style>
  <w:style w:type="character" w:customStyle="1" w:styleId="FooterChar">
    <w:name w:val="Footer Char"/>
    <w:basedOn w:val="DefaultParagraphFont"/>
    <w:link w:val="Footer"/>
    <w:uiPriority w:val="99"/>
    <w:rsid w:val="00BD41BA"/>
  </w:style>
  <w:style w:type="paragraph" w:styleId="Revision">
    <w:name w:val="Revision"/>
    <w:hidden/>
    <w:uiPriority w:val="99"/>
    <w:semiHidden/>
    <w:rsid w:val="00BD4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57C82F7016B43815690E6CC3E9EDE" ma:contentTypeVersion="9" ma:contentTypeDescription="Create a new document." ma:contentTypeScope="" ma:versionID="2200a832ba9dd08d7d9e40f4b489f957">
  <xsd:schema xmlns:xsd="http://www.w3.org/2001/XMLSchema" xmlns:xs="http://www.w3.org/2001/XMLSchema" xmlns:p="http://schemas.microsoft.com/office/2006/metadata/properties" xmlns:ns3="8d0a0b48-7c0f-421a-97e3-2d894d7f4439" xmlns:ns4="7f3060fc-effa-4893-9d26-8e783741bca4" targetNamespace="http://schemas.microsoft.com/office/2006/metadata/properties" ma:root="true" ma:fieldsID="c233d0fc2622643e2da6678c3a41e104" ns3:_="" ns4:_="">
    <xsd:import namespace="8d0a0b48-7c0f-421a-97e3-2d894d7f4439"/>
    <xsd:import namespace="7f3060fc-effa-4893-9d26-8e783741bc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a0b48-7c0f-421a-97e3-2d894d7f4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3060fc-effa-4893-9d26-8e783741bc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0DA88-8F53-4E02-8BF8-F96A551FA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a0b48-7c0f-421a-97e3-2d894d7f4439"/>
    <ds:schemaRef ds:uri="7f3060fc-effa-4893-9d26-8e783741b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A1E95-AD76-440A-A183-B2167069C765}">
  <ds:schemaRefs>
    <ds:schemaRef ds:uri="http://schemas.microsoft.com/sharepoint/v3/contenttype/forms"/>
  </ds:schemaRefs>
</ds:datastoreItem>
</file>

<file path=customXml/itemProps3.xml><?xml version="1.0" encoding="utf-8"?>
<ds:datastoreItem xmlns:ds="http://schemas.openxmlformats.org/officeDocument/2006/customXml" ds:itemID="{CE099BFA-D891-4101-AAA1-822F35C18C00}">
  <ds:schemaRefs>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7f3060fc-effa-4893-9d26-8e783741bca4"/>
    <ds:schemaRef ds:uri="8d0a0b48-7c0f-421a-97e3-2d894d7f443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4263</Characters>
  <Application>Microsoft Office Word</Application>
  <DocSecurity>4</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Hope Sutherland</dc:creator>
  <cp:keywords/>
  <dc:description/>
  <cp:lastModifiedBy>Jonathan Proksch</cp:lastModifiedBy>
  <cp:revision>2</cp:revision>
  <dcterms:created xsi:type="dcterms:W3CDTF">2022-07-28T13:19:00Z</dcterms:created>
  <dcterms:modified xsi:type="dcterms:W3CDTF">2022-07-28T13:19:00Z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0x010100C0757C82F7016B43815690E6CC3E9EDE</vt:lpwstr>
  </property>
</Properties>
</file>