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22E6" w14:textId="77777777" w:rsidR="008B0B0F" w:rsidRDefault="008B0B0F" w:rsidP="008B0B0F">
      <w:pPr>
        <w:spacing w:after="0"/>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Third Global Conference on Strengthening Synergies </w:t>
      </w:r>
    </w:p>
    <w:p w14:paraId="1AB5DBAC" w14:textId="03A27697" w:rsidR="008B0B0F" w:rsidRPr="008B0B0F" w:rsidRDefault="008B0B0F" w:rsidP="008B0B0F">
      <w:pPr>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between the Paris Agreement and the </w:t>
      </w:r>
      <w:r w:rsidR="00D11128">
        <w:rPr>
          <w:rFonts w:ascii="Segoe UI" w:eastAsia="Segoe UI" w:hAnsi="Segoe UI" w:cs="Segoe UI"/>
          <w:b/>
          <w:bCs/>
          <w:color w:val="2E74B5" w:themeColor="accent5" w:themeShade="BF"/>
          <w:sz w:val="28"/>
          <w:szCs w:val="28"/>
          <w:lang w:val="en-US"/>
        </w:rPr>
        <w:t>2030 Agenda</w:t>
      </w:r>
      <w:r w:rsidRPr="008B0B0F">
        <w:rPr>
          <w:rFonts w:ascii="Segoe UI" w:eastAsia="Segoe UI" w:hAnsi="Segoe UI" w:cs="Segoe UI"/>
          <w:b/>
          <w:bCs/>
          <w:color w:val="2E74B5" w:themeColor="accent5" w:themeShade="BF"/>
          <w:sz w:val="28"/>
          <w:szCs w:val="28"/>
          <w:lang w:val="en-US"/>
        </w:rPr>
        <w:t xml:space="preserve"> for Sustainable Development</w:t>
      </w:r>
    </w:p>
    <w:p w14:paraId="794FD490" w14:textId="56528B2A"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Tokyo</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Japan / Online</w:t>
      </w:r>
    </w:p>
    <w:p w14:paraId="27862D72" w14:textId="430CD5C9"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20-21</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July</w:t>
      </w:r>
      <w:r w:rsidR="05C04687" w:rsidRPr="00D11128">
        <w:rPr>
          <w:rFonts w:ascii="Segoe UI" w:eastAsia="Segoe UI" w:hAnsi="Segoe UI" w:cs="Segoe UI"/>
          <w:i/>
          <w:iCs/>
          <w:color w:val="000000" w:themeColor="text1"/>
          <w:sz w:val="24"/>
          <w:szCs w:val="24"/>
          <w:lang w:val="en-US"/>
        </w:rPr>
        <w:t xml:space="preserve"> 2022</w:t>
      </w:r>
    </w:p>
    <w:p w14:paraId="5E724E2B" w14:textId="07A71CED" w:rsidR="004A4067" w:rsidRDefault="004A4067" w:rsidP="05C04687">
      <w:pPr>
        <w:jc w:val="center"/>
        <w:rPr>
          <w:rFonts w:ascii="Segoe UI" w:eastAsia="Segoe UI" w:hAnsi="Segoe UI" w:cs="Segoe UI"/>
          <w:i/>
          <w:iCs/>
          <w:color w:val="000000" w:themeColor="text1"/>
          <w:sz w:val="24"/>
          <w:szCs w:val="24"/>
          <w:lang w:val="en-US"/>
        </w:rPr>
      </w:pPr>
      <w:r>
        <w:rPr>
          <w:rFonts w:ascii="Segoe UI" w:eastAsia="Segoe UI" w:hAnsi="Segoe UI" w:cs="Segoe UI"/>
          <w:i/>
          <w:iCs/>
          <w:color w:val="000000" w:themeColor="text1"/>
          <w:sz w:val="24"/>
          <w:szCs w:val="24"/>
          <w:lang w:val="en-US"/>
        </w:rPr>
        <w:t>Side Event Summary</w:t>
      </w:r>
    </w:p>
    <w:p w14:paraId="310D7183" w14:textId="77777777" w:rsidR="05C04687" w:rsidRPr="00D11128" w:rsidRDefault="05C04687" w:rsidP="05C04687">
      <w:pPr>
        <w:jc w:val="center"/>
        <w:rPr>
          <w:rFonts w:ascii="Segoe UI" w:eastAsia="Segoe UI" w:hAnsi="Segoe UI" w:cs="Segoe UI"/>
          <w:i/>
          <w:iCs/>
          <w:color w:val="000000" w:themeColor="text1"/>
          <w:sz w:val="24"/>
          <w:szCs w:val="24"/>
          <w:lang w:val="en-US"/>
        </w:rPr>
      </w:pPr>
    </w:p>
    <w:tbl>
      <w:tblPr>
        <w:tblStyle w:val="TableGrid"/>
        <w:tblW w:w="0" w:type="auto"/>
        <w:tblLayout w:type="fixed"/>
        <w:tblLook w:val="06A0" w:firstRow="1" w:lastRow="0" w:firstColumn="1" w:lastColumn="0" w:noHBand="1" w:noVBand="1"/>
      </w:tblPr>
      <w:tblGrid>
        <w:gridCol w:w="8989"/>
      </w:tblGrid>
      <w:tr w:rsidR="00C9548B" w14:paraId="40ED5DA9" w14:textId="77777777" w:rsidTr="00C9548B">
        <w:trPr>
          <w:trHeight w:val="322"/>
        </w:trPr>
        <w:tc>
          <w:tcPr>
            <w:tcW w:w="8989" w:type="dxa"/>
          </w:tcPr>
          <w:p w14:paraId="53FCFD60" w14:textId="439CDBC8" w:rsidR="00C9548B" w:rsidRDefault="008B0B0F" w:rsidP="05C04687">
            <w:pPr>
              <w:rPr>
                <w:rFonts w:ascii="Segoe UI" w:eastAsia="Segoe UI" w:hAnsi="Segoe UI" w:cs="Segoe UI"/>
              </w:rPr>
            </w:pPr>
            <w:r>
              <w:rPr>
                <w:rFonts w:ascii="Segoe UI" w:eastAsia="Segoe UI" w:hAnsi="Segoe UI" w:cs="Segoe UI"/>
                <w:b/>
                <w:bCs/>
              </w:rPr>
              <w:t>Event</w:t>
            </w:r>
            <w:r w:rsidR="00C9548B" w:rsidRPr="05C04687">
              <w:rPr>
                <w:rFonts w:ascii="Segoe UI" w:eastAsia="Segoe UI" w:hAnsi="Segoe UI" w:cs="Segoe UI"/>
                <w:b/>
                <w:bCs/>
              </w:rPr>
              <w:t xml:space="preserve"> title</w:t>
            </w:r>
            <w:r w:rsidR="00C9548B" w:rsidRPr="05C04687">
              <w:rPr>
                <w:rFonts w:ascii="Segoe UI" w:eastAsia="Segoe UI" w:hAnsi="Segoe UI" w:cs="Segoe UI"/>
              </w:rPr>
              <w:t xml:space="preserve"> </w:t>
            </w:r>
          </w:p>
        </w:tc>
      </w:tr>
      <w:tr w:rsidR="00C9548B" w14:paraId="3D2F7F32" w14:textId="77777777" w:rsidTr="004A4067">
        <w:trPr>
          <w:trHeight w:val="683"/>
        </w:trPr>
        <w:tc>
          <w:tcPr>
            <w:tcW w:w="8989" w:type="dxa"/>
          </w:tcPr>
          <w:p w14:paraId="04B131F6" w14:textId="77777777" w:rsidR="004A4067" w:rsidRDefault="004A4067" w:rsidP="00F65F74">
            <w:pPr>
              <w:rPr>
                <w:i/>
                <w:iCs/>
              </w:rPr>
            </w:pPr>
          </w:p>
          <w:p w14:paraId="64121936" w14:textId="77777777" w:rsidR="00C9548B" w:rsidRDefault="00614210" w:rsidP="00F65F74">
            <w:pPr>
              <w:rPr>
                <w:i/>
                <w:iCs/>
              </w:rPr>
            </w:pPr>
            <w:r w:rsidRPr="00614210">
              <w:rPr>
                <w:i/>
                <w:iCs/>
              </w:rPr>
              <w:t>Just, Inclusive and Equitable Energy Transition for the SDGs and Net Zero</w:t>
            </w:r>
          </w:p>
          <w:p w14:paraId="08ABA392" w14:textId="1CD64B43" w:rsidR="00C9548B" w:rsidRPr="00C9548B" w:rsidRDefault="00C9548B" w:rsidP="00F65F74">
            <w:pPr>
              <w:rPr>
                <w:i/>
                <w:iCs/>
              </w:rPr>
            </w:pPr>
          </w:p>
        </w:tc>
      </w:tr>
      <w:tr w:rsidR="00C9548B" w14:paraId="69EBC246" w14:textId="77777777" w:rsidTr="004A4067">
        <w:trPr>
          <w:trHeight w:val="305"/>
        </w:trPr>
        <w:tc>
          <w:tcPr>
            <w:tcW w:w="8989" w:type="dxa"/>
          </w:tcPr>
          <w:p w14:paraId="535E74B1" w14:textId="7BC7689A" w:rsidR="00C9548B" w:rsidRPr="00F65F74" w:rsidRDefault="00C9548B" w:rsidP="00F65F74">
            <w:pPr>
              <w:rPr>
                <w:rFonts w:ascii="Segoe UI" w:eastAsia="Segoe UI" w:hAnsi="Segoe UI" w:cs="Segoe UI"/>
                <w:b/>
                <w:bCs/>
                <w:color w:val="000000" w:themeColor="text1"/>
              </w:rPr>
            </w:pPr>
            <w:r w:rsidRPr="05C04687">
              <w:rPr>
                <w:rFonts w:ascii="Segoe UI" w:eastAsia="Segoe UI" w:hAnsi="Segoe UI" w:cs="Segoe UI"/>
                <w:b/>
                <w:bCs/>
                <w:color w:val="000000" w:themeColor="text1"/>
              </w:rPr>
              <w:t>Overview of event and key messages</w:t>
            </w:r>
          </w:p>
        </w:tc>
      </w:tr>
      <w:tr w:rsidR="00C9548B" w14:paraId="07389EE8" w14:textId="77777777" w:rsidTr="00C9548B">
        <w:trPr>
          <w:trHeight w:val="604"/>
        </w:trPr>
        <w:tc>
          <w:tcPr>
            <w:tcW w:w="8989" w:type="dxa"/>
          </w:tcPr>
          <w:p w14:paraId="372CFB17" w14:textId="7108F0D8" w:rsidR="00C9548B" w:rsidRDefault="00C9548B" w:rsidP="00C9548B">
            <w:pPr>
              <w:rPr>
                <w:i/>
                <w:iCs/>
              </w:rPr>
            </w:pPr>
          </w:p>
          <w:p w14:paraId="4F47A35F" w14:textId="24ABC8D5" w:rsidR="00F65F74" w:rsidRDefault="00423B41" w:rsidP="00C9548B">
            <w:pPr>
              <w:rPr>
                <w:i/>
                <w:iCs/>
              </w:rPr>
            </w:pPr>
            <w:r w:rsidRPr="00423B41">
              <w:rPr>
                <w:i/>
                <w:iCs/>
              </w:rPr>
              <w:t>An inclusive and just energy transition can catalyse transformational co-benefits for the achievement of the Sustainable Development Goals (SDGs). Energy is inextricably linked to virtually all the SDGs: transforming the world’s energy systems will create new jobs, advance gender equality, and empower people, communities, and societies. Based on the concept of 'leaving no one behind', a just and inclusive energy transition will enhance human well-being, health, and capabilities, increase resilience, and drive innovation towards a sustainable society at all levels, while also driving huge investments. Although the transition pathways will vary based on the individual needs of countries and regions, all pathways must be just and inclusive in order to accelerate collective actions to deliver on the SDGs and the Paris Agreement and to ensure the ‘future we want’</w:t>
            </w:r>
            <w:r w:rsidR="001B23A5">
              <w:rPr>
                <w:i/>
                <w:iCs/>
              </w:rPr>
              <w:t>.</w:t>
            </w:r>
          </w:p>
          <w:p w14:paraId="04F5A5D8" w14:textId="4D44463E" w:rsidR="00F65F74" w:rsidRPr="00F65F74" w:rsidRDefault="00F65F74" w:rsidP="00C9548B">
            <w:pPr>
              <w:rPr>
                <w:i/>
                <w:iCs/>
              </w:rPr>
            </w:pPr>
          </w:p>
        </w:tc>
      </w:tr>
      <w:tr w:rsidR="00C9548B" w14:paraId="3EDC9A30" w14:textId="77777777" w:rsidTr="00F65F74">
        <w:trPr>
          <w:trHeight w:val="380"/>
        </w:trPr>
        <w:tc>
          <w:tcPr>
            <w:tcW w:w="8989" w:type="dxa"/>
          </w:tcPr>
          <w:p w14:paraId="02E4CE9C" w14:textId="459764CD" w:rsidR="00C9548B" w:rsidRPr="00F65F74" w:rsidRDefault="00C9548B" w:rsidP="00F65F74">
            <w:pPr>
              <w:rPr>
                <w:rFonts w:ascii="Segoe UI" w:eastAsia="Segoe UI" w:hAnsi="Segoe UI" w:cs="Segoe UI"/>
                <w:b/>
                <w:bCs/>
                <w:color w:val="201F1E"/>
              </w:rPr>
            </w:pPr>
            <w:r w:rsidRPr="05C04687">
              <w:rPr>
                <w:rFonts w:ascii="Segoe UI" w:eastAsia="Segoe UI" w:hAnsi="Segoe UI" w:cs="Segoe UI"/>
                <w:b/>
                <w:bCs/>
              </w:rPr>
              <w:t>S</w:t>
            </w:r>
            <w:r w:rsidRPr="05C04687">
              <w:rPr>
                <w:rFonts w:ascii="Segoe UI" w:eastAsia="Segoe UI" w:hAnsi="Segoe UI" w:cs="Segoe UI"/>
                <w:b/>
                <w:bCs/>
                <w:color w:val="201F1E"/>
              </w:rPr>
              <w:t>peaker notes (including remarks by moderator)</w:t>
            </w:r>
          </w:p>
        </w:tc>
      </w:tr>
      <w:tr w:rsidR="00C9548B" w14:paraId="580EC5CD" w14:textId="77777777" w:rsidTr="00C9548B">
        <w:trPr>
          <w:trHeight w:val="591"/>
        </w:trPr>
        <w:tc>
          <w:tcPr>
            <w:tcW w:w="8989" w:type="dxa"/>
          </w:tcPr>
          <w:p w14:paraId="4B3076E4" w14:textId="492C2594" w:rsidR="0005053F" w:rsidRDefault="0005053F" w:rsidP="0005053F">
            <w:pPr>
              <w:ind w:left="720"/>
              <w:rPr>
                <w:i/>
                <w:iCs/>
              </w:rPr>
            </w:pPr>
          </w:p>
          <w:p w14:paraId="07F8FB68" w14:textId="66632168" w:rsidR="00DE54E0" w:rsidRDefault="0005053F" w:rsidP="00FD75C3">
            <w:pPr>
              <w:ind w:left="720"/>
              <w:jc w:val="both"/>
              <w:rPr>
                <w:i/>
                <w:iCs/>
              </w:rPr>
            </w:pPr>
            <w:r w:rsidRPr="0005053F">
              <w:rPr>
                <w:b/>
                <w:bCs/>
                <w:i/>
                <w:iCs/>
              </w:rPr>
              <w:t xml:space="preserve">Mr. </w:t>
            </w:r>
            <w:r w:rsidR="000F119E">
              <w:rPr>
                <w:b/>
                <w:bCs/>
                <w:i/>
                <w:iCs/>
              </w:rPr>
              <w:t>Minoru Takada</w:t>
            </w:r>
            <w:r w:rsidRPr="0005053F">
              <w:rPr>
                <w:b/>
                <w:bCs/>
                <w:i/>
                <w:iCs/>
              </w:rPr>
              <w:t xml:space="preserve">, </w:t>
            </w:r>
            <w:r w:rsidR="006337A9" w:rsidRPr="006337A9">
              <w:rPr>
                <w:b/>
                <w:bCs/>
                <w:i/>
                <w:iCs/>
              </w:rPr>
              <w:t>Team Leader (Sustainable Energy), Division for Sustainable Development Goals, UN D</w:t>
            </w:r>
            <w:r w:rsidR="006337A9">
              <w:rPr>
                <w:b/>
                <w:bCs/>
                <w:i/>
                <w:iCs/>
              </w:rPr>
              <w:t>ESA</w:t>
            </w:r>
            <w:r w:rsidR="00E616E0">
              <w:rPr>
                <w:b/>
                <w:bCs/>
                <w:i/>
                <w:iCs/>
              </w:rPr>
              <w:t>,</w:t>
            </w:r>
            <w:r w:rsidR="006337A9">
              <w:rPr>
                <w:b/>
                <w:bCs/>
                <w:i/>
                <w:iCs/>
              </w:rPr>
              <w:t xml:space="preserve"> </w:t>
            </w:r>
            <w:r>
              <w:rPr>
                <w:i/>
                <w:iCs/>
              </w:rPr>
              <w:t xml:space="preserve">presented </w:t>
            </w:r>
            <w:r w:rsidR="006E23EC">
              <w:rPr>
                <w:i/>
                <w:iCs/>
              </w:rPr>
              <w:t xml:space="preserve">SDG7 on affordable and </w:t>
            </w:r>
            <w:r w:rsidR="00E421F0">
              <w:rPr>
                <w:i/>
                <w:iCs/>
              </w:rPr>
              <w:t>clean energy</w:t>
            </w:r>
            <w:r w:rsidR="00EB636D">
              <w:rPr>
                <w:i/>
                <w:iCs/>
              </w:rPr>
              <w:t xml:space="preserve"> which represents the first ever universal goal on energy</w:t>
            </w:r>
            <w:r w:rsidR="00897C01">
              <w:rPr>
                <w:i/>
                <w:iCs/>
              </w:rPr>
              <w:t xml:space="preserve"> and consists of </w:t>
            </w:r>
            <w:r w:rsidR="00D915FF">
              <w:rPr>
                <w:i/>
                <w:iCs/>
              </w:rPr>
              <w:t>the three pillars universal access to energy, renewable energy, and energy efficiency</w:t>
            </w:r>
            <w:r w:rsidR="00EB636D">
              <w:rPr>
                <w:i/>
                <w:iCs/>
              </w:rPr>
              <w:t xml:space="preserve">. He highlighted </w:t>
            </w:r>
            <w:r w:rsidR="002506F2">
              <w:rPr>
                <w:i/>
                <w:iCs/>
              </w:rPr>
              <w:t xml:space="preserve">that </w:t>
            </w:r>
            <w:r w:rsidR="00637C0A">
              <w:rPr>
                <w:i/>
                <w:iCs/>
              </w:rPr>
              <w:t>since</w:t>
            </w:r>
            <w:r w:rsidR="002506F2">
              <w:rPr>
                <w:i/>
                <w:iCs/>
              </w:rPr>
              <w:t xml:space="preserve"> progress on achieving SDG7 has slowed over the last years</w:t>
            </w:r>
            <w:r w:rsidR="00637C0A">
              <w:rPr>
                <w:i/>
                <w:iCs/>
              </w:rPr>
              <w:t xml:space="preserve"> and regional disparities have widened, immediate and </w:t>
            </w:r>
            <w:r w:rsidR="00FA5D9E">
              <w:rPr>
                <w:i/>
                <w:iCs/>
              </w:rPr>
              <w:t>swift action is needed</w:t>
            </w:r>
            <w:r w:rsidR="00D915FF">
              <w:rPr>
                <w:i/>
                <w:iCs/>
              </w:rPr>
              <w:t>.</w:t>
            </w:r>
          </w:p>
          <w:p w14:paraId="745AB983" w14:textId="77777777" w:rsidR="00297175" w:rsidRPr="000F119E" w:rsidRDefault="00297175" w:rsidP="00FD75C3">
            <w:pPr>
              <w:ind w:left="720"/>
              <w:jc w:val="both"/>
              <w:rPr>
                <w:i/>
                <w:iCs/>
              </w:rPr>
            </w:pPr>
          </w:p>
          <w:p w14:paraId="6ED660C8" w14:textId="221930D5" w:rsidR="00A8511A" w:rsidRDefault="003D534E" w:rsidP="00F302FB">
            <w:pPr>
              <w:ind w:left="720"/>
              <w:jc w:val="both"/>
              <w:rPr>
                <w:i/>
                <w:iCs/>
              </w:rPr>
            </w:pPr>
            <w:r>
              <w:rPr>
                <w:b/>
                <w:bCs/>
                <w:i/>
                <w:iCs/>
              </w:rPr>
              <w:t xml:space="preserve">Ms. </w:t>
            </w:r>
            <w:r w:rsidR="00F302FB">
              <w:rPr>
                <w:b/>
                <w:bCs/>
                <w:i/>
                <w:iCs/>
              </w:rPr>
              <w:t>Radia Sedaoui</w:t>
            </w:r>
            <w:r w:rsidR="0063395C">
              <w:rPr>
                <w:b/>
                <w:bCs/>
                <w:i/>
                <w:iCs/>
              </w:rPr>
              <w:t xml:space="preserve">, </w:t>
            </w:r>
            <w:r w:rsidR="00C85DD4" w:rsidRPr="00C85DD4">
              <w:rPr>
                <w:b/>
                <w:bCs/>
                <w:i/>
                <w:iCs/>
              </w:rPr>
              <w:t xml:space="preserve">Chief of Energy Section, Climate Change and Natural </w:t>
            </w:r>
            <w:r w:rsidR="00C85DD4">
              <w:rPr>
                <w:b/>
                <w:bCs/>
                <w:i/>
                <w:iCs/>
              </w:rPr>
              <w:t>R</w:t>
            </w:r>
            <w:r w:rsidR="00C85DD4" w:rsidRPr="00C85DD4">
              <w:rPr>
                <w:b/>
                <w:bCs/>
                <w:i/>
                <w:iCs/>
              </w:rPr>
              <w:t xml:space="preserve">esource Sustainability Cluster, UN </w:t>
            </w:r>
            <w:r w:rsidR="00C85DD4">
              <w:rPr>
                <w:b/>
                <w:bCs/>
                <w:i/>
                <w:iCs/>
              </w:rPr>
              <w:t>ESCWA</w:t>
            </w:r>
            <w:r w:rsidR="00F302FB">
              <w:rPr>
                <w:i/>
                <w:iCs/>
              </w:rPr>
              <w:t xml:space="preserve">, </w:t>
            </w:r>
            <w:r w:rsidR="007A7BC7">
              <w:rPr>
                <w:i/>
                <w:iCs/>
              </w:rPr>
              <w:t xml:space="preserve">underlined the importance of </w:t>
            </w:r>
            <w:r w:rsidR="00F346F6">
              <w:rPr>
                <w:i/>
                <w:iCs/>
              </w:rPr>
              <w:t xml:space="preserve">recognising the </w:t>
            </w:r>
            <w:r w:rsidR="00AC4391">
              <w:rPr>
                <w:i/>
                <w:iCs/>
              </w:rPr>
              <w:t xml:space="preserve">varying </w:t>
            </w:r>
            <w:r w:rsidR="00AF32AA">
              <w:rPr>
                <w:i/>
                <w:iCs/>
              </w:rPr>
              <w:t xml:space="preserve">cultural and regional backgrounds </w:t>
            </w:r>
            <w:r w:rsidR="00AC4391">
              <w:rPr>
                <w:i/>
                <w:iCs/>
              </w:rPr>
              <w:t>and resulting different pathways in</w:t>
            </w:r>
            <w:r w:rsidR="00AF32AA">
              <w:rPr>
                <w:i/>
                <w:iCs/>
              </w:rPr>
              <w:t xml:space="preserve"> implementing SDG7. She further </w:t>
            </w:r>
            <w:r w:rsidR="00F94D9A">
              <w:rPr>
                <w:i/>
                <w:iCs/>
              </w:rPr>
              <w:t>st</w:t>
            </w:r>
            <w:r w:rsidR="00DF27DC">
              <w:rPr>
                <w:i/>
                <w:iCs/>
              </w:rPr>
              <w:t>r</w:t>
            </w:r>
            <w:r w:rsidR="00F94D9A">
              <w:rPr>
                <w:i/>
                <w:iCs/>
              </w:rPr>
              <w:t>essed</w:t>
            </w:r>
            <w:r w:rsidR="00AF32AA">
              <w:rPr>
                <w:i/>
                <w:iCs/>
              </w:rPr>
              <w:t xml:space="preserve"> th</w:t>
            </w:r>
            <w:r w:rsidR="00B03A83">
              <w:rPr>
                <w:i/>
                <w:iCs/>
              </w:rPr>
              <w:t xml:space="preserve">e need to </w:t>
            </w:r>
            <w:r w:rsidR="003A6111">
              <w:rPr>
                <w:i/>
                <w:iCs/>
              </w:rPr>
              <w:t xml:space="preserve">leave no one </w:t>
            </w:r>
            <w:r w:rsidR="00F94D9A">
              <w:rPr>
                <w:i/>
                <w:iCs/>
              </w:rPr>
              <w:t xml:space="preserve">behind, </w:t>
            </w:r>
            <w:r w:rsidR="003A6111">
              <w:rPr>
                <w:i/>
                <w:iCs/>
              </w:rPr>
              <w:t xml:space="preserve">as </w:t>
            </w:r>
            <w:r w:rsidR="008337EB">
              <w:rPr>
                <w:i/>
                <w:iCs/>
              </w:rPr>
              <w:t>inequality and conflict</w:t>
            </w:r>
            <w:r w:rsidR="003A6111">
              <w:rPr>
                <w:i/>
                <w:iCs/>
              </w:rPr>
              <w:t xml:space="preserve"> </w:t>
            </w:r>
            <w:r w:rsidR="008337EB">
              <w:rPr>
                <w:i/>
                <w:iCs/>
              </w:rPr>
              <w:t>shape</w:t>
            </w:r>
            <w:r w:rsidR="00150B81">
              <w:rPr>
                <w:i/>
                <w:iCs/>
              </w:rPr>
              <w:t xml:space="preserve"> and prolong</w:t>
            </w:r>
            <w:r w:rsidR="008337EB">
              <w:rPr>
                <w:i/>
                <w:iCs/>
              </w:rPr>
              <w:t xml:space="preserve"> the transition</w:t>
            </w:r>
            <w:r w:rsidR="00150B81">
              <w:rPr>
                <w:i/>
                <w:iCs/>
              </w:rPr>
              <w:t>.</w:t>
            </w:r>
          </w:p>
          <w:p w14:paraId="54524CF0" w14:textId="77777777" w:rsidR="00150B81" w:rsidRDefault="00150B81" w:rsidP="00F302FB">
            <w:pPr>
              <w:ind w:left="720"/>
              <w:jc w:val="both"/>
              <w:rPr>
                <w:i/>
                <w:iCs/>
              </w:rPr>
            </w:pPr>
          </w:p>
          <w:p w14:paraId="3628DC7C" w14:textId="7C07350F" w:rsidR="00B92886" w:rsidRDefault="003D534E" w:rsidP="008B0B0F">
            <w:pPr>
              <w:ind w:left="720"/>
              <w:jc w:val="both"/>
              <w:rPr>
                <w:i/>
                <w:iCs/>
              </w:rPr>
            </w:pPr>
            <w:r>
              <w:rPr>
                <w:b/>
                <w:bCs/>
                <w:i/>
                <w:iCs/>
              </w:rPr>
              <w:t xml:space="preserve">Ms. </w:t>
            </w:r>
            <w:r w:rsidR="000F119E">
              <w:rPr>
                <w:b/>
                <w:bCs/>
                <w:i/>
                <w:iCs/>
              </w:rPr>
              <w:t>Sheila Oparaocha</w:t>
            </w:r>
            <w:r w:rsidR="006B6FC4">
              <w:rPr>
                <w:b/>
                <w:bCs/>
                <w:i/>
                <w:iCs/>
              </w:rPr>
              <w:t>,</w:t>
            </w:r>
            <w:r w:rsidR="00B95191">
              <w:rPr>
                <w:b/>
                <w:bCs/>
                <w:i/>
                <w:iCs/>
              </w:rPr>
              <w:t xml:space="preserve"> </w:t>
            </w:r>
            <w:r w:rsidR="00B95191" w:rsidRPr="00B95191">
              <w:rPr>
                <w:b/>
                <w:bCs/>
                <w:i/>
                <w:iCs/>
              </w:rPr>
              <w:t>Executive Director, ENERGIA International Network on Gender and Sustainable Energy</w:t>
            </w:r>
            <w:r w:rsidR="00DD66D2">
              <w:rPr>
                <w:i/>
                <w:iCs/>
              </w:rPr>
              <w:t xml:space="preserve">, </w:t>
            </w:r>
            <w:r w:rsidR="005E24F1">
              <w:rPr>
                <w:i/>
                <w:iCs/>
              </w:rPr>
              <w:t xml:space="preserve">underlined the sense of urgency </w:t>
            </w:r>
            <w:r w:rsidR="00F91C2C">
              <w:rPr>
                <w:i/>
                <w:iCs/>
              </w:rPr>
              <w:t>in achieving SDG7 given the recent set-backs due to Covid-19 and the</w:t>
            </w:r>
            <w:r w:rsidR="00384C6F">
              <w:rPr>
                <w:i/>
                <w:iCs/>
              </w:rPr>
              <w:t xml:space="preserve"> war in</w:t>
            </w:r>
            <w:r w:rsidR="00F91C2C">
              <w:rPr>
                <w:i/>
                <w:iCs/>
              </w:rPr>
              <w:t xml:space="preserve"> Ukraine</w:t>
            </w:r>
            <w:r w:rsidR="00384C6F">
              <w:rPr>
                <w:i/>
                <w:iCs/>
              </w:rPr>
              <w:t xml:space="preserve">. She further highlighted that moving forward energy access </w:t>
            </w:r>
            <w:r w:rsidR="00435E30">
              <w:rPr>
                <w:i/>
                <w:iCs/>
              </w:rPr>
              <w:t>must not</w:t>
            </w:r>
            <w:r w:rsidR="00384C6F">
              <w:rPr>
                <w:i/>
                <w:iCs/>
              </w:rPr>
              <w:t xml:space="preserve"> </w:t>
            </w:r>
            <w:r w:rsidR="00620483">
              <w:rPr>
                <w:i/>
                <w:iCs/>
              </w:rPr>
              <w:t>be seen as solely a development issue, but rather a human rights and political issue as well.</w:t>
            </w:r>
          </w:p>
          <w:p w14:paraId="59C52244" w14:textId="77777777" w:rsidR="007E0978" w:rsidRPr="007E0978" w:rsidRDefault="007E0978" w:rsidP="007E0978">
            <w:pPr>
              <w:ind w:left="720"/>
              <w:jc w:val="both"/>
              <w:rPr>
                <w:i/>
                <w:iCs/>
              </w:rPr>
            </w:pPr>
          </w:p>
          <w:p w14:paraId="6E8F80C7" w14:textId="537ACFF2" w:rsidR="000820E2" w:rsidRDefault="003D534E" w:rsidP="0094731F">
            <w:pPr>
              <w:ind w:left="720"/>
              <w:jc w:val="both"/>
              <w:rPr>
                <w:i/>
                <w:iCs/>
              </w:rPr>
            </w:pPr>
            <w:r>
              <w:rPr>
                <w:b/>
                <w:bCs/>
                <w:i/>
                <w:iCs/>
              </w:rPr>
              <w:lastRenderedPageBreak/>
              <w:t xml:space="preserve">Ms. </w:t>
            </w:r>
            <w:r w:rsidR="00FC04A3" w:rsidRPr="00FC04A3">
              <w:rPr>
                <w:b/>
                <w:bCs/>
                <w:i/>
                <w:iCs/>
              </w:rPr>
              <w:t>Leena Srivastava, Deputy Director General for Science, International Institute for Applied Systems Analysis (IIASA)</w:t>
            </w:r>
            <w:r w:rsidR="00BB59B2">
              <w:rPr>
                <w:b/>
                <w:bCs/>
                <w:i/>
                <w:iCs/>
              </w:rPr>
              <w:t>, Vienna Austria</w:t>
            </w:r>
            <w:r w:rsidR="000F119E">
              <w:rPr>
                <w:i/>
                <w:iCs/>
              </w:rPr>
              <w:t>,</w:t>
            </w:r>
            <w:r w:rsidR="007E0978">
              <w:rPr>
                <w:i/>
                <w:iCs/>
              </w:rPr>
              <w:t xml:space="preserve"> </w:t>
            </w:r>
            <w:r w:rsidR="00F96347">
              <w:rPr>
                <w:i/>
                <w:iCs/>
              </w:rPr>
              <w:t>stressed that energy access is not a binary problem, but</w:t>
            </w:r>
            <w:r w:rsidR="00F462AE">
              <w:rPr>
                <w:i/>
                <w:iCs/>
              </w:rPr>
              <w:t xml:space="preserve"> varies in the quantity and quality of energy access.</w:t>
            </w:r>
            <w:r w:rsidR="00CB4095">
              <w:rPr>
                <w:i/>
                <w:iCs/>
              </w:rPr>
              <w:t xml:space="preserve"> She further called for not overlooking fairness in the process of achieving SDG7</w:t>
            </w:r>
            <w:r w:rsidR="0030462B">
              <w:rPr>
                <w:i/>
                <w:iCs/>
              </w:rPr>
              <w:t xml:space="preserve"> and therefore change the approach on how to deal with energy access.</w:t>
            </w:r>
          </w:p>
          <w:p w14:paraId="6E24470F" w14:textId="77777777" w:rsidR="0094731F" w:rsidRPr="0094731F" w:rsidRDefault="0094731F" w:rsidP="0094731F">
            <w:pPr>
              <w:ind w:left="720"/>
              <w:jc w:val="both"/>
              <w:rPr>
                <w:i/>
                <w:iCs/>
              </w:rPr>
            </w:pPr>
          </w:p>
          <w:p w14:paraId="6B367B50" w14:textId="40E9E73C" w:rsidR="00795705" w:rsidRDefault="003D534E" w:rsidP="000F119E">
            <w:pPr>
              <w:ind w:left="720"/>
              <w:jc w:val="both"/>
              <w:rPr>
                <w:i/>
                <w:iCs/>
              </w:rPr>
            </w:pPr>
            <w:r>
              <w:rPr>
                <w:b/>
                <w:bCs/>
                <w:i/>
                <w:iCs/>
              </w:rPr>
              <w:t xml:space="preserve">Ms. </w:t>
            </w:r>
            <w:r w:rsidR="00BB59B2" w:rsidRPr="00BB59B2">
              <w:rPr>
                <w:b/>
                <w:bCs/>
                <w:i/>
                <w:iCs/>
              </w:rPr>
              <w:t>Doris Agbevivi, Energy Analyst, Energy Commission, Ghana</w:t>
            </w:r>
            <w:r w:rsidR="000F119E">
              <w:rPr>
                <w:i/>
                <w:iCs/>
              </w:rPr>
              <w:t>,</w:t>
            </w:r>
            <w:r w:rsidR="000820E2">
              <w:rPr>
                <w:i/>
                <w:iCs/>
              </w:rPr>
              <w:t xml:space="preserve"> </w:t>
            </w:r>
            <w:r w:rsidR="00A63853">
              <w:rPr>
                <w:i/>
                <w:iCs/>
              </w:rPr>
              <w:t xml:space="preserve">reiterated the </w:t>
            </w:r>
            <w:r w:rsidR="00412EF8">
              <w:rPr>
                <w:i/>
                <w:iCs/>
              </w:rPr>
              <w:t xml:space="preserve">issues raised by the other </w:t>
            </w:r>
            <w:r w:rsidR="00284329">
              <w:rPr>
                <w:i/>
                <w:iCs/>
              </w:rPr>
              <w:t>panellists</w:t>
            </w:r>
            <w:r w:rsidR="00412EF8">
              <w:rPr>
                <w:i/>
                <w:iCs/>
              </w:rPr>
              <w:t xml:space="preserve">, namely different pathways to SDG7, </w:t>
            </w:r>
            <w:r w:rsidR="00A93612">
              <w:rPr>
                <w:i/>
                <w:iCs/>
              </w:rPr>
              <w:t xml:space="preserve">energy access as a human right, and fairness. She further </w:t>
            </w:r>
            <w:r w:rsidR="00037A20">
              <w:rPr>
                <w:i/>
                <w:iCs/>
              </w:rPr>
              <w:t>highlighted the last-mile-issue and how to address it</w:t>
            </w:r>
            <w:r w:rsidR="006F4252">
              <w:rPr>
                <w:i/>
                <w:iCs/>
              </w:rPr>
              <w:t>, as well as big picture questions about the exploitation of natural resources in Africa.</w:t>
            </w:r>
          </w:p>
          <w:p w14:paraId="533A9ADE" w14:textId="6741A28C" w:rsidR="00F65F74" w:rsidRPr="00C9548B" w:rsidRDefault="00F65F74" w:rsidP="006F4252">
            <w:pPr>
              <w:ind w:left="720"/>
              <w:jc w:val="both"/>
              <w:rPr>
                <w:i/>
                <w:iCs/>
              </w:rPr>
            </w:pPr>
          </w:p>
        </w:tc>
      </w:tr>
      <w:tr w:rsidR="00C9548B" w14:paraId="5D250014" w14:textId="77777777" w:rsidTr="00253D5C">
        <w:trPr>
          <w:trHeight w:val="287"/>
        </w:trPr>
        <w:tc>
          <w:tcPr>
            <w:tcW w:w="8989" w:type="dxa"/>
          </w:tcPr>
          <w:p w14:paraId="713CC0E1" w14:textId="150D5D0A" w:rsidR="00C9548B" w:rsidRPr="00F65F74" w:rsidRDefault="00C9548B" w:rsidP="00F65F74">
            <w:pPr>
              <w:rPr>
                <w:rFonts w:ascii="Segoe UI" w:eastAsia="Segoe UI" w:hAnsi="Segoe UI" w:cs="Segoe UI"/>
                <w:b/>
                <w:bCs/>
              </w:rPr>
            </w:pPr>
            <w:r w:rsidRPr="05C04687">
              <w:rPr>
                <w:rFonts w:ascii="Segoe UI" w:eastAsia="Segoe UI" w:hAnsi="Segoe UI" w:cs="Segoe UI"/>
                <w:b/>
                <w:bCs/>
              </w:rPr>
              <w:lastRenderedPageBreak/>
              <w:t>Q&amp;A</w:t>
            </w:r>
          </w:p>
        </w:tc>
      </w:tr>
      <w:tr w:rsidR="00F65F74" w14:paraId="32F93020" w14:textId="77777777" w:rsidTr="008B0B0F">
        <w:trPr>
          <w:trHeight w:val="1412"/>
        </w:trPr>
        <w:tc>
          <w:tcPr>
            <w:tcW w:w="8989" w:type="dxa"/>
          </w:tcPr>
          <w:p w14:paraId="6582665A" w14:textId="77777777" w:rsidR="00253D5C" w:rsidRDefault="00253D5C" w:rsidP="0081687F">
            <w:pPr>
              <w:ind w:left="720"/>
              <w:jc w:val="both"/>
              <w:rPr>
                <w:i/>
                <w:iCs/>
              </w:rPr>
            </w:pPr>
          </w:p>
          <w:p w14:paraId="26056F4D" w14:textId="695A9C81" w:rsidR="0081687F" w:rsidRDefault="006C5C90" w:rsidP="0081687F">
            <w:pPr>
              <w:ind w:left="720"/>
              <w:jc w:val="both"/>
              <w:rPr>
                <w:i/>
                <w:iCs/>
              </w:rPr>
            </w:pPr>
            <w:r w:rsidRPr="006C5C90">
              <w:rPr>
                <w:b/>
                <w:bCs/>
                <w:i/>
                <w:iCs/>
              </w:rPr>
              <w:t xml:space="preserve">Q from </w:t>
            </w:r>
            <w:r w:rsidR="003D534E">
              <w:rPr>
                <w:b/>
                <w:bCs/>
                <w:i/>
                <w:iCs/>
              </w:rPr>
              <w:t>Minoru</w:t>
            </w:r>
            <w:r w:rsidR="0081687F" w:rsidRPr="006C5C90">
              <w:rPr>
                <w:b/>
                <w:bCs/>
                <w:i/>
                <w:iCs/>
              </w:rPr>
              <w:t xml:space="preserve"> to </w:t>
            </w:r>
            <w:r w:rsidR="003D534E">
              <w:rPr>
                <w:b/>
                <w:bCs/>
                <w:i/>
                <w:iCs/>
              </w:rPr>
              <w:t>Leena</w:t>
            </w:r>
            <w:r w:rsidR="0081687F">
              <w:rPr>
                <w:i/>
                <w:iCs/>
              </w:rPr>
              <w:t xml:space="preserve">: </w:t>
            </w:r>
            <w:r w:rsidR="00C479ED">
              <w:rPr>
                <w:i/>
                <w:iCs/>
              </w:rPr>
              <w:t>Considering long term</w:t>
            </w:r>
            <w:r w:rsidR="0081687F">
              <w:rPr>
                <w:i/>
                <w:iCs/>
              </w:rPr>
              <w:t xml:space="preserve"> energy transitions, do you think we should limit fossil fuel use in developing countries? Or are they win-win-solutions?</w:t>
            </w:r>
          </w:p>
          <w:p w14:paraId="6A6E3A25" w14:textId="729105E8" w:rsidR="00636009" w:rsidRDefault="00C479ED" w:rsidP="003D534E">
            <w:pPr>
              <w:ind w:left="720"/>
              <w:jc w:val="both"/>
              <w:rPr>
                <w:i/>
                <w:iCs/>
              </w:rPr>
            </w:pPr>
            <w:r w:rsidRPr="003D534E">
              <w:rPr>
                <w:b/>
                <w:bCs/>
                <w:i/>
                <w:iCs/>
              </w:rPr>
              <w:t>A</w:t>
            </w:r>
            <w:r w:rsidR="003D534E" w:rsidRPr="003D534E">
              <w:rPr>
                <w:b/>
                <w:bCs/>
                <w:i/>
                <w:iCs/>
              </w:rPr>
              <w:t xml:space="preserve"> from L</w:t>
            </w:r>
            <w:r w:rsidR="003D534E">
              <w:rPr>
                <w:b/>
                <w:bCs/>
                <w:i/>
                <w:iCs/>
              </w:rPr>
              <w:t>ee</w:t>
            </w:r>
            <w:r w:rsidR="003D534E" w:rsidRPr="003D534E">
              <w:rPr>
                <w:b/>
                <w:bCs/>
                <w:i/>
                <w:iCs/>
              </w:rPr>
              <w:t>na</w:t>
            </w:r>
            <w:r>
              <w:rPr>
                <w:i/>
                <w:iCs/>
              </w:rPr>
              <w:t>:</w:t>
            </w:r>
            <w:r w:rsidR="001977DA">
              <w:rPr>
                <w:i/>
                <w:iCs/>
              </w:rPr>
              <w:t xml:space="preserve"> It is necessary to have different</w:t>
            </w:r>
            <w:r w:rsidR="001B504A">
              <w:rPr>
                <w:i/>
                <w:iCs/>
              </w:rPr>
              <w:t>, individual</w:t>
            </w:r>
            <w:r w:rsidR="001977DA">
              <w:rPr>
                <w:i/>
                <w:iCs/>
              </w:rPr>
              <w:t xml:space="preserve"> pathways to net zero</w:t>
            </w:r>
            <w:r w:rsidR="00FF3369">
              <w:rPr>
                <w:i/>
                <w:iCs/>
              </w:rPr>
              <w:t xml:space="preserve">. However, even </w:t>
            </w:r>
            <w:r w:rsidR="001B504A">
              <w:rPr>
                <w:i/>
                <w:iCs/>
              </w:rPr>
              <w:t>then</w:t>
            </w:r>
            <w:r w:rsidR="00FF3369">
              <w:rPr>
                <w:i/>
                <w:iCs/>
              </w:rPr>
              <w:t xml:space="preserve"> </w:t>
            </w:r>
            <w:r w:rsidR="001B504A">
              <w:rPr>
                <w:i/>
                <w:iCs/>
              </w:rPr>
              <w:t>global</w:t>
            </w:r>
            <w:r w:rsidR="00FF3369">
              <w:rPr>
                <w:i/>
                <w:iCs/>
              </w:rPr>
              <w:t xml:space="preserve"> net zero </w:t>
            </w:r>
            <w:r w:rsidR="001B504A">
              <w:rPr>
                <w:i/>
                <w:iCs/>
              </w:rPr>
              <w:t xml:space="preserve">could be achieved </w:t>
            </w:r>
            <w:r w:rsidR="00FF3369">
              <w:rPr>
                <w:i/>
                <w:iCs/>
              </w:rPr>
              <w:t xml:space="preserve">by 2030. </w:t>
            </w:r>
            <w:r w:rsidR="001F7CD8">
              <w:rPr>
                <w:i/>
                <w:iCs/>
              </w:rPr>
              <w:t>Also, who is we? We should not impose actions on other countries, but rather empower them and give them the choice.</w:t>
            </w:r>
            <w:r w:rsidR="00CE0BA9">
              <w:rPr>
                <w:i/>
                <w:iCs/>
              </w:rPr>
              <w:t xml:space="preserve"> </w:t>
            </w:r>
            <w:r w:rsidR="006567C1">
              <w:rPr>
                <w:i/>
                <w:iCs/>
              </w:rPr>
              <w:t xml:space="preserve">Moreover, engaged dialogue is necessary, as we keep on saying context matters, but </w:t>
            </w:r>
            <w:r w:rsidR="00883204">
              <w:rPr>
                <w:i/>
                <w:iCs/>
              </w:rPr>
              <w:t xml:space="preserve">do not actually know the context of other countries, which leads to an oversimplification of </w:t>
            </w:r>
            <w:r w:rsidR="003D534E">
              <w:rPr>
                <w:i/>
                <w:iCs/>
              </w:rPr>
              <w:t>country specific</w:t>
            </w:r>
            <w:r w:rsidR="00883204">
              <w:rPr>
                <w:i/>
                <w:iCs/>
              </w:rPr>
              <w:t xml:space="preserve"> challenges.</w:t>
            </w:r>
          </w:p>
          <w:p w14:paraId="555D0FD3" w14:textId="77777777" w:rsidR="003D534E" w:rsidRDefault="003D534E" w:rsidP="003D534E">
            <w:pPr>
              <w:ind w:left="720"/>
              <w:jc w:val="both"/>
              <w:rPr>
                <w:i/>
                <w:iCs/>
              </w:rPr>
            </w:pPr>
          </w:p>
          <w:p w14:paraId="6601B5B8" w14:textId="1F3A589F" w:rsidR="00636009" w:rsidRDefault="003D534E" w:rsidP="0081687F">
            <w:pPr>
              <w:ind w:left="720"/>
              <w:jc w:val="both"/>
              <w:rPr>
                <w:i/>
                <w:iCs/>
              </w:rPr>
            </w:pPr>
            <w:r w:rsidRPr="003D534E">
              <w:rPr>
                <w:b/>
                <w:bCs/>
                <w:i/>
                <w:iCs/>
              </w:rPr>
              <w:t xml:space="preserve">Q from </w:t>
            </w:r>
            <w:r w:rsidR="00636009" w:rsidRPr="003D534E">
              <w:rPr>
                <w:b/>
                <w:bCs/>
                <w:i/>
                <w:iCs/>
              </w:rPr>
              <w:t>Minoru to Radia</w:t>
            </w:r>
            <w:r w:rsidR="00636009">
              <w:rPr>
                <w:i/>
                <w:iCs/>
              </w:rPr>
              <w:t xml:space="preserve">: </w:t>
            </w:r>
            <w:r w:rsidR="0059264C">
              <w:rPr>
                <w:i/>
                <w:iCs/>
              </w:rPr>
              <w:t xml:space="preserve">In the </w:t>
            </w:r>
            <w:r w:rsidR="00636009">
              <w:rPr>
                <w:i/>
                <w:iCs/>
              </w:rPr>
              <w:t>Arab region</w:t>
            </w:r>
            <w:r w:rsidR="005152CB">
              <w:rPr>
                <w:i/>
                <w:iCs/>
              </w:rPr>
              <w:t xml:space="preserve"> there’s</w:t>
            </w:r>
            <w:r w:rsidR="00636009">
              <w:rPr>
                <w:i/>
                <w:iCs/>
              </w:rPr>
              <w:t xml:space="preserve"> </w:t>
            </w:r>
            <w:r w:rsidR="00772A65">
              <w:rPr>
                <w:i/>
                <w:iCs/>
              </w:rPr>
              <w:t xml:space="preserve">a lot of </w:t>
            </w:r>
            <w:r w:rsidR="00A86AB6">
              <w:rPr>
                <w:i/>
                <w:iCs/>
              </w:rPr>
              <w:t>oil</w:t>
            </w:r>
            <w:r w:rsidR="005152CB">
              <w:rPr>
                <w:i/>
                <w:iCs/>
              </w:rPr>
              <w:t xml:space="preserve"> producing countries which are rich, but also </w:t>
            </w:r>
            <w:r w:rsidR="00636009">
              <w:rPr>
                <w:i/>
                <w:iCs/>
              </w:rPr>
              <w:t>lots of poverty</w:t>
            </w:r>
            <w:r w:rsidR="005152CB">
              <w:rPr>
                <w:i/>
                <w:iCs/>
              </w:rPr>
              <w:t xml:space="preserve">. </w:t>
            </w:r>
            <w:r w:rsidR="001513B0">
              <w:rPr>
                <w:i/>
                <w:iCs/>
              </w:rPr>
              <w:t>How can we solve this?</w:t>
            </w:r>
          </w:p>
          <w:p w14:paraId="77632224" w14:textId="5E67826B" w:rsidR="007431BA" w:rsidRPr="007431BA" w:rsidRDefault="007431BA" w:rsidP="0081687F">
            <w:pPr>
              <w:ind w:left="720"/>
              <w:jc w:val="both"/>
              <w:rPr>
                <w:i/>
                <w:iCs/>
              </w:rPr>
            </w:pPr>
            <w:r>
              <w:rPr>
                <w:b/>
                <w:bCs/>
                <w:i/>
                <w:iCs/>
              </w:rPr>
              <w:t>A from Radia</w:t>
            </w:r>
            <w:r>
              <w:rPr>
                <w:i/>
                <w:iCs/>
              </w:rPr>
              <w:t xml:space="preserve">: </w:t>
            </w:r>
            <w:r w:rsidR="00D21290">
              <w:rPr>
                <w:i/>
                <w:iCs/>
              </w:rPr>
              <w:t>It is a question of capacity and access to</w:t>
            </w:r>
            <w:r w:rsidR="00BC6758">
              <w:rPr>
                <w:i/>
                <w:iCs/>
              </w:rPr>
              <w:t xml:space="preserve"> / lack of</w:t>
            </w:r>
            <w:r w:rsidR="00D21290">
              <w:rPr>
                <w:i/>
                <w:iCs/>
              </w:rPr>
              <w:t xml:space="preserve"> finance. The </w:t>
            </w:r>
            <w:r w:rsidR="00A86AB6">
              <w:rPr>
                <w:i/>
                <w:iCs/>
              </w:rPr>
              <w:t xml:space="preserve">oil producing nations are heavily investing in renewable energies with the goal to remain energy </w:t>
            </w:r>
            <w:r w:rsidR="00BC6758">
              <w:rPr>
                <w:i/>
                <w:iCs/>
              </w:rPr>
              <w:t>superpowers</w:t>
            </w:r>
            <w:r w:rsidR="00567E46">
              <w:rPr>
                <w:i/>
                <w:iCs/>
              </w:rPr>
              <w:t xml:space="preserve"> and global market players. T</w:t>
            </w:r>
            <w:r w:rsidR="00162AAF">
              <w:rPr>
                <w:i/>
                <w:iCs/>
              </w:rPr>
              <w:t>he disparities in the region pose a huge problem, but the energy transition can also function as a significant opportunity</w:t>
            </w:r>
            <w:r w:rsidR="004B310A">
              <w:rPr>
                <w:i/>
                <w:iCs/>
              </w:rPr>
              <w:t xml:space="preserve"> in this matter.</w:t>
            </w:r>
          </w:p>
          <w:p w14:paraId="7BF79A85" w14:textId="64EFDECB" w:rsidR="004C4F2A" w:rsidRDefault="004C4F2A" w:rsidP="0081687F">
            <w:pPr>
              <w:ind w:left="720"/>
              <w:jc w:val="both"/>
              <w:rPr>
                <w:i/>
                <w:iCs/>
              </w:rPr>
            </w:pPr>
          </w:p>
          <w:p w14:paraId="614302F6" w14:textId="4CF219E0" w:rsidR="004C4F2A" w:rsidRDefault="007431BA" w:rsidP="0081687F">
            <w:pPr>
              <w:ind w:left="720"/>
              <w:jc w:val="both"/>
              <w:rPr>
                <w:i/>
                <w:iCs/>
              </w:rPr>
            </w:pPr>
            <w:r w:rsidRPr="007431BA">
              <w:rPr>
                <w:b/>
                <w:bCs/>
                <w:i/>
                <w:iCs/>
              </w:rPr>
              <w:t xml:space="preserve">Q from </w:t>
            </w:r>
            <w:r w:rsidR="004C4F2A" w:rsidRPr="007431BA">
              <w:rPr>
                <w:b/>
                <w:bCs/>
                <w:i/>
                <w:iCs/>
              </w:rPr>
              <w:t>Minoru to Sheila</w:t>
            </w:r>
            <w:r w:rsidR="004C4F2A">
              <w:rPr>
                <w:i/>
                <w:iCs/>
              </w:rPr>
              <w:t xml:space="preserve">: Should we </w:t>
            </w:r>
            <w:r w:rsidR="00D7310D">
              <w:rPr>
                <w:i/>
                <w:iCs/>
              </w:rPr>
              <w:t xml:space="preserve">just </w:t>
            </w:r>
            <w:r w:rsidR="004C4F2A">
              <w:rPr>
                <w:i/>
                <w:iCs/>
              </w:rPr>
              <w:t>forget about clean cooking</w:t>
            </w:r>
            <w:r w:rsidR="00D7310D">
              <w:rPr>
                <w:i/>
                <w:iCs/>
              </w:rPr>
              <w:t xml:space="preserve"> given that the n</w:t>
            </w:r>
            <w:r w:rsidR="004C4F2A">
              <w:rPr>
                <w:i/>
                <w:iCs/>
              </w:rPr>
              <w:t xml:space="preserve">umber </w:t>
            </w:r>
            <w:r w:rsidR="00D7310D">
              <w:rPr>
                <w:i/>
                <w:iCs/>
              </w:rPr>
              <w:t xml:space="preserve">of people </w:t>
            </w:r>
            <w:r w:rsidR="00872DB0">
              <w:rPr>
                <w:i/>
                <w:iCs/>
              </w:rPr>
              <w:t xml:space="preserve">not having access </w:t>
            </w:r>
            <w:r w:rsidR="008F7D2A">
              <w:rPr>
                <w:i/>
                <w:iCs/>
              </w:rPr>
              <w:t>has risen</w:t>
            </w:r>
            <w:r w:rsidR="00872DB0">
              <w:rPr>
                <w:i/>
                <w:iCs/>
              </w:rPr>
              <w:t xml:space="preserve"> from </w:t>
            </w:r>
            <w:r w:rsidR="004C4F2A">
              <w:rPr>
                <w:i/>
                <w:iCs/>
              </w:rPr>
              <w:t xml:space="preserve">2 billion to </w:t>
            </w:r>
            <w:r w:rsidR="00872DB0">
              <w:rPr>
                <w:i/>
                <w:iCs/>
              </w:rPr>
              <w:t xml:space="preserve">now </w:t>
            </w:r>
            <w:r w:rsidR="004C4F2A">
              <w:rPr>
                <w:i/>
                <w:iCs/>
              </w:rPr>
              <w:t>2.4 billion? Should we</w:t>
            </w:r>
            <w:r w:rsidR="008F7D2A">
              <w:rPr>
                <w:i/>
                <w:iCs/>
              </w:rPr>
              <w:t xml:space="preserve"> just</w:t>
            </w:r>
            <w:r w:rsidR="004C4F2A">
              <w:rPr>
                <w:i/>
                <w:iCs/>
              </w:rPr>
              <w:t xml:space="preserve"> give up</w:t>
            </w:r>
            <w:r w:rsidR="008F7D2A">
              <w:rPr>
                <w:i/>
                <w:iCs/>
              </w:rPr>
              <w:t xml:space="preserve"> or </w:t>
            </w:r>
            <w:r w:rsidR="006814D7">
              <w:rPr>
                <w:i/>
                <w:iCs/>
              </w:rPr>
              <w:t>is there anything we could do differently to progress on this issue</w:t>
            </w:r>
            <w:r w:rsidR="004C4F2A">
              <w:rPr>
                <w:i/>
                <w:iCs/>
              </w:rPr>
              <w:t>?</w:t>
            </w:r>
          </w:p>
          <w:p w14:paraId="38353A7E" w14:textId="0A26B636" w:rsidR="002D62B5" w:rsidRDefault="007431BA" w:rsidP="007D76B6">
            <w:pPr>
              <w:ind w:left="720"/>
              <w:jc w:val="both"/>
              <w:rPr>
                <w:i/>
                <w:iCs/>
              </w:rPr>
            </w:pPr>
            <w:r w:rsidRPr="007431BA">
              <w:rPr>
                <w:b/>
                <w:bCs/>
                <w:i/>
                <w:iCs/>
              </w:rPr>
              <w:t>A from Sheila</w:t>
            </w:r>
            <w:r>
              <w:rPr>
                <w:i/>
                <w:iCs/>
              </w:rPr>
              <w:t>:</w:t>
            </w:r>
            <w:r w:rsidR="006814D7">
              <w:rPr>
                <w:i/>
                <w:iCs/>
              </w:rPr>
              <w:t xml:space="preserve"> W</w:t>
            </w:r>
            <w:r w:rsidR="004C4F2A">
              <w:rPr>
                <w:i/>
                <w:iCs/>
              </w:rPr>
              <w:t>e cannot afford to give u</w:t>
            </w:r>
            <w:r w:rsidR="006814D7">
              <w:rPr>
                <w:i/>
                <w:iCs/>
              </w:rPr>
              <w:t xml:space="preserve">p due to the immense </w:t>
            </w:r>
            <w:r w:rsidR="004C4F2A">
              <w:rPr>
                <w:i/>
                <w:iCs/>
              </w:rPr>
              <w:t>impacts on health</w:t>
            </w:r>
            <w:r w:rsidR="008B6D70">
              <w:rPr>
                <w:i/>
                <w:iCs/>
              </w:rPr>
              <w:t xml:space="preserve"> – </w:t>
            </w:r>
            <w:r w:rsidR="002D62B5">
              <w:rPr>
                <w:i/>
                <w:iCs/>
              </w:rPr>
              <w:t>particularly</w:t>
            </w:r>
            <w:r w:rsidR="008B6D70">
              <w:rPr>
                <w:i/>
                <w:iCs/>
              </w:rPr>
              <w:t xml:space="preserve"> </w:t>
            </w:r>
            <w:r w:rsidR="002D62B5">
              <w:rPr>
                <w:i/>
                <w:iCs/>
              </w:rPr>
              <w:t>women and children</w:t>
            </w:r>
            <w:r w:rsidR="008B6D70">
              <w:rPr>
                <w:i/>
                <w:iCs/>
              </w:rPr>
              <w:t xml:space="preserve"> –</w:t>
            </w:r>
            <w:r w:rsidR="002D62B5">
              <w:rPr>
                <w:i/>
                <w:iCs/>
              </w:rPr>
              <w:t xml:space="preserve"> and</w:t>
            </w:r>
            <w:r w:rsidR="008B6D70">
              <w:rPr>
                <w:i/>
                <w:iCs/>
              </w:rPr>
              <w:t xml:space="preserve"> </w:t>
            </w:r>
            <w:r w:rsidR="002D62B5">
              <w:rPr>
                <w:i/>
                <w:iCs/>
              </w:rPr>
              <w:t>climate change</w:t>
            </w:r>
            <w:r w:rsidR="008B6D70">
              <w:rPr>
                <w:i/>
                <w:iCs/>
              </w:rPr>
              <w:t xml:space="preserve">. </w:t>
            </w:r>
            <w:r w:rsidR="007D76B6">
              <w:rPr>
                <w:i/>
                <w:iCs/>
              </w:rPr>
              <w:t xml:space="preserve">So the question should be why we </w:t>
            </w:r>
            <w:r w:rsidR="002D62B5">
              <w:rPr>
                <w:i/>
                <w:iCs/>
              </w:rPr>
              <w:t>continue to have problems with</w:t>
            </w:r>
            <w:r w:rsidR="007D76B6">
              <w:rPr>
                <w:i/>
                <w:iCs/>
              </w:rPr>
              <w:t xml:space="preserve"> access to</w:t>
            </w:r>
            <w:r w:rsidR="002D62B5">
              <w:rPr>
                <w:i/>
                <w:iCs/>
              </w:rPr>
              <w:t xml:space="preserve"> clean cooking</w:t>
            </w:r>
            <w:r w:rsidR="007D76B6">
              <w:rPr>
                <w:i/>
                <w:iCs/>
              </w:rPr>
              <w:t>.</w:t>
            </w:r>
            <w:r w:rsidR="002D62B5">
              <w:rPr>
                <w:i/>
                <w:iCs/>
              </w:rPr>
              <w:t xml:space="preserve"> Going back to the rights issue, it </w:t>
            </w:r>
            <w:r w:rsidR="007D76B6">
              <w:rPr>
                <w:i/>
                <w:iCs/>
              </w:rPr>
              <w:t xml:space="preserve">just </w:t>
            </w:r>
            <w:r w:rsidR="002D62B5">
              <w:rPr>
                <w:i/>
                <w:iCs/>
              </w:rPr>
              <w:t>hasn’t been on the public agenda</w:t>
            </w:r>
            <w:r w:rsidR="00A07328">
              <w:rPr>
                <w:i/>
                <w:iCs/>
              </w:rPr>
              <w:t xml:space="preserve"> like electricity issues for example. To achieve progress the same </w:t>
            </w:r>
            <w:r w:rsidR="00F759DC">
              <w:rPr>
                <w:i/>
                <w:iCs/>
              </w:rPr>
              <w:t>willingness and instruments should be applied by governments regarding access to clean cooking.</w:t>
            </w:r>
          </w:p>
          <w:p w14:paraId="56E194F5" w14:textId="271C555F" w:rsidR="002D62B5" w:rsidRDefault="002D62B5" w:rsidP="0081687F">
            <w:pPr>
              <w:ind w:left="720"/>
              <w:jc w:val="both"/>
              <w:rPr>
                <w:i/>
                <w:iCs/>
              </w:rPr>
            </w:pPr>
          </w:p>
          <w:p w14:paraId="0503D33D" w14:textId="4D284AFE" w:rsidR="002D62B5" w:rsidRDefault="007431BA" w:rsidP="0081687F">
            <w:pPr>
              <w:ind w:left="720"/>
              <w:jc w:val="both"/>
              <w:rPr>
                <w:i/>
                <w:iCs/>
              </w:rPr>
            </w:pPr>
            <w:r w:rsidRPr="007431BA">
              <w:rPr>
                <w:b/>
                <w:bCs/>
                <w:i/>
                <w:iCs/>
              </w:rPr>
              <w:t xml:space="preserve">Q from </w:t>
            </w:r>
            <w:r w:rsidR="00774E45" w:rsidRPr="007431BA">
              <w:rPr>
                <w:b/>
                <w:bCs/>
                <w:i/>
                <w:iCs/>
              </w:rPr>
              <w:t xml:space="preserve">Minoru </w:t>
            </w:r>
            <w:r w:rsidRPr="007431BA">
              <w:rPr>
                <w:b/>
                <w:bCs/>
                <w:i/>
                <w:iCs/>
              </w:rPr>
              <w:t>t</w:t>
            </w:r>
            <w:r w:rsidR="002D62B5" w:rsidRPr="007431BA">
              <w:rPr>
                <w:b/>
                <w:bCs/>
                <w:i/>
                <w:iCs/>
              </w:rPr>
              <w:t xml:space="preserve">o </w:t>
            </w:r>
            <w:r w:rsidRPr="007431BA">
              <w:rPr>
                <w:b/>
                <w:bCs/>
                <w:i/>
                <w:iCs/>
              </w:rPr>
              <w:t>D</w:t>
            </w:r>
            <w:r w:rsidR="002D62B5" w:rsidRPr="007431BA">
              <w:rPr>
                <w:b/>
                <w:bCs/>
                <w:i/>
                <w:iCs/>
              </w:rPr>
              <w:t>oris</w:t>
            </w:r>
            <w:r w:rsidR="002D62B5">
              <w:rPr>
                <w:i/>
                <w:iCs/>
              </w:rPr>
              <w:t xml:space="preserve">: </w:t>
            </w:r>
            <w:r w:rsidR="00DC38B3">
              <w:rPr>
                <w:i/>
                <w:iCs/>
              </w:rPr>
              <w:t>I</w:t>
            </w:r>
            <w:r w:rsidR="002D62B5">
              <w:rPr>
                <w:i/>
                <w:iCs/>
              </w:rPr>
              <w:t xml:space="preserve">s </w:t>
            </w:r>
            <w:r w:rsidR="00DC38B3">
              <w:rPr>
                <w:i/>
                <w:iCs/>
              </w:rPr>
              <w:t xml:space="preserve">access to </w:t>
            </w:r>
            <w:r w:rsidR="002D62B5">
              <w:rPr>
                <w:i/>
                <w:iCs/>
              </w:rPr>
              <w:t>clean cooking</w:t>
            </w:r>
            <w:r w:rsidR="00DC38B3">
              <w:rPr>
                <w:i/>
                <w:iCs/>
              </w:rPr>
              <w:t xml:space="preserve"> a</w:t>
            </w:r>
            <w:r w:rsidR="002D62B5">
              <w:rPr>
                <w:i/>
                <w:iCs/>
              </w:rPr>
              <w:t xml:space="preserve"> top priority in </w:t>
            </w:r>
            <w:r w:rsidR="00DC38B3">
              <w:rPr>
                <w:i/>
                <w:iCs/>
              </w:rPr>
              <w:t>G</w:t>
            </w:r>
            <w:r w:rsidR="002D62B5">
              <w:rPr>
                <w:i/>
                <w:iCs/>
              </w:rPr>
              <w:t>hana?</w:t>
            </w:r>
          </w:p>
          <w:p w14:paraId="6915D832" w14:textId="317E6912" w:rsidR="002D62B5" w:rsidRDefault="007431BA" w:rsidP="0082060E">
            <w:pPr>
              <w:ind w:left="720"/>
              <w:jc w:val="both"/>
              <w:rPr>
                <w:i/>
                <w:iCs/>
              </w:rPr>
            </w:pPr>
            <w:r>
              <w:rPr>
                <w:b/>
                <w:bCs/>
                <w:i/>
                <w:iCs/>
              </w:rPr>
              <w:t>A from Doris</w:t>
            </w:r>
            <w:r>
              <w:rPr>
                <w:i/>
                <w:iCs/>
              </w:rPr>
              <w:t xml:space="preserve">: </w:t>
            </w:r>
            <w:r w:rsidR="00B7163D">
              <w:rPr>
                <w:i/>
                <w:iCs/>
              </w:rPr>
              <w:t>While Ghana’s t</w:t>
            </w:r>
            <w:r w:rsidR="002D62B5">
              <w:rPr>
                <w:i/>
                <w:iCs/>
              </w:rPr>
              <w:t xml:space="preserve">op-priority </w:t>
            </w:r>
            <w:r w:rsidR="00822F6B">
              <w:rPr>
                <w:i/>
                <w:iCs/>
              </w:rPr>
              <w:t>remains</w:t>
            </w:r>
            <w:r w:rsidR="002D62B5">
              <w:rPr>
                <w:i/>
                <w:iCs/>
              </w:rPr>
              <w:t xml:space="preserve"> energy access</w:t>
            </w:r>
            <w:r w:rsidR="005522F9">
              <w:rPr>
                <w:i/>
                <w:iCs/>
              </w:rPr>
              <w:t>,</w:t>
            </w:r>
            <w:r w:rsidR="002D62B5">
              <w:rPr>
                <w:i/>
                <w:iCs/>
              </w:rPr>
              <w:t xml:space="preserve"> clean cooking</w:t>
            </w:r>
            <w:r w:rsidR="005522F9">
              <w:rPr>
                <w:i/>
                <w:iCs/>
              </w:rPr>
              <w:t xml:space="preserve"> solutions are a priority in the energy sector as well. However, it is difficult to achieve as </w:t>
            </w:r>
            <w:r w:rsidR="0082060E">
              <w:rPr>
                <w:i/>
                <w:iCs/>
              </w:rPr>
              <w:t>even if once supplied with other solutions, as soon as they run out, people would fall into old habits.</w:t>
            </w:r>
          </w:p>
          <w:p w14:paraId="30E3FE33" w14:textId="382BC52A" w:rsidR="002D62B5" w:rsidRDefault="00053579" w:rsidP="00053579">
            <w:pPr>
              <w:ind w:left="720"/>
              <w:jc w:val="both"/>
              <w:rPr>
                <w:i/>
                <w:iCs/>
              </w:rPr>
            </w:pPr>
            <w:r w:rsidRPr="00053579">
              <w:rPr>
                <w:b/>
                <w:bCs/>
                <w:i/>
                <w:iCs/>
              </w:rPr>
              <w:t>As from Sheila and Leena</w:t>
            </w:r>
            <w:r>
              <w:rPr>
                <w:i/>
                <w:iCs/>
              </w:rPr>
              <w:t>: Clean</w:t>
            </w:r>
            <w:r w:rsidR="002D62B5">
              <w:rPr>
                <w:i/>
                <w:iCs/>
              </w:rPr>
              <w:t xml:space="preserve"> cooking should be priority and human right</w:t>
            </w:r>
            <w:r>
              <w:rPr>
                <w:i/>
                <w:iCs/>
              </w:rPr>
              <w:t xml:space="preserve">. </w:t>
            </w:r>
            <w:r w:rsidR="00E117B0">
              <w:rPr>
                <w:i/>
                <w:iCs/>
              </w:rPr>
              <w:t xml:space="preserve">It’s also a </w:t>
            </w:r>
            <w:r w:rsidR="00774E45">
              <w:rPr>
                <w:i/>
                <w:iCs/>
              </w:rPr>
              <w:t>question of prioritization</w:t>
            </w:r>
            <w:r w:rsidR="00E117B0">
              <w:rPr>
                <w:i/>
                <w:iCs/>
              </w:rPr>
              <w:t xml:space="preserve">, as rural areas which often lack </w:t>
            </w:r>
            <w:r w:rsidR="00432D62">
              <w:rPr>
                <w:i/>
                <w:iCs/>
              </w:rPr>
              <w:t>clean energy</w:t>
            </w:r>
            <w:r w:rsidR="00E117B0">
              <w:rPr>
                <w:i/>
                <w:iCs/>
              </w:rPr>
              <w:t xml:space="preserve"> solutions</w:t>
            </w:r>
            <w:r w:rsidR="00432D62">
              <w:rPr>
                <w:i/>
                <w:iCs/>
              </w:rPr>
              <w:t xml:space="preserve"> would use considerably less energy than their urban counterparts. Therefore, </w:t>
            </w:r>
            <w:r w:rsidR="003F7F98">
              <w:rPr>
                <w:i/>
                <w:iCs/>
              </w:rPr>
              <w:t xml:space="preserve">theoretically </w:t>
            </w:r>
            <w:r w:rsidR="00432D62">
              <w:rPr>
                <w:i/>
                <w:iCs/>
              </w:rPr>
              <w:t>i</w:t>
            </w:r>
            <w:r w:rsidR="003F7F98">
              <w:rPr>
                <w:i/>
                <w:iCs/>
              </w:rPr>
              <w:t>f</w:t>
            </w:r>
            <w:r w:rsidR="00432D62">
              <w:rPr>
                <w:i/>
                <w:iCs/>
              </w:rPr>
              <w:t xml:space="preserve"> urban </w:t>
            </w:r>
            <w:r w:rsidR="003F7F98">
              <w:rPr>
                <w:i/>
                <w:iCs/>
              </w:rPr>
              <w:t>areas would decrease consumption, more energy would be available for rural areas.</w:t>
            </w:r>
          </w:p>
          <w:p w14:paraId="644B0E26" w14:textId="77777777" w:rsidR="00415626" w:rsidRDefault="00415626" w:rsidP="003F24D9">
            <w:pPr>
              <w:jc w:val="both"/>
              <w:rPr>
                <w:i/>
                <w:iCs/>
              </w:rPr>
            </w:pPr>
          </w:p>
          <w:p w14:paraId="5BBC6E1F" w14:textId="77777777" w:rsidR="00923E41" w:rsidRDefault="00923E41" w:rsidP="003F24D9">
            <w:pPr>
              <w:jc w:val="both"/>
              <w:rPr>
                <w:i/>
                <w:iCs/>
              </w:rPr>
            </w:pPr>
          </w:p>
          <w:p w14:paraId="3F853715" w14:textId="77777777" w:rsidR="00923E41" w:rsidRDefault="00923E41" w:rsidP="003F24D9">
            <w:pPr>
              <w:jc w:val="both"/>
              <w:rPr>
                <w:i/>
                <w:iCs/>
              </w:rPr>
            </w:pPr>
          </w:p>
          <w:p w14:paraId="12B956BC" w14:textId="77777777" w:rsidR="00923E41" w:rsidRDefault="00923E41" w:rsidP="003F24D9">
            <w:pPr>
              <w:jc w:val="both"/>
              <w:rPr>
                <w:i/>
                <w:iCs/>
              </w:rPr>
            </w:pPr>
          </w:p>
          <w:p w14:paraId="7F78CB30" w14:textId="544796C3" w:rsidR="00774E45" w:rsidRDefault="00774E45" w:rsidP="002D62B5">
            <w:pPr>
              <w:ind w:left="720"/>
              <w:jc w:val="both"/>
              <w:rPr>
                <w:i/>
                <w:iCs/>
              </w:rPr>
            </w:pPr>
            <w:r w:rsidRPr="00EA35A5">
              <w:rPr>
                <w:b/>
                <w:bCs/>
                <w:i/>
                <w:iCs/>
              </w:rPr>
              <w:lastRenderedPageBreak/>
              <w:t>Q</w:t>
            </w:r>
            <w:r w:rsidR="00EA35A5">
              <w:rPr>
                <w:b/>
                <w:bCs/>
                <w:i/>
                <w:iCs/>
              </w:rPr>
              <w:t>s</w:t>
            </w:r>
            <w:r w:rsidRPr="00EA35A5">
              <w:rPr>
                <w:b/>
                <w:bCs/>
                <w:i/>
                <w:iCs/>
              </w:rPr>
              <w:t xml:space="preserve"> from </w:t>
            </w:r>
            <w:r w:rsidR="00EA35A5">
              <w:rPr>
                <w:b/>
                <w:bCs/>
                <w:i/>
                <w:iCs/>
              </w:rPr>
              <w:t>virtual participants</w:t>
            </w:r>
            <w:r>
              <w:rPr>
                <w:i/>
                <w:iCs/>
              </w:rPr>
              <w:t>:</w:t>
            </w:r>
          </w:p>
          <w:p w14:paraId="0E06D0BC" w14:textId="24AE32CA" w:rsidR="00774E45" w:rsidRPr="004061CD" w:rsidRDefault="00E82D35" w:rsidP="004061CD">
            <w:pPr>
              <w:pStyle w:val="ListParagraph"/>
              <w:numPr>
                <w:ilvl w:val="0"/>
                <w:numId w:val="5"/>
              </w:numPr>
              <w:jc w:val="both"/>
              <w:rPr>
                <w:i/>
                <w:iCs/>
              </w:rPr>
            </w:pPr>
            <w:r w:rsidRPr="004061CD">
              <w:rPr>
                <w:i/>
                <w:iCs/>
              </w:rPr>
              <w:t xml:space="preserve">Mexico as an example for </w:t>
            </w:r>
            <w:r w:rsidR="000510EA" w:rsidRPr="004061CD">
              <w:rPr>
                <w:i/>
                <w:iCs/>
              </w:rPr>
              <w:t>governmental policy and administrative changes stopping civil society projects</w:t>
            </w:r>
            <w:r w:rsidR="00415626" w:rsidRPr="004061CD">
              <w:rPr>
                <w:i/>
                <w:iCs/>
              </w:rPr>
              <w:t xml:space="preserve"> instead of accelerating improvements. What is your opinion about this? Is this an isolated case?</w:t>
            </w:r>
          </w:p>
          <w:p w14:paraId="11483233" w14:textId="3ED1DF42" w:rsidR="00774E45" w:rsidRPr="004061CD" w:rsidRDefault="00774E45" w:rsidP="004061CD">
            <w:pPr>
              <w:pStyle w:val="ListParagraph"/>
              <w:numPr>
                <w:ilvl w:val="0"/>
                <w:numId w:val="5"/>
              </w:numPr>
              <w:jc w:val="both"/>
              <w:rPr>
                <w:i/>
                <w:iCs/>
              </w:rPr>
            </w:pPr>
            <w:r w:rsidRPr="004061CD">
              <w:rPr>
                <w:i/>
                <w:iCs/>
              </w:rPr>
              <w:t xml:space="preserve">What </w:t>
            </w:r>
            <w:r w:rsidR="00A51FB0" w:rsidRPr="004061CD">
              <w:rPr>
                <w:i/>
                <w:iCs/>
              </w:rPr>
              <w:t>level of</w:t>
            </w:r>
            <w:r w:rsidRPr="004061CD">
              <w:rPr>
                <w:i/>
                <w:iCs/>
              </w:rPr>
              <w:t xml:space="preserve"> energy </w:t>
            </w:r>
            <w:r w:rsidR="00A51FB0" w:rsidRPr="004061CD">
              <w:rPr>
                <w:i/>
                <w:iCs/>
              </w:rPr>
              <w:t>access is considered acceptable</w:t>
            </w:r>
            <w:r w:rsidRPr="004061CD">
              <w:rPr>
                <w:i/>
                <w:iCs/>
              </w:rPr>
              <w:t>?</w:t>
            </w:r>
            <w:r w:rsidR="004061CD" w:rsidRPr="004061CD">
              <w:rPr>
                <w:i/>
                <w:iCs/>
              </w:rPr>
              <w:t xml:space="preserve"> What would you consider the modern energy minimum?</w:t>
            </w:r>
          </w:p>
          <w:p w14:paraId="4DE3F8E2" w14:textId="7EA6812E" w:rsidR="00774E45" w:rsidRPr="004061CD" w:rsidRDefault="00774E45" w:rsidP="004061CD">
            <w:pPr>
              <w:pStyle w:val="ListParagraph"/>
              <w:numPr>
                <w:ilvl w:val="0"/>
                <w:numId w:val="5"/>
              </w:numPr>
              <w:jc w:val="both"/>
              <w:rPr>
                <w:i/>
                <w:iCs/>
              </w:rPr>
            </w:pPr>
            <w:r w:rsidRPr="004061CD">
              <w:rPr>
                <w:i/>
                <w:iCs/>
              </w:rPr>
              <w:t xml:space="preserve">Only 20% </w:t>
            </w:r>
            <w:r w:rsidR="00127FC1">
              <w:rPr>
                <w:i/>
                <w:iCs/>
              </w:rPr>
              <w:t>of energy production is renewable. C</w:t>
            </w:r>
            <w:r w:rsidRPr="004061CD">
              <w:rPr>
                <w:i/>
                <w:iCs/>
              </w:rPr>
              <w:t>an renewable energy replace fossil fue</w:t>
            </w:r>
            <w:r w:rsidR="005F07CE">
              <w:rPr>
                <w:i/>
                <w:iCs/>
              </w:rPr>
              <w:t>ls</w:t>
            </w:r>
            <w:r w:rsidRPr="004061CD">
              <w:rPr>
                <w:i/>
                <w:iCs/>
              </w:rPr>
              <w:t>?</w:t>
            </w:r>
          </w:p>
          <w:p w14:paraId="628107FC" w14:textId="0B1C3068" w:rsidR="00774E45" w:rsidRDefault="00774E45" w:rsidP="002D62B5">
            <w:pPr>
              <w:ind w:left="720"/>
              <w:jc w:val="both"/>
              <w:rPr>
                <w:i/>
                <w:iCs/>
              </w:rPr>
            </w:pPr>
          </w:p>
          <w:p w14:paraId="5379C1CC" w14:textId="0DD9F1F3" w:rsidR="00774E45" w:rsidRDefault="005F07CE" w:rsidP="002D62B5">
            <w:pPr>
              <w:ind w:left="720"/>
              <w:jc w:val="both"/>
              <w:rPr>
                <w:i/>
                <w:iCs/>
              </w:rPr>
            </w:pPr>
            <w:r w:rsidRPr="005F07CE">
              <w:rPr>
                <w:b/>
                <w:bCs/>
                <w:i/>
                <w:iCs/>
              </w:rPr>
              <w:t>A from Leena</w:t>
            </w:r>
            <w:r>
              <w:rPr>
                <w:b/>
                <w:bCs/>
                <w:i/>
                <w:iCs/>
              </w:rPr>
              <w:t xml:space="preserve"> (Q</w:t>
            </w:r>
            <w:r w:rsidR="00E23847">
              <w:rPr>
                <w:b/>
                <w:bCs/>
                <w:i/>
                <w:iCs/>
              </w:rPr>
              <w:t>3)</w:t>
            </w:r>
            <w:r w:rsidR="00774E45">
              <w:rPr>
                <w:i/>
                <w:iCs/>
              </w:rPr>
              <w:t xml:space="preserve">: </w:t>
            </w:r>
            <w:r w:rsidR="00B959CD">
              <w:rPr>
                <w:i/>
                <w:iCs/>
              </w:rPr>
              <w:t>Th</w:t>
            </w:r>
            <w:r w:rsidR="00C323CE">
              <w:rPr>
                <w:i/>
                <w:iCs/>
              </w:rPr>
              <w:t xml:space="preserve">is </w:t>
            </w:r>
            <w:r w:rsidR="00774E45">
              <w:rPr>
                <w:i/>
                <w:iCs/>
              </w:rPr>
              <w:t xml:space="preserve">achievement only </w:t>
            </w:r>
            <w:r w:rsidR="00C323CE">
              <w:rPr>
                <w:i/>
                <w:iCs/>
              </w:rPr>
              <w:t xml:space="preserve">happened </w:t>
            </w:r>
            <w:r w:rsidR="00774E45">
              <w:rPr>
                <w:i/>
                <w:iCs/>
              </w:rPr>
              <w:t>in the last decade</w:t>
            </w:r>
            <w:r w:rsidR="00C323CE">
              <w:rPr>
                <w:i/>
                <w:iCs/>
              </w:rPr>
              <w:t xml:space="preserve"> or so.</w:t>
            </w:r>
            <w:r w:rsidR="00774E45">
              <w:rPr>
                <w:i/>
                <w:iCs/>
              </w:rPr>
              <w:t xml:space="preserve"> </w:t>
            </w:r>
            <w:r w:rsidR="00023452">
              <w:rPr>
                <w:i/>
                <w:iCs/>
              </w:rPr>
              <w:t>T</w:t>
            </w:r>
            <w:r w:rsidR="00774E45">
              <w:rPr>
                <w:i/>
                <w:iCs/>
              </w:rPr>
              <w:t>echnology</w:t>
            </w:r>
            <w:r w:rsidR="00023452">
              <w:rPr>
                <w:i/>
                <w:iCs/>
              </w:rPr>
              <w:t xml:space="preserve">, </w:t>
            </w:r>
            <w:r w:rsidR="00935512">
              <w:rPr>
                <w:i/>
                <w:iCs/>
              </w:rPr>
              <w:t>investment,</w:t>
            </w:r>
            <w:r w:rsidR="00774E45">
              <w:rPr>
                <w:i/>
                <w:iCs/>
              </w:rPr>
              <w:t xml:space="preserve"> and efficiency </w:t>
            </w:r>
            <w:r w:rsidR="00D86652">
              <w:rPr>
                <w:i/>
                <w:iCs/>
              </w:rPr>
              <w:t xml:space="preserve">of renewable energies </w:t>
            </w:r>
            <w:r w:rsidR="00023452">
              <w:rPr>
                <w:i/>
                <w:iCs/>
              </w:rPr>
              <w:t>are</w:t>
            </w:r>
            <w:r w:rsidR="00774E45">
              <w:rPr>
                <w:i/>
                <w:iCs/>
              </w:rPr>
              <w:t xml:space="preserve"> improving, </w:t>
            </w:r>
            <w:r w:rsidR="00935512">
              <w:rPr>
                <w:i/>
                <w:iCs/>
              </w:rPr>
              <w:t>so no need to be pessimistic about this.</w:t>
            </w:r>
          </w:p>
          <w:p w14:paraId="553A8420" w14:textId="4BC59B03" w:rsidR="00774E45" w:rsidRDefault="00D86652" w:rsidP="00142A7E">
            <w:pPr>
              <w:ind w:left="720"/>
              <w:jc w:val="both"/>
              <w:rPr>
                <w:i/>
                <w:iCs/>
              </w:rPr>
            </w:pPr>
            <w:r w:rsidRPr="00D86652">
              <w:rPr>
                <w:b/>
                <w:bCs/>
                <w:i/>
                <w:iCs/>
              </w:rPr>
              <w:t xml:space="preserve">A from </w:t>
            </w:r>
            <w:r w:rsidR="00774E45" w:rsidRPr="007400E4">
              <w:rPr>
                <w:b/>
                <w:bCs/>
                <w:i/>
                <w:iCs/>
              </w:rPr>
              <w:t>Minoru</w:t>
            </w:r>
            <w:r w:rsidRPr="007400E4">
              <w:rPr>
                <w:b/>
                <w:bCs/>
                <w:i/>
                <w:iCs/>
              </w:rPr>
              <w:t xml:space="preserve"> (Q3)</w:t>
            </w:r>
            <w:r w:rsidR="00774E45">
              <w:rPr>
                <w:i/>
                <w:iCs/>
              </w:rPr>
              <w:t xml:space="preserve">: </w:t>
            </w:r>
            <w:r w:rsidR="007400E4">
              <w:rPr>
                <w:i/>
                <w:iCs/>
              </w:rPr>
              <w:t xml:space="preserve">Agrees on not being pessimistic. </w:t>
            </w:r>
            <w:r w:rsidR="0088534D">
              <w:rPr>
                <w:i/>
                <w:iCs/>
              </w:rPr>
              <w:t xml:space="preserve">The financial investments in renewable energy would have to be </w:t>
            </w:r>
            <w:r w:rsidR="00774E45">
              <w:rPr>
                <w:i/>
                <w:iCs/>
              </w:rPr>
              <w:t>triple</w:t>
            </w:r>
            <w:r w:rsidR="0088534D">
              <w:rPr>
                <w:i/>
                <w:iCs/>
              </w:rPr>
              <w:t>d</w:t>
            </w:r>
            <w:r w:rsidR="00774E45">
              <w:rPr>
                <w:i/>
                <w:iCs/>
              </w:rPr>
              <w:t xml:space="preserve"> or quadruple</w:t>
            </w:r>
            <w:r w:rsidR="0088534D">
              <w:rPr>
                <w:i/>
                <w:iCs/>
              </w:rPr>
              <w:t xml:space="preserve">d, which </w:t>
            </w:r>
            <w:r w:rsidR="00142A7E">
              <w:rPr>
                <w:i/>
                <w:iCs/>
              </w:rPr>
              <w:t>is plausible. However, we should also focus on the question of equality when addressing this issue and investments.</w:t>
            </w:r>
          </w:p>
          <w:p w14:paraId="421583EB" w14:textId="7A3C2276" w:rsidR="00774E45" w:rsidRDefault="00D0710E" w:rsidP="00774E45">
            <w:pPr>
              <w:ind w:left="720"/>
              <w:jc w:val="both"/>
              <w:rPr>
                <w:i/>
                <w:iCs/>
              </w:rPr>
            </w:pPr>
            <w:r w:rsidRPr="00D0710E">
              <w:rPr>
                <w:b/>
                <w:bCs/>
                <w:i/>
                <w:iCs/>
              </w:rPr>
              <w:t xml:space="preserve">A from </w:t>
            </w:r>
            <w:r w:rsidR="00774E45" w:rsidRPr="00D0710E">
              <w:rPr>
                <w:b/>
                <w:bCs/>
                <w:i/>
                <w:iCs/>
              </w:rPr>
              <w:t>Dori</w:t>
            </w:r>
            <w:r>
              <w:rPr>
                <w:b/>
                <w:bCs/>
                <w:i/>
                <w:iCs/>
              </w:rPr>
              <w:t>s (Q3)</w:t>
            </w:r>
            <w:r w:rsidR="00774E45">
              <w:rPr>
                <w:i/>
                <w:iCs/>
              </w:rPr>
              <w:t xml:space="preserve">: </w:t>
            </w:r>
            <w:r w:rsidR="00021EB5">
              <w:rPr>
                <w:i/>
                <w:iCs/>
              </w:rPr>
              <w:t>W</w:t>
            </w:r>
            <w:r w:rsidR="00774E45">
              <w:rPr>
                <w:i/>
                <w:iCs/>
              </w:rPr>
              <w:t>e have to make a business case for renewables</w:t>
            </w:r>
            <w:r w:rsidR="00021EB5">
              <w:rPr>
                <w:i/>
                <w:iCs/>
              </w:rPr>
              <w:t>;</w:t>
            </w:r>
            <w:r w:rsidR="00774E45">
              <w:rPr>
                <w:i/>
                <w:iCs/>
              </w:rPr>
              <w:t xml:space="preserve"> oil has th</w:t>
            </w:r>
            <w:r w:rsidR="00021EB5">
              <w:rPr>
                <w:i/>
                <w:iCs/>
              </w:rPr>
              <w:t>ese</w:t>
            </w:r>
            <w:r w:rsidR="00774E45">
              <w:rPr>
                <w:i/>
                <w:iCs/>
              </w:rPr>
              <w:t xml:space="preserve"> business </w:t>
            </w:r>
            <w:r w:rsidR="00021EB5">
              <w:rPr>
                <w:i/>
                <w:iCs/>
              </w:rPr>
              <w:t xml:space="preserve">structures </w:t>
            </w:r>
            <w:r w:rsidR="00774E45">
              <w:rPr>
                <w:i/>
                <w:iCs/>
              </w:rPr>
              <w:t>already</w:t>
            </w:r>
            <w:r w:rsidR="00021EB5">
              <w:rPr>
                <w:i/>
                <w:iCs/>
              </w:rPr>
              <w:t>, but they can be implemented for renewables as well.</w:t>
            </w:r>
          </w:p>
          <w:p w14:paraId="0BA9F037" w14:textId="4055C0C8" w:rsidR="00505097" w:rsidRDefault="00391C79" w:rsidP="007A16C3">
            <w:pPr>
              <w:ind w:left="720"/>
              <w:jc w:val="both"/>
              <w:rPr>
                <w:i/>
                <w:iCs/>
              </w:rPr>
            </w:pPr>
            <w:r w:rsidRPr="00D0710E">
              <w:rPr>
                <w:b/>
                <w:bCs/>
                <w:i/>
                <w:iCs/>
              </w:rPr>
              <w:t>A from Dori</w:t>
            </w:r>
            <w:r>
              <w:rPr>
                <w:b/>
                <w:bCs/>
                <w:i/>
                <w:iCs/>
              </w:rPr>
              <w:t>s (Q</w:t>
            </w:r>
            <w:r>
              <w:rPr>
                <w:b/>
                <w:bCs/>
                <w:i/>
                <w:iCs/>
              </w:rPr>
              <w:t>1</w:t>
            </w:r>
            <w:r>
              <w:rPr>
                <w:b/>
                <w:bCs/>
                <w:i/>
                <w:iCs/>
              </w:rPr>
              <w:t>)</w:t>
            </w:r>
            <w:r>
              <w:rPr>
                <w:i/>
                <w:iCs/>
              </w:rPr>
              <w:t xml:space="preserve">: </w:t>
            </w:r>
            <w:r w:rsidR="00B96FA0">
              <w:rPr>
                <w:i/>
                <w:iCs/>
              </w:rPr>
              <w:t xml:space="preserve">This is happening in a lot of countries. However, the 2030 SDG Agenda has helped </w:t>
            </w:r>
            <w:r w:rsidR="007A16C3">
              <w:rPr>
                <w:i/>
                <w:iCs/>
              </w:rPr>
              <w:t>solving these problems. As countries n</w:t>
            </w:r>
            <w:r w:rsidR="00505097">
              <w:rPr>
                <w:i/>
                <w:iCs/>
              </w:rPr>
              <w:t xml:space="preserve">ow have to account for </w:t>
            </w:r>
            <w:r w:rsidR="007A16C3">
              <w:rPr>
                <w:i/>
                <w:iCs/>
              </w:rPr>
              <w:t>their SDG</w:t>
            </w:r>
            <w:r w:rsidR="00505097">
              <w:rPr>
                <w:i/>
                <w:iCs/>
              </w:rPr>
              <w:t xml:space="preserve"> progress</w:t>
            </w:r>
            <w:r w:rsidR="007A16C3">
              <w:rPr>
                <w:i/>
                <w:iCs/>
              </w:rPr>
              <w:t xml:space="preserve"> on an international level. Therefore, the</w:t>
            </w:r>
            <w:r w:rsidR="00505097">
              <w:rPr>
                <w:i/>
                <w:iCs/>
              </w:rPr>
              <w:t xml:space="preserve"> UN </w:t>
            </w:r>
            <w:r w:rsidR="007A16C3">
              <w:rPr>
                <w:i/>
                <w:iCs/>
              </w:rPr>
              <w:t>managed to “</w:t>
            </w:r>
            <w:r w:rsidR="00505097">
              <w:rPr>
                <w:i/>
                <w:iCs/>
              </w:rPr>
              <w:t>force</w:t>
            </w:r>
            <w:r w:rsidR="007A16C3">
              <w:rPr>
                <w:i/>
                <w:iCs/>
              </w:rPr>
              <w:t>”</w:t>
            </w:r>
            <w:r w:rsidR="00505097">
              <w:rPr>
                <w:i/>
                <w:iCs/>
              </w:rPr>
              <w:t xml:space="preserve"> </w:t>
            </w:r>
            <w:r w:rsidR="007A16C3">
              <w:rPr>
                <w:i/>
                <w:iCs/>
              </w:rPr>
              <w:t>governments</w:t>
            </w:r>
            <w:r w:rsidR="00505097">
              <w:rPr>
                <w:i/>
                <w:iCs/>
              </w:rPr>
              <w:t xml:space="preserve"> to be accountable</w:t>
            </w:r>
            <w:r w:rsidR="007A16C3">
              <w:rPr>
                <w:i/>
                <w:iCs/>
              </w:rPr>
              <w:t xml:space="preserve">, </w:t>
            </w:r>
            <w:r w:rsidR="00505097">
              <w:rPr>
                <w:i/>
                <w:iCs/>
              </w:rPr>
              <w:t>without actually forcing them to be accountable</w:t>
            </w:r>
            <w:r w:rsidR="007A16C3">
              <w:rPr>
                <w:i/>
                <w:iCs/>
              </w:rPr>
              <w:t>.</w:t>
            </w:r>
          </w:p>
          <w:p w14:paraId="1E138B36" w14:textId="6B531FF0" w:rsidR="00505097" w:rsidRDefault="007A16C3" w:rsidP="00774E45">
            <w:pPr>
              <w:ind w:left="720"/>
              <w:jc w:val="both"/>
              <w:rPr>
                <w:i/>
                <w:iCs/>
              </w:rPr>
            </w:pPr>
            <w:r w:rsidRPr="007A16C3">
              <w:rPr>
                <w:b/>
                <w:bCs/>
                <w:i/>
                <w:iCs/>
              </w:rPr>
              <w:t xml:space="preserve">A from </w:t>
            </w:r>
            <w:r w:rsidR="00505097" w:rsidRPr="007A16C3">
              <w:rPr>
                <w:b/>
                <w:bCs/>
                <w:i/>
                <w:iCs/>
              </w:rPr>
              <w:t>Sheila</w:t>
            </w:r>
            <w:r w:rsidRPr="007A16C3">
              <w:rPr>
                <w:b/>
                <w:bCs/>
                <w:i/>
                <w:iCs/>
              </w:rPr>
              <w:t xml:space="preserve"> (Q</w:t>
            </w:r>
            <w:r w:rsidR="009951C5">
              <w:rPr>
                <w:b/>
                <w:bCs/>
                <w:i/>
                <w:iCs/>
              </w:rPr>
              <w:t>2</w:t>
            </w:r>
            <w:r w:rsidRPr="007A16C3">
              <w:rPr>
                <w:b/>
                <w:bCs/>
                <w:i/>
                <w:iCs/>
              </w:rPr>
              <w:t>)</w:t>
            </w:r>
            <w:r w:rsidR="00505097">
              <w:rPr>
                <w:i/>
                <w:iCs/>
              </w:rPr>
              <w:t xml:space="preserve">: </w:t>
            </w:r>
            <w:r w:rsidR="007418DF">
              <w:rPr>
                <w:i/>
                <w:iCs/>
              </w:rPr>
              <w:t>The starting</w:t>
            </w:r>
            <w:r w:rsidR="00505097">
              <w:rPr>
                <w:i/>
                <w:iCs/>
              </w:rPr>
              <w:t xml:space="preserve"> point</w:t>
            </w:r>
            <w:r w:rsidR="007418DF">
              <w:rPr>
                <w:i/>
                <w:iCs/>
              </w:rPr>
              <w:t xml:space="preserve"> should be to look if the </w:t>
            </w:r>
            <w:r w:rsidR="00505097">
              <w:rPr>
                <w:i/>
                <w:iCs/>
              </w:rPr>
              <w:t xml:space="preserve">access </w:t>
            </w:r>
            <w:r w:rsidR="007418DF">
              <w:rPr>
                <w:i/>
                <w:iCs/>
              </w:rPr>
              <w:t xml:space="preserve">is </w:t>
            </w:r>
            <w:r w:rsidR="00505097">
              <w:rPr>
                <w:i/>
                <w:iCs/>
              </w:rPr>
              <w:t>providing the services needed</w:t>
            </w:r>
            <w:r w:rsidR="007418DF">
              <w:rPr>
                <w:i/>
                <w:iCs/>
              </w:rPr>
              <w:t xml:space="preserve"> and</w:t>
            </w:r>
            <w:r w:rsidR="00505097">
              <w:rPr>
                <w:i/>
                <w:iCs/>
              </w:rPr>
              <w:t xml:space="preserve"> the level </w:t>
            </w:r>
            <w:r w:rsidR="007418DF">
              <w:rPr>
                <w:i/>
                <w:iCs/>
              </w:rPr>
              <w:t>of energ</w:t>
            </w:r>
            <w:r w:rsidR="000E4157">
              <w:rPr>
                <w:i/>
                <w:iCs/>
              </w:rPr>
              <w:t xml:space="preserve">y that is needed </w:t>
            </w:r>
            <w:r w:rsidR="00505097">
              <w:rPr>
                <w:i/>
                <w:iCs/>
              </w:rPr>
              <w:t>to be productive</w:t>
            </w:r>
            <w:r w:rsidR="000E4157">
              <w:rPr>
                <w:i/>
                <w:iCs/>
              </w:rPr>
              <w:t>. Therefore, it should not only be a question of quantity, but rather</w:t>
            </w:r>
            <w:r w:rsidR="00A837B8">
              <w:rPr>
                <w:i/>
                <w:iCs/>
              </w:rPr>
              <w:t>,</w:t>
            </w:r>
            <w:r w:rsidR="000E4157">
              <w:rPr>
                <w:i/>
                <w:iCs/>
              </w:rPr>
              <w:t xml:space="preserve"> as </w:t>
            </w:r>
            <w:r w:rsidR="00A837B8">
              <w:rPr>
                <w:i/>
                <w:iCs/>
              </w:rPr>
              <w:t>already evoked</w:t>
            </w:r>
            <w:r w:rsidR="000E4157">
              <w:rPr>
                <w:i/>
                <w:iCs/>
              </w:rPr>
              <w:t xml:space="preserve"> earlier, </w:t>
            </w:r>
            <w:r w:rsidR="00A837B8">
              <w:rPr>
                <w:i/>
                <w:iCs/>
              </w:rPr>
              <w:t>of quality as well.</w:t>
            </w:r>
          </w:p>
          <w:p w14:paraId="50B63E4D" w14:textId="7A80EAC8" w:rsidR="00505097" w:rsidRDefault="00505097" w:rsidP="00774E45">
            <w:pPr>
              <w:ind w:left="720"/>
              <w:jc w:val="both"/>
              <w:rPr>
                <w:i/>
                <w:iCs/>
              </w:rPr>
            </w:pPr>
          </w:p>
          <w:p w14:paraId="44457317" w14:textId="77777777" w:rsidR="000C7CBD" w:rsidRDefault="009951C5" w:rsidP="000C7CBD">
            <w:pPr>
              <w:ind w:left="720"/>
              <w:jc w:val="both"/>
              <w:rPr>
                <w:i/>
                <w:iCs/>
              </w:rPr>
            </w:pPr>
            <w:r w:rsidRPr="009951C5">
              <w:rPr>
                <w:b/>
                <w:bCs/>
                <w:i/>
                <w:iCs/>
              </w:rPr>
              <w:t>Q</w:t>
            </w:r>
            <w:r w:rsidR="00B813EE">
              <w:rPr>
                <w:b/>
                <w:bCs/>
                <w:i/>
                <w:iCs/>
              </w:rPr>
              <w:t>5</w:t>
            </w:r>
            <w:r w:rsidRPr="009951C5">
              <w:rPr>
                <w:b/>
                <w:bCs/>
                <w:i/>
                <w:iCs/>
              </w:rPr>
              <w:t xml:space="preserve"> from the in-person audience</w:t>
            </w:r>
            <w:r w:rsidR="00505097">
              <w:rPr>
                <w:i/>
                <w:iCs/>
              </w:rPr>
              <w:t xml:space="preserve">: </w:t>
            </w:r>
            <w:r>
              <w:rPr>
                <w:i/>
                <w:iCs/>
              </w:rPr>
              <w:t>The c</w:t>
            </w:r>
            <w:r w:rsidR="00505097">
              <w:rPr>
                <w:i/>
                <w:iCs/>
              </w:rPr>
              <w:t>lean cooking agenda</w:t>
            </w:r>
            <w:r w:rsidR="00363310">
              <w:rPr>
                <w:i/>
                <w:iCs/>
              </w:rPr>
              <w:t xml:space="preserve"> is</w:t>
            </w:r>
            <w:r w:rsidR="00505097">
              <w:rPr>
                <w:i/>
                <w:iCs/>
              </w:rPr>
              <w:t xml:space="preserve"> important f</w:t>
            </w:r>
            <w:r>
              <w:rPr>
                <w:i/>
                <w:iCs/>
              </w:rPr>
              <w:t>ro</w:t>
            </w:r>
            <w:r w:rsidR="00505097">
              <w:rPr>
                <w:i/>
                <w:iCs/>
              </w:rPr>
              <w:t>m the deforestation perspective as well</w:t>
            </w:r>
            <w:r w:rsidR="00B813EE">
              <w:rPr>
                <w:i/>
                <w:iCs/>
              </w:rPr>
              <w:t>,</w:t>
            </w:r>
            <w:r w:rsidR="00505097">
              <w:rPr>
                <w:i/>
                <w:iCs/>
              </w:rPr>
              <w:t xml:space="preserve"> </w:t>
            </w:r>
            <w:r w:rsidR="00363310">
              <w:rPr>
                <w:i/>
                <w:iCs/>
              </w:rPr>
              <w:t xml:space="preserve">as </w:t>
            </w:r>
            <w:r w:rsidR="00505097">
              <w:rPr>
                <w:i/>
                <w:iCs/>
              </w:rPr>
              <w:t>better</w:t>
            </w:r>
            <w:r w:rsidR="0014017F">
              <w:rPr>
                <w:i/>
                <w:iCs/>
              </w:rPr>
              <w:t xml:space="preserve"> (transitional)</w:t>
            </w:r>
            <w:r w:rsidR="00505097">
              <w:rPr>
                <w:i/>
                <w:iCs/>
              </w:rPr>
              <w:t xml:space="preserve"> cooking technologies</w:t>
            </w:r>
            <w:r w:rsidR="00363310">
              <w:rPr>
                <w:i/>
                <w:iCs/>
              </w:rPr>
              <w:t xml:space="preserve"> are healthier, </w:t>
            </w:r>
            <w:r w:rsidR="0014017F">
              <w:rPr>
                <w:i/>
                <w:iCs/>
              </w:rPr>
              <w:t>and</w:t>
            </w:r>
            <w:r w:rsidR="00363310">
              <w:rPr>
                <w:i/>
                <w:iCs/>
              </w:rPr>
              <w:t xml:space="preserve"> </w:t>
            </w:r>
            <w:r w:rsidR="00505097">
              <w:rPr>
                <w:i/>
                <w:iCs/>
              </w:rPr>
              <w:t>more sustainable</w:t>
            </w:r>
            <w:r w:rsidR="00363310">
              <w:rPr>
                <w:i/>
                <w:iCs/>
              </w:rPr>
              <w:t xml:space="preserve"> combat</w:t>
            </w:r>
            <w:r w:rsidR="0014017F">
              <w:rPr>
                <w:i/>
                <w:iCs/>
              </w:rPr>
              <w:t>ing</w:t>
            </w:r>
            <w:r w:rsidR="00363310">
              <w:rPr>
                <w:i/>
                <w:iCs/>
              </w:rPr>
              <w:t xml:space="preserve"> deforestation and desertification.</w:t>
            </w:r>
            <w:r w:rsidR="0014017F">
              <w:rPr>
                <w:i/>
                <w:iCs/>
              </w:rPr>
              <w:t xml:space="preserve"> </w:t>
            </w:r>
            <w:r w:rsidR="00685F0C">
              <w:rPr>
                <w:i/>
                <w:iCs/>
              </w:rPr>
              <w:t>How much are gov</w:t>
            </w:r>
            <w:r w:rsidR="0014017F">
              <w:rPr>
                <w:i/>
                <w:iCs/>
              </w:rPr>
              <w:t xml:space="preserve">ernments </w:t>
            </w:r>
            <w:r w:rsidR="00685F0C">
              <w:rPr>
                <w:i/>
                <w:iCs/>
              </w:rPr>
              <w:t>willing to invest in transitional solutions?</w:t>
            </w:r>
          </w:p>
          <w:p w14:paraId="1F3A01AF" w14:textId="0F5F4C14" w:rsidR="00685F0C" w:rsidRDefault="00685F0C" w:rsidP="00685F0C">
            <w:pPr>
              <w:ind w:left="720"/>
              <w:jc w:val="both"/>
              <w:rPr>
                <w:i/>
                <w:iCs/>
              </w:rPr>
            </w:pPr>
          </w:p>
          <w:p w14:paraId="76484924" w14:textId="51A964AD" w:rsidR="00685F0C" w:rsidRDefault="006D37D7" w:rsidP="00E96000">
            <w:pPr>
              <w:ind w:left="720"/>
              <w:jc w:val="both"/>
              <w:rPr>
                <w:i/>
                <w:iCs/>
              </w:rPr>
            </w:pPr>
            <w:r w:rsidRPr="006D37D7">
              <w:rPr>
                <w:b/>
                <w:bCs/>
                <w:i/>
                <w:iCs/>
              </w:rPr>
              <w:t xml:space="preserve">A from </w:t>
            </w:r>
            <w:r w:rsidR="00685F0C" w:rsidRPr="006D37D7">
              <w:rPr>
                <w:b/>
                <w:bCs/>
                <w:i/>
                <w:iCs/>
              </w:rPr>
              <w:t>Radia</w:t>
            </w:r>
            <w:r w:rsidR="00C6277E">
              <w:rPr>
                <w:b/>
                <w:bCs/>
                <w:i/>
                <w:iCs/>
              </w:rPr>
              <w:t xml:space="preserve"> (Q</w:t>
            </w:r>
            <w:r w:rsidR="00E96000">
              <w:rPr>
                <w:b/>
                <w:bCs/>
                <w:i/>
                <w:iCs/>
              </w:rPr>
              <w:t>2)</w:t>
            </w:r>
            <w:r w:rsidR="00685F0C">
              <w:rPr>
                <w:i/>
                <w:iCs/>
              </w:rPr>
              <w:t xml:space="preserve">: </w:t>
            </w:r>
            <w:r w:rsidR="004F2EA4">
              <w:rPr>
                <w:i/>
                <w:iCs/>
              </w:rPr>
              <w:t>It’s a t</w:t>
            </w:r>
            <w:r w:rsidR="00685F0C">
              <w:rPr>
                <w:i/>
                <w:iCs/>
              </w:rPr>
              <w:t>echnical question</w:t>
            </w:r>
            <w:r w:rsidR="004F2EA4">
              <w:rPr>
                <w:i/>
                <w:iCs/>
              </w:rPr>
              <w:t>, but through an</w:t>
            </w:r>
            <w:r w:rsidR="00685F0C">
              <w:rPr>
                <w:i/>
                <w:iCs/>
              </w:rPr>
              <w:t xml:space="preserve"> integrated approach</w:t>
            </w:r>
            <w:r w:rsidR="004F2EA4">
              <w:rPr>
                <w:i/>
                <w:iCs/>
              </w:rPr>
              <w:t xml:space="preserve"> including</w:t>
            </w:r>
            <w:r w:rsidR="00685F0C">
              <w:rPr>
                <w:i/>
                <w:iCs/>
              </w:rPr>
              <w:t xml:space="preserve"> social</w:t>
            </w:r>
            <w:r w:rsidR="004F2EA4">
              <w:rPr>
                <w:i/>
                <w:iCs/>
              </w:rPr>
              <w:t xml:space="preserve">, educational, </w:t>
            </w:r>
            <w:r w:rsidR="00685F0C">
              <w:rPr>
                <w:i/>
                <w:iCs/>
              </w:rPr>
              <w:t xml:space="preserve">health and environmental </w:t>
            </w:r>
            <w:r w:rsidR="008C27E9">
              <w:rPr>
                <w:i/>
                <w:iCs/>
              </w:rPr>
              <w:t>aspects</w:t>
            </w:r>
            <w:r w:rsidR="00685F0C">
              <w:rPr>
                <w:i/>
                <w:iCs/>
              </w:rPr>
              <w:t xml:space="preserve"> </w:t>
            </w:r>
            <w:r w:rsidR="008C27E9">
              <w:rPr>
                <w:i/>
                <w:iCs/>
              </w:rPr>
              <w:t>this is achievable.</w:t>
            </w:r>
          </w:p>
          <w:p w14:paraId="5EBB45DE" w14:textId="3D000022" w:rsidR="00685F0C" w:rsidRDefault="006D37D7" w:rsidP="00685F0C">
            <w:pPr>
              <w:ind w:left="720"/>
              <w:jc w:val="both"/>
              <w:rPr>
                <w:i/>
                <w:iCs/>
              </w:rPr>
            </w:pPr>
            <w:r w:rsidRPr="006D37D7">
              <w:rPr>
                <w:b/>
                <w:bCs/>
                <w:i/>
                <w:iCs/>
              </w:rPr>
              <w:t>A from Leena</w:t>
            </w:r>
            <w:r w:rsidR="00DA7180">
              <w:rPr>
                <w:b/>
                <w:bCs/>
                <w:i/>
                <w:iCs/>
              </w:rPr>
              <w:t>(Q5)</w:t>
            </w:r>
            <w:r w:rsidR="00685F0C">
              <w:rPr>
                <w:i/>
                <w:iCs/>
              </w:rPr>
              <w:t xml:space="preserve">: </w:t>
            </w:r>
            <w:r w:rsidR="00200F41">
              <w:rPr>
                <w:i/>
                <w:iCs/>
              </w:rPr>
              <w:t>W</w:t>
            </w:r>
            <w:r w:rsidR="00685F0C">
              <w:rPr>
                <w:i/>
                <w:iCs/>
              </w:rPr>
              <w:t>hy should they not have state</w:t>
            </w:r>
            <w:r w:rsidR="00200F41">
              <w:rPr>
                <w:i/>
                <w:iCs/>
              </w:rPr>
              <w:t>-of-the-</w:t>
            </w:r>
            <w:r w:rsidR="00685F0C">
              <w:rPr>
                <w:i/>
                <w:iCs/>
              </w:rPr>
              <w:t>art technologies, who is deciding</w:t>
            </w:r>
            <w:r w:rsidR="00200F41">
              <w:rPr>
                <w:i/>
                <w:iCs/>
              </w:rPr>
              <w:t xml:space="preserve"> that</w:t>
            </w:r>
            <w:r w:rsidR="00685F0C">
              <w:rPr>
                <w:i/>
                <w:iCs/>
              </w:rPr>
              <w:t xml:space="preserve">? </w:t>
            </w:r>
            <w:r w:rsidR="006A04A9">
              <w:rPr>
                <w:i/>
                <w:iCs/>
              </w:rPr>
              <w:t>Should</w:t>
            </w:r>
            <w:r w:rsidR="00200F41">
              <w:rPr>
                <w:i/>
                <w:iCs/>
              </w:rPr>
              <w:t xml:space="preserve"> s</w:t>
            </w:r>
            <w:r w:rsidR="00685F0C">
              <w:rPr>
                <w:i/>
                <w:iCs/>
              </w:rPr>
              <w:t>uppliers or consumers</w:t>
            </w:r>
            <w:r w:rsidR="006A04A9">
              <w:rPr>
                <w:i/>
                <w:iCs/>
              </w:rPr>
              <w:t xml:space="preserve"> drive the transitions and in which direction</w:t>
            </w:r>
            <w:r w:rsidR="00685F0C">
              <w:rPr>
                <w:i/>
                <w:iCs/>
              </w:rPr>
              <w:t xml:space="preserve">? </w:t>
            </w:r>
            <w:r w:rsidR="00DA7180">
              <w:rPr>
                <w:i/>
                <w:iCs/>
              </w:rPr>
              <w:t>Those are some of the questions that need to be asked when implementing j</w:t>
            </w:r>
            <w:r w:rsidR="00685F0C">
              <w:rPr>
                <w:i/>
                <w:iCs/>
              </w:rPr>
              <w:t>ust and fair transition</w:t>
            </w:r>
            <w:r w:rsidR="00DA7180">
              <w:rPr>
                <w:i/>
                <w:iCs/>
              </w:rPr>
              <w:t>s.</w:t>
            </w:r>
          </w:p>
          <w:p w14:paraId="0F7CE802" w14:textId="03A67CAD" w:rsidR="00685F0C" w:rsidRDefault="00DA7180" w:rsidP="00685F0C">
            <w:pPr>
              <w:ind w:left="720"/>
              <w:jc w:val="both"/>
              <w:rPr>
                <w:i/>
                <w:iCs/>
              </w:rPr>
            </w:pPr>
            <w:r w:rsidRPr="00DA7180">
              <w:rPr>
                <w:b/>
                <w:bCs/>
                <w:i/>
                <w:iCs/>
              </w:rPr>
              <w:t>A from Leena (Q2)</w:t>
            </w:r>
            <w:r>
              <w:rPr>
                <w:i/>
                <w:iCs/>
              </w:rPr>
              <w:t xml:space="preserve">: </w:t>
            </w:r>
            <w:r w:rsidR="00AE655F">
              <w:rPr>
                <w:i/>
                <w:iCs/>
              </w:rPr>
              <w:t>We should not talk just about the</w:t>
            </w:r>
            <w:r w:rsidR="00685F0C">
              <w:rPr>
                <w:i/>
                <w:iCs/>
              </w:rPr>
              <w:t xml:space="preserve"> number</w:t>
            </w:r>
            <w:r w:rsidR="00AE655F">
              <w:rPr>
                <w:i/>
                <w:iCs/>
              </w:rPr>
              <w:t>s anymore</w:t>
            </w:r>
            <w:r w:rsidR="00685F0C">
              <w:rPr>
                <w:i/>
                <w:iCs/>
              </w:rPr>
              <w:t>,</w:t>
            </w:r>
            <w:r w:rsidR="00AE655F">
              <w:rPr>
                <w:i/>
                <w:iCs/>
              </w:rPr>
              <w:t xml:space="preserve"> but rather focus on </w:t>
            </w:r>
            <w:r w:rsidR="00685F0C">
              <w:rPr>
                <w:i/>
                <w:iCs/>
              </w:rPr>
              <w:t>satisfy</w:t>
            </w:r>
            <w:r w:rsidR="00930B4A">
              <w:rPr>
                <w:i/>
                <w:iCs/>
              </w:rPr>
              <w:t>ing the</w:t>
            </w:r>
            <w:r w:rsidR="00685F0C">
              <w:rPr>
                <w:i/>
                <w:iCs/>
              </w:rPr>
              <w:t xml:space="preserve"> needs</w:t>
            </w:r>
            <w:r w:rsidR="00930B4A">
              <w:rPr>
                <w:i/>
                <w:iCs/>
              </w:rPr>
              <w:t xml:space="preserve"> of energy supply.</w:t>
            </w:r>
            <w:r w:rsidR="0097239E">
              <w:rPr>
                <w:i/>
                <w:iCs/>
              </w:rPr>
              <w:t xml:space="preserve"> </w:t>
            </w:r>
            <w:r w:rsidR="00930B4A">
              <w:rPr>
                <w:i/>
                <w:iCs/>
              </w:rPr>
              <w:t>Through government policies</w:t>
            </w:r>
            <w:r w:rsidR="0097239E">
              <w:rPr>
                <w:i/>
                <w:iCs/>
              </w:rPr>
              <w:t xml:space="preserve"> good markets </w:t>
            </w:r>
            <w:r w:rsidR="00930B4A">
              <w:rPr>
                <w:i/>
                <w:iCs/>
              </w:rPr>
              <w:t>can be</w:t>
            </w:r>
            <w:r w:rsidR="0097239E">
              <w:rPr>
                <w:i/>
                <w:iCs/>
              </w:rPr>
              <w:t xml:space="preserve"> develop</w:t>
            </w:r>
            <w:r w:rsidR="00930B4A">
              <w:rPr>
                <w:i/>
                <w:iCs/>
              </w:rPr>
              <w:t>ed.</w:t>
            </w:r>
          </w:p>
          <w:p w14:paraId="1500887C" w14:textId="6F22C1D0" w:rsidR="0097239E" w:rsidRDefault="004F3784" w:rsidP="00685F0C">
            <w:pPr>
              <w:ind w:left="720"/>
              <w:jc w:val="both"/>
              <w:rPr>
                <w:i/>
                <w:iCs/>
              </w:rPr>
            </w:pPr>
            <w:r w:rsidRPr="004F3784">
              <w:rPr>
                <w:b/>
                <w:bCs/>
                <w:i/>
                <w:iCs/>
              </w:rPr>
              <w:t xml:space="preserve">A from </w:t>
            </w:r>
            <w:r w:rsidR="0097239E" w:rsidRPr="004F3784">
              <w:rPr>
                <w:b/>
                <w:bCs/>
                <w:i/>
                <w:iCs/>
              </w:rPr>
              <w:t>Doris</w:t>
            </w:r>
            <w:r w:rsidRPr="004F3784">
              <w:rPr>
                <w:b/>
                <w:bCs/>
                <w:i/>
                <w:iCs/>
              </w:rPr>
              <w:t xml:space="preserve"> (Q5)</w:t>
            </w:r>
            <w:r w:rsidR="0097239E">
              <w:rPr>
                <w:i/>
                <w:iCs/>
              </w:rPr>
              <w:t xml:space="preserve">: </w:t>
            </w:r>
            <w:r w:rsidR="0001711F">
              <w:rPr>
                <w:i/>
                <w:iCs/>
              </w:rPr>
              <w:t>C</w:t>
            </w:r>
            <w:r w:rsidR="0097239E">
              <w:rPr>
                <w:i/>
                <w:iCs/>
              </w:rPr>
              <w:t>lean cooking stoves</w:t>
            </w:r>
            <w:r w:rsidR="00F373D7">
              <w:rPr>
                <w:i/>
                <w:iCs/>
              </w:rPr>
              <w:t xml:space="preserve"> in Africa</w:t>
            </w:r>
            <w:r w:rsidR="008A28A6">
              <w:rPr>
                <w:i/>
                <w:iCs/>
              </w:rPr>
              <w:t xml:space="preserve"> as a solution to cleaner cooking solutions. However, there </w:t>
            </w:r>
            <w:r w:rsidR="00744897">
              <w:rPr>
                <w:i/>
                <w:iCs/>
              </w:rPr>
              <w:t>this also poses a</w:t>
            </w:r>
            <w:r w:rsidR="008A28A6">
              <w:rPr>
                <w:i/>
                <w:iCs/>
              </w:rPr>
              <w:t xml:space="preserve"> problem as the term is used </w:t>
            </w:r>
            <w:r w:rsidR="001B7261">
              <w:rPr>
                <w:i/>
                <w:iCs/>
              </w:rPr>
              <w:t>as well in</w:t>
            </w:r>
            <w:r w:rsidR="008A28A6">
              <w:rPr>
                <w:i/>
                <w:iCs/>
              </w:rPr>
              <w:t xml:space="preserve"> marketing</w:t>
            </w:r>
            <w:r w:rsidR="00F373D7">
              <w:rPr>
                <w:i/>
                <w:iCs/>
              </w:rPr>
              <w:t xml:space="preserve"> </w:t>
            </w:r>
            <w:r w:rsidR="001B7261">
              <w:rPr>
                <w:i/>
                <w:iCs/>
              </w:rPr>
              <w:t>to promote environmentally bad cooking stoves.</w:t>
            </w:r>
            <w:r w:rsidR="00744897">
              <w:rPr>
                <w:i/>
                <w:iCs/>
              </w:rPr>
              <w:t xml:space="preserve"> We should focus on the</w:t>
            </w:r>
            <w:r w:rsidR="0097239E">
              <w:rPr>
                <w:i/>
                <w:iCs/>
              </w:rPr>
              <w:t xml:space="preserve"> bigger context</w:t>
            </w:r>
            <w:r w:rsidR="00146F5D">
              <w:rPr>
                <w:i/>
                <w:iCs/>
              </w:rPr>
              <w:t xml:space="preserve">, </w:t>
            </w:r>
            <w:r w:rsidR="0097239E">
              <w:rPr>
                <w:i/>
                <w:iCs/>
              </w:rPr>
              <w:t>set goals</w:t>
            </w:r>
            <w:r w:rsidR="0016716E">
              <w:rPr>
                <w:i/>
                <w:iCs/>
              </w:rPr>
              <w:t>,</w:t>
            </w:r>
            <w:r w:rsidR="00146F5D">
              <w:rPr>
                <w:i/>
                <w:iCs/>
              </w:rPr>
              <w:t xml:space="preserve"> and</w:t>
            </w:r>
            <w:r w:rsidR="0097239E">
              <w:rPr>
                <w:i/>
                <w:iCs/>
              </w:rPr>
              <w:t xml:space="preserve"> contextualize the timelines</w:t>
            </w:r>
            <w:r w:rsidR="00146F5D">
              <w:rPr>
                <w:i/>
                <w:iCs/>
              </w:rPr>
              <w:t xml:space="preserve"> on a</w:t>
            </w:r>
            <w:r w:rsidR="0097239E">
              <w:rPr>
                <w:i/>
                <w:iCs/>
              </w:rPr>
              <w:t xml:space="preserve"> country specific</w:t>
            </w:r>
            <w:r w:rsidR="00146F5D">
              <w:rPr>
                <w:i/>
                <w:iCs/>
              </w:rPr>
              <w:t xml:space="preserve"> basis.</w:t>
            </w:r>
          </w:p>
          <w:p w14:paraId="10CF7E2C" w14:textId="2121BABC" w:rsidR="00F65F74" w:rsidRPr="05C04687" w:rsidRDefault="00F65F74" w:rsidP="0016716E">
            <w:pPr>
              <w:ind w:left="720"/>
              <w:jc w:val="both"/>
              <w:rPr>
                <w:rFonts w:ascii="Segoe UI" w:eastAsia="Segoe UI" w:hAnsi="Segoe UI" w:cs="Segoe UI"/>
                <w:b/>
                <w:bCs/>
              </w:rPr>
            </w:pPr>
          </w:p>
        </w:tc>
      </w:tr>
      <w:tr w:rsidR="008C3B4D" w14:paraId="5DEB167A" w14:textId="77777777" w:rsidTr="008C3B4D">
        <w:trPr>
          <w:trHeight w:val="241"/>
        </w:trPr>
        <w:tc>
          <w:tcPr>
            <w:tcW w:w="8989" w:type="dxa"/>
          </w:tcPr>
          <w:p w14:paraId="2FA4BCC8" w14:textId="43228489" w:rsidR="008C3B4D" w:rsidRPr="008C3B4D" w:rsidRDefault="008C3B4D" w:rsidP="008C3B4D">
            <w:pPr>
              <w:jc w:val="both"/>
              <w:rPr>
                <w:rFonts w:ascii="Segoe UI" w:hAnsi="Segoe UI" w:cs="Segoe UI"/>
                <w:b/>
                <w:bCs/>
              </w:rPr>
            </w:pPr>
            <w:r w:rsidRPr="008C3B4D">
              <w:rPr>
                <w:rFonts w:ascii="Segoe UI" w:hAnsi="Segoe UI" w:cs="Segoe UI"/>
                <w:b/>
                <w:bCs/>
              </w:rPr>
              <w:lastRenderedPageBreak/>
              <w:t>Closing Remarks</w:t>
            </w:r>
          </w:p>
        </w:tc>
      </w:tr>
      <w:tr w:rsidR="008C3B4D" w14:paraId="27CB0AD4" w14:textId="77777777" w:rsidTr="008B0B0F">
        <w:trPr>
          <w:trHeight w:val="1412"/>
        </w:trPr>
        <w:tc>
          <w:tcPr>
            <w:tcW w:w="8989" w:type="dxa"/>
          </w:tcPr>
          <w:p w14:paraId="4A6D05AE" w14:textId="77777777" w:rsidR="008C3B4D" w:rsidRDefault="008C3B4D" w:rsidP="0081687F">
            <w:pPr>
              <w:ind w:left="720"/>
              <w:jc w:val="both"/>
              <w:rPr>
                <w:i/>
                <w:iCs/>
              </w:rPr>
            </w:pPr>
          </w:p>
          <w:p w14:paraId="6DF7F1A0" w14:textId="6186B7E2" w:rsidR="0016716E" w:rsidRDefault="0065591D" w:rsidP="0016716E">
            <w:pPr>
              <w:ind w:left="720"/>
              <w:jc w:val="both"/>
              <w:rPr>
                <w:i/>
                <w:iCs/>
              </w:rPr>
            </w:pPr>
            <w:r>
              <w:rPr>
                <w:b/>
                <w:bCs/>
                <w:i/>
                <w:iCs/>
              </w:rPr>
              <w:t xml:space="preserve">Mr. </w:t>
            </w:r>
            <w:r w:rsidR="0016716E" w:rsidRPr="0065591D">
              <w:rPr>
                <w:b/>
                <w:bCs/>
                <w:i/>
                <w:iCs/>
              </w:rPr>
              <w:t>Minoru</w:t>
            </w:r>
            <w:r>
              <w:rPr>
                <w:b/>
                <w:bCs/>
                <w:i/>
                <w:iCs/>
              </w:rPr>
              <w:t xml:space="preserve"> Takada</w:t>
            </w:r>
            <w:r w:rsidR="00DE3F9C">
              <w:rPr>
                <w:i/>
                <w:iCs/>
              </w:rPr>
              <w:t xml:space="preserve"> stressed that t</w:t>
            </w:r>
            <w:r w:rsidR="00875E97">
              <w:rPr>
                <w:i/>
                <w:iCs/>
              </w:rPr>
              <w:t xml:space="preserve">he message should be to </w:t>
            </w:r>
            <w:r w:rsidR="0016716E">
              <w:rPr>
                <w:i/>
                <w:iCs/>
              </w:rPr>
              <w:t>remain hopeful and determined that long</w:t>
            </w:r>
            <w:r w:rsidR="00875E97">
              <w:rPr>
                <w:i/>
                <w:iCs/>
              </w:rPr>
              <w:t xml:space="preserve"> </w:t>
            </w:r>
            <w:r w:rsidR="0016716E">
              <w:rPr>
                <w:i/>
                <w:iCs/>
              </w:rPr>
              <w:t xml:space="preserve">term transition </w:t>
            </w:r>
            <w:r w:rsidR="00875E97">
              <w:rPr>
                <w:i/>
                <w:iCs/>
              </w:rPr>
              <w:t xml:space="preserve">is possible. However, </w:t>
            </w:r>
            <w:r w:rsidR="002F2A97">
              <w:rPr>
                <w:i/>
                <w:iCs/>
              </w:rPr>
              <w:t xml:space="preserve">he concluded that </w:t>
            </w:r>
            <w:r w:rsidR="00875E97">
              <w:rPr>
                <w:i/>
                <w:iCs/>
              </w:rPr>
              <w:t xml:space="preserve">we </w:t>
            </w:r>
            <w:r w:rsidR="002F2A97">
              <w:rPr>
                <w:i/>
                <w:iCs/>
              </w:rPr>
              <w:t>would</w:t>
            </w:r>
            <w:r w:rsidR="00875E97">
              <w:rPr>
                <w:i/>
                <w:iCs/>
              </w:rPr>
              <w:t xml:space="preserve"> </w:t>
            </w:r>
            <w:r w:rsidR="002F2A97">
              <w:rPr>
                <w:i/>
                <w:iCs/>
              </w:rPr>
              <w:t xml:space="preserve">continue to </w:t>
            </w:r>
            <w:r w:rsidR="00875E97">
              <w:rPr>
                <w:i/>
                <w:iCs/>
              </w:rPr>
              <w:t xml:space="preserve">encounter </w:t>
            </w:r>
            <w:r w:rsidR="0016716E">
              <w:rPr>
                <w:i/>
                <w:iCs/>
              </w:rPr>
              <w:t>smaller hick-ups on the way</w:t>
            </w:r>
            <w:r>
              <w:rPr>
                <w:i/>
                <w:iCs/>
              </w:rPr>
              <w:t>, which must be addressed and managed. There is</w:t>
            </w:r>
            <w:r w:rsidR="0016716E">
              <w:rPr>
                <w:i/>
                <w:iCs/>
              </w:rPr>
              <w:t xml:space="preserve"> no straight pathway!</w:t>
            </w:r>
          </w:p>
          <w:p w14:paraId="41B8EA0E" w14:textId="77777777" w:rsidR="0016716E" w:rsidRDefault="0016716E" w:rsidP="0081687F">
            <w:pPr>
              <w:ind w:left="720"/>
              <w:jc w:val="both"/>
              <w:rPr>
                <w:i/>
                <w:iCs/>
              </w:rPr>
            </w:pPr>
          </w:p>
          <w:p w14:paraId="537FCBB0" w14:textId="638767AE" w:rsidR="008C3B4D" w:rsidRDefault="006B6FC4" w:rsidP="008C3B4D">
            <w:pPr>
              <w:ind w:left="720"/>
              <w:jc w:val="both"/>
              <w:rPr>
                <w:i/>
                <w:iCs/>
              </w:rPr>
            </w:pPr>
            <w:r>
              <w:rPr>
                <w:b/>
                <w:bCs/>
                <w:i/>
                <w:iCs/>
              </w:rPr>
              <w:t>Ms. Sheila Oparaocha</w:t>
            </w:r>
            <w:r w:rsidR="004F2876">
              <w:rPr>
                <w:i/>
                <w:iCs/>
              </w:rPr>
              <w:t xml:space="preserve"> highlighted, that crises</w:t>
            </w:r>
            <w:r w:rsidR="008C3B4D">
              <w:rPr>
                <w:i/>
                <w:iCs/>
              </w:rPr>
              <w:t xml:space="preserve"> </w:t>
            </w:r>
            <w:r>
              <w:rPr>
                <w:i/>
                <w:iCs/>
              </w:rPr>
              <w:t xml:space="preserve">must not be seen as </w:t>
            </w:r>
            <w:r w:rsidR="00894795">
              <w:rPr>
                <w:i/>
                <w:iCs/>
              </w:rPr>
              <w:t xml:space="preserve">a </w:t>
            </w:r>
            <w:r w:rsidR="001634F1">
              <w:rPr>
                <w:i/>
                <w:iCs/>
              </w:rPr>
              <w:t>distraction but</w:t>
            </w:r>
            <w:r>
              <w:rPr>
                <w:i/>
                <w:iCs/>
              </w:rPr>
              <w:t xml:space="preserve"> can instead </w:t>
            </w:r>
            <w:r w:rsidR="00894795">
              <w:rPr>
                <w:i/>
                <w:iCs/>
              </w:rPr>
              <w:t>be</w:t>
            </w:r>
            <w:r w:rsidR="008C3B4D">
              <w:rPr>
                <w:i/>
                <w:iCs/>
              </w:rPr>
              <w:t xml:space="preserve"> opportunities</w:t>
            </w:r>
            <w:r w:rsidR="00894795">
              <w:rPr>
                <w:i/>
                <w:iCs/>
              </w:rPr>
              <w:t xml:space="preserve"> </w:t>
            </w:r>
            <w:r w:rsidR="00003CFD">
              <w:rPr>
                <w:i/>
                <w:iCs/>
              </w:rPr>
              <w:t xml:space="preserve">to alter the </w:t>
            </w:r>
            <w:r w:rsidR="00EA6D03">
              <w:rPr>
                <w:i/>
                <w:iCs/>
              </w:rPr>
              <w:t>business-as-usual</w:t>
            </w:r>
            <w:r w:rsidR="00003CFD">
              <w:rPr>
                <w:i/>
                <w:iCs/>
              </w:rPr>
              <w:t xml:space="preserve"> approach</w:t>
            </w:r>
            <w:r w:rsidR="001634F1">
              <w:rPr>
                <w:i/>
                <w:iCs/>
              </w:rPr>
              <w:t xml:space="preserve">. </w:t>
            </w:r>
            <w:r w:rsidR="004F2876">
              <w:rPr>
                <w:i/>
                <w:iCs/>
              </w:rPr>
              <w:t xml:space="preserve">She further </w:t>
            </w:r>
            <w:r w:rsidR="00D94101">
              <w:rPr>
                <w:i/>
                <w:iCs/>
              </w:rPr>
              <w:t xml:space="preserve">expressed her </w:t>
            </w:r>
            <w:r w:rsidR="00D94101">
              <w:rPr>
                <w:i/>
                <w:iCs/>
              </w:rPr>
              <w:lastRenderedPageBreak/>
              <w:t>hopes for</w:t>
            </w:r>
            <w:r w:rsidR="008C3B4D">
              <w:rPr>
                <w:i/>
                <w:iCs/>
              </w:rPr>
              <w:t xml:space="preserve"> C</w:t>
            </w:r>
            <w:r w:rsidR="00D94101">
              <w:rPr>
                <w:i/>
                <w:iCs/>
              </w:rPr>
              <w:t>OP</w:t>
            </w:r>
            <w:r w:rsidR="008C3B4D">
              <w:rPr>
                <w:i/>
                <w:iCs/>
              </w:rPr>
              <w:t xml:space="preserve">27 </w:t>
            </w:r>
            <w:r w:rsidR="00D94101">
              <w:rPr>
                <w:i/>
                <w:iCs/>
              </w:rPr>
              <w:t xml:space="preserve">to </w:t>
            </w:r>
            <w:r w:rsidR="00B33E14">
              <w:rPr>
                <w:i/>
                <w:iCs/>
              </w:rPr>
              <w:t>increase</w:t>
            </w:r>
            <w:r w:rsidR="00D94101">
              <w:rPr>
                <w:i/>
                <w:iCs/>
              </w:rPr>
              <w:t xml:space="preserve"> </w:t>
            </w:r>
            <w:r w:rsidR="00EA6D03">
              <w:rPr>
                <w:i/>
                <w:iCs/>
              </w:rPr>
              <w:t>the profile of</w:t>
            </w:r>
            <w:r w:rsidR="00B33E14">
              <w:rPr>
                <w:i/>
                <w:iCs/>
              </w:rPr>
              <w:t xml:space="preserve"> African countries</w:t>
            </w:r>
            <w:r w:rsidR="00EA6D03">
              <w:rPr>
                <w:i/>
                <w:iCs/>
              </w:rPr>
              <w:t xml:space="preserve"> in these matters.</w:t>
            </w:r>
            <w:r w:rsidR="00DE3F9C">
              <w:rPr>
                <w:i/>
                <w:iCs/>
              </w:rPr>
              <w:t>, while accelerating the</w:t>
            </w:r>
            <w:r w:rsidR="008C3B4D">
              <w:rPr>
                <w:i/>
                <w:iCs/>
              </w:rPr>
              <w:t xml:space="preserve"> sense of </w:t>
            </w:r>
            <w:r w:rsidR="00DE3F9C">
              <w:rPr>
                <w:i/>
                <w:iCs/>
              </w:rPr>
              <w:t>urgency.</w:t>
            </w:r>
          </w:p>
          <w:p w14:paraId="68B5F2DB" w14:textId="77777777" w:rsidR="008C3B4D" w:rsidRDefault="008C3B4D" w:rsidP="008C3B4D">
            <w:pPr>
              <w:ind w:left="720"/>
              <w:jc w:val="both"/>
              <w:rPr>
                <w:i/>
                <w:iCs/>
              </w:rPr>
            </w:pPr>
          </w:p>
          <w:p w14:paraId="2732A62F" w14:textId="73ACCB78" w:rsidR="008C3B4D" w:rsidRDefault="002F2A97" w:rsidP="008C3B4D">
            <w:pPr>
              <w:ind w:left="720"/>
              <w:jc w:val="both"/>
              <w:rPr>
                <w:i/>
                <w:iCs/>
              </w:rPr>
            </w:pPr>
            <w:r>
              <w:rPr>
                <w:b/>
                <w:bCs/>
                <w:i/>
                <w:iCs/>
              </w:rPr>
              <w:t>Ms. Radia Sedaoui</w:t>
            </w:r>
            <w:r w:rsidR="008C3B4D">
              <w:rPr>
                <w:i/>
                <w:iCs/>
              </w:rPr>
              <w:t xml:space="preserve"> </w:t>
            </w:r>
            <w:r w:rsidR="0029048B">
              <w:rPr>
                <w:i/>
                <w:iCs/>
              </w:rPr>
              <w:t>highlighted the interconnectedness of</w:t>
            </w:r>
            <w:r w:rsidR="003F24D9">
              <w:rPr>
                <w:i/>
                <w:iCs/>
              </w:rPr>
              <w:t xml:space="preserve"> </w:t>
            </w:r>
            <w:r w:rsidR="008C3B4D">
              <w:rPr>
                <w:i/>
                <w:iCs/>
              </w:rPr>
              <w:t>energy and geopolitics</w:t>
            </w:r>
            <w:r w:rsidR="00060223">
              <w:rPr>
                <w:i/>
                <w:iCs/>
              </w:rPr>
              <w:t>. She further called for</w:t>
            </w:r>
            <w:r w:rsidR="008C3B4D">
              <w:rPr>
                <w:i/>
                <w:iCs/>
              </w:rPr>
              <w:t xml:space="preserve"> international and regional collaboration</w:t>
            </w:r>
            <w:r w:rsidR="00060223">
              <w:rPr>
                <w:i/>
                <w:iCs/>
              </w:rPr>
              <w:t xml:space="preserve"> in</w:t>
            </w:r>
            <w:r w:rsidR="008C3B4D">
              <w:rPr>
                <w:i/>
                <w:iCs/>
              </w:rPr>
              <w:t xml:space="preserve"> finan</w:t>
            </w:r>
            <w:r w:rsidR="00060223">
              <w:rPr>
                <w:i/>
                <w:iCs/>
              </w:rPr>
              <w:t>cing and</w:t>
            </w:r>
            <w:r w:rsidR="008C3B4D">
              <w:rPr>
                <w:i/>
                <w:iCs/>
              </w:rPr>
              <w:t xml:space="preserve"> invest</w:t>
            </w:r>
            <w:r w:rsidR="00060223">
              <w:rPr>
                <w:i/>
                <w:iCs/>
              </w:rPr>
              <w:t>ing in the energy transition</w:t>
            </w:r>
            <w:r w:rsidR="008C3B4D">
              <w:rPr>
                <w:i/>
                <w:iCs/>
              </w:rPr>
              <w:t xml:space="preserve"> in developing nations</w:t>
            </w:r>
            <w:r w:rsidR="00AD4829">
              <w:rPr>
                <w:i/>
                <w:iCs/>
              </w:rPr>
              <w:t xml:space="preserve">, while recognising the </w:t>
            </w:r>
            <w:r w:rsidR="008C3B4D">
              <w:rPr>
                <w:i/>
                <w:iCs/>
              </w:rPr>
              <w:t xml:space="preserve">inter-generational </w:t>
            </w:r>
            <w:r w:rsidR="00AD4829">
              <w:rPr>
                <w:i/>
                <w:iCs/>
              </w:rPr>
              <w:t xml:space="preserve">character of the </w:t>
            </w:r>
            <w:r w:rsidR="008C3B4D">
              <w:rPr>
                <w:i/>
                <w:iCs/>
              </w:rPr>
              <w:t xml:space="preserve">challenges </w:t>
            </w:r>
            <w:r w:rsidR="00AD4829">
              <w:rPr>
                <w:i/>
                <w:iCs/>
              </w:rPr>
              <w:t>ahead.</w:t>
            </w:r>
          </w:p>
          <w:p w14:paraId="5D1E1EC2" w14:textId="77777777" w:rsidR="008C3B4D" w:rsidRDefault="008C3B4D" w:rsidP="008C3B4D">
            <w:pPr>
              <w:ind w:left="720"/>
              <w:jc w:val="both"/>
              <w:rPr>
                <w:i/>
                <w:iCs/>
              </w:rPr>
            </w:pPr>
          </w:p>
          <w:p w14:paraId="678ECF77" w14:textId="4CEEA136" w:rsidR="008C3B4D" w:rsidRDefault="002F2A97" w:rsidP="008C3B4D">
            <w:pPr>
              <w:ind w:left="720"/>
              <w:jc w:val="both"/>
              <w:rPr>
                <w:i/>
                <w:iCs/>
              </w:rPr>
            </w:pPr>
            <w:r>
              <w:rPr>
                <w:b/>
                <w:bCs/>
                <w:i/>
                <w:iCs/>
              </w:rPr>
              <w:t xml:space="preserve">Ms. </w:t>
            </w:r>
            <w:r w:rsidRPr="00BB59B2">
              <w:rPr>
                <w:b/>
                <w:bCs/>
                <w:i/>
                <w:iCs/>
              </w:rPr>
              <w:t>Doris Agbevivi</w:t>
            </w:r>
            <w:r w:rsidR="003F24D9">
              <w:rPr>
                <w:i/>
                <w:iCs/>
              </w:rPr>
              <w:t xml:space="preserve"> </w:t>
            </w:r>
            <w:r w:rsidR="00AD4829">
              <w:rPr>
                <w:i/>
                <w:iCs/>
              </w:rPr>
              <w:t xml:space="preserve">stressed the importance of fairness in the process of </w:t>
            </w:r>
            <w:r w:rsidR="003A4C39">
              <w:rPr>
                <w:i/>
                <w:iCs/>
              </w:rPr>
              <w:t>energy transition, admitting that while the language of COP</w:t>
            </w:r>
            <w:r w:rsidR="008C3B4D">
              <w:rPr>
                <w:i/>
                <w:iCs/>
              </w:rPr>
              <w:t>26 was watered down</w:t>
            </w:r>
            <w:r w:rsidR="003A4C39">
              <w:rPr>
                <w:i/>
                <w:iCs/>
              </w:rPr>
              <w:t xml:space="preserve"> it was at least </w:t>
            </w:r>
            <w:r w:rsidR="008C3B4D">
              <w:rPr>
                <w:i/>
                <w:iCs/>
              </w:rPr>
              <w:t xml:space="preserve">fair </w:t>
            </w:r>
            <w:r w:rsidR="003A4C39">
              <w:rPr>
                <w:i/>
                <w:iCs/>
              </w:rPr>
              <w:t>to</w:t>
            </w:r>
            <w:r w:rsidR="008C3B4D">
              <w:rPr>
                <w:i/>
                <w:iCs/>
              </w:rPr>
              <w:t xml:space="preserve"> everybody</w:t>
            </w:r>
            <w:r w:rsidR="003A4C39">
              <w:rPr>
                <w:i/>
                <w:iCs/>
              </w:rPr>
              <w:t xml:space="preserve">. She </w:t>
            </w:r>
            <w:r w:rsidR="003122C3">
              <w:rPr>
                <w:i/>
                <w:iCs/>
              </w:rPr>
              <w:t xml:space="preserve">called for a change in the investment strategies in Africa from grants to equitable partnerships and </w:t>
            </w:r>
            <w:r w:rsidR="00B5745B">
              <w:rPr>
                <w:i/>
                <w:iCs/>
              </w:rPr>
              <w:t>highlighted the need of a business case for renewables.</w:t>
            </w:r>
          </w:p>
          <w:p w14:paraId="3738C3A1" w14:textId="77777777" w:rsidR="008C3B4D" w:rsidRDefault="008C3B4D" w:rsidP="008C3B4D">
            <w:pPr>
              <w:ind w:left="720"/>
              <w:jc w:val="both"/>
              <w:rPr>
                <w:i/>
                <w:iCs/>
              </w:rPr>
            </w:pPr>
          </w:p>
          <w:p w14:paraId="17B5B78E" w14:textId="6B887690" w:rsidR="008C3B4D" w:rsidRDefault="003F24D9" w:rsidP="008C3B4D">
            <w:pPr>
              <w:ind w:left="720"/>
              <w:jc w:val="both"/>
              <w:rPr>
                <w:i/>
                <w:iCs/>
              </w:rPr>
            </w:pPr>
            <w:r>
              <w:rPr>
                <w:b/>
                <w:bCs/>
                <w:i/>
                <w:iCs/>
              </w:rPr>
              <w:t xml:space="preserve">Ms. </w:t>
            </w:r>
            <w:r w:rsidRPr="00FC04A3">
              <w:rPr>
                <w:b/>
                <w:bCs/>
                <w:i/>
                <w:iCs/>
              </w:rPr>
              <w:t>Leena Srivastava</w:t>
            </w:r>
            <w:r>
              <w:rPr>
                <w:i/>
                <w:iCs/>
              </w:rPr>
              <w:t xml:space="preserve"> </w:t>
            </w:r>
            <w:r w:rsidR="0064627F">
              <w:rPr>
                <w:i/>
                <w:iCs/>
              </w:rPr>
              <w:t>stated that while</w:t>
            </w:r>
            <w:r w:rsidR="008C3B4D">
              <w:rPr>
                <w:i/>
                <w:iCs/>
              </w:rPr>
              <w:t xml:space="preserve"> disruptions are part of life, negative </w:t>
            </w:r>
            <w:r w:rsidR="0064627F">
              <w:rPr>
                <w:i/>
                <w:iCs/>
              </w:rPr>
              <w:t>as</w:t>
            </w:r>
            <w:r w:rsidR="008C3B4D">
              <w:rPr>
                <w:i/>
                <w:iCs/>
              </w:rPr>
              <w:t xml:space="preserve"> positive,</w:t>
            </w:r>
            <w:r w:rsidR="0064627F">
              <w:rPr>
                <w:i/>
                <w:iCs/>
              </w:rPr>
              <w:t xml:space="preserve"> these can </w:t>
            </w:r>
            <w:r w:rsidR="00EE7D80">
              <w:rPr>
                <w:i/>
                <w:iCs/>
              </w:rPr>
              <w:t>be a</w:t>
            </w:r>
            <w:r w:rsidR="008C3B4D">
              <w:rPr>
                <w:i/>
                <w:iCs/>
              </w:rPr>
              <w:t xml:space="preserve"> set of </w:t>
            </w:r>
            <w:r w:rsidR="00EE7D80">
              <w:rPr>
                <w:i/>
                <w:iCs/>
              </w:rPr>
              <w:t xml:space="preserve">new </w:t>
            </w:r>
            <w:r w:rsidR="008C3B4D">
              <w:rPr>
                <w:i/>
                <w:iCs/>
              </w:rPr>
              <w:t>opportunities</w:t>
            </w:r>
            <w:r w:rsidR="00EE7D80">
              <w:rPr>
                <w:i/>
                <w:iCs/>
              </w:rPr>
              <w:t xml:space="preserve">. </w:t>
            </w:r>
            <w:r w:rsidR="002B7796">
              <w:rPr>
                <w:i/>
                <w:iCs/>
              </w:rPr>
              <w:t>She further stressed that a</w:t>
            </w:r>
            <w:r w:rsidR="008C3B4D">
              <w:rPr>
                <w:i/>
                <w:iCs/>
              </w:rPr>
              <w:t>djustment</w:t>
            </w:r>
            <w:r w:rsidR="00EE7D80">
              <w:rPr>
                <w:i/>
                <w:iCs/>
              </w:rPr>
              <w:t xml:space="preserve">s </w:t>
            </w:r>
            <w:r w:rsidR="002B7796">
              <w:rPr>
                <w:i/>
                <w:iCs/>
              </w:rPr>
              <w:t>will be</w:t>
            </w:r>
            <w:r w:rsidR="00EE7D80">
              <w:rPr>
                <w:i/>
                <w:iCs/>
              </w:rPr>
              <w:t xml:space="preserve"> necessary</w:t>
            </w:r>
            <w:r w:rsidR="002B7796">
              <w:rPr>
                <w:i/>
                <w:iCs/>
              </w:rPr>
              <w:t xml:space="preserve"> to achieve</w:t>
            </w:r>
            <w:r w:rsidR="008C3B4D">
              <w:rPr>
                <w:i/>
                <w:iCs/>
              </w:rPr>
              <w:t xml:space="preserve"> long</w:t>
            </w:r>
            <w:r w:rsidR="002B7796">
              <w:rPr>
                <w:i/>
                <w:iCs/>
              </w:rPr>
              <w:t xml:space="preserve"> term goals.</w:t>
            </w:r>
          </w:p>
          <w:p w14:paraId="50A01178" w14:textId="6B4B7FA6" w:rsidR="008C3B4D" w:rsidRDefault="008C3B4D" w:rsidP="0081687F">
            <w:pPr>
              <w:ind w:left="720"/>
              <w:jc w:val="both"/>
              <w:rPr>
                <w:i/>
                <w:iCs/>
              </w:rPr>
            </w:pPr>
          </w:p>
        </w:tc>
      </w:tr>
    </w:tbl>
    <w:p w14:paraId="6B8FF35A" w14:textId="56F58950" w:rsidR="05C04687" w:rsidRDefault="05C04687" w:rsidP="008B0B0F"/>
    <w:sectPr w:rsidR="05C046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1"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2"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3"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abstractNum w:abstractNumId="4" w15:restartNumberingAfterBreak="0">
    <w:nsid w:val="7AE628C7"/>
    <w:multiLevelType w:val="hybridMultilevel"/>
    <w:tmpl w:val="5B52F530"/>
    <w:lvl w:ilvl="0" w:tplc="6FD4B0A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450637191">
    <w:abstractNumId w:val="3"/>
  </w:num>
  <w:num w:numId="2" w16cid:durableId="751633162">
    <w:abstractNumId w:val="0"/>
  </w:num>
  <w:num w:numId="3" w16cid:durableId="596249406">
    <w:abstractNumId w:val="1"/>
  </w:num>
  <w:num w:numId="4" w16cid:durableId="222955035">
    <w:abstractNumId w:val="2"/>
  </w:num>
  <w:num w:numId="5" w16cid:durableId="1163013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03CFD"/>
    <w:rsid w:val="000153B1"/>
    <w:rsid w:val="0001711F"/>
    <w:rsid w:val="00021EB5"/>
    <w:rsid w:val="00023452"/>
    <w:rsid w:val="00037A20"/>
    <w:rsid w:val="00045087"/>
    <w:rsid w:val="0005053F"/>
    <w:rsid w:val="000510EA"/>
    <w:rsid w:val="00053579"/>
    <w:rsid w:val="00060223"/>
    <w:rsid w:val="000820E2"/>
    <w:rsid w:val="000C7CBD"/>
    <w:rsid w:val="000E4157"/>
    <w:rsid w:val="000F119E"/>
    <w:rsid w:val="00127FC1"/>
    <w:rsid w:val="0014017F"/>
    <w:rsid w:val="00142A7E"/>
    <w:rsid w:val="00146F5D"/>
    <w:rsid w:val="00150B81"/>
    <w:rsid w:val="001513B0"/>
    <w:rsid w:val="00162AAF"/>
    <w:rsid w:val="001634F1"/>
    <w:rsid w:val="00164431"/>
    <w:rsid w:val="0016716E"/>
    <w:rsid w:val="00182B3C"/>
    <w:rsid w:val="00184D73"/>
    <w:rsid w:val="001977DA"/>
    <w:rsid w:val="001B23A5"/>
    <w:rsid w:val="001B2CEE"/>
    <w:rsid w:val="001B504A"/>
    <w:rsid w:val="001B7261"/>
    <w:rsid w:val="001E329B"/>
    <w:rsid w:val="001F7CD8"/>
    <w:rsid w:val="00200F41"/>
    <w:rsid w:val="002506F2"/>
    <w:rsid w:val="00253D5C"/>
    <w:rsid w:val="00284329"/>
    <w:rsid w:val="0029048B"/>
    <w:rsid w:val="00297175"/>
    <w:rsid w:val="002B7796"/>
    <w:rsid w:val="002D62B5"/>
    <w:rsid w:val="002F2A97"/>
    <w:rsid w:val="0030462B"/>
    <w:rsid w:val="003121AA"/>
    <w:rsid w:val="003122C3"/>
    <w:rsid w:val="00363310"/>
    <w:rsid w:val="00384C6F"/>
    <w:rsid w:val="00391C79"/>
    <w:rsid w:val="0039682D"/>
    <w:rsid w:val="003A4C39"/>
    <w:rsid w:val="003A6111"/>
    <w:rsid w:val="003D534E"/>
    <w:rsid w:val="003F24D9"/>
    <w:rsid w:val="003F6D44"/>
    <w:rsid w:val="003F7F98"/>
    <w:rsid w:val="004061CD"/>
    <w:rsid w:val="00412EF8"/>
    <w:rsid w:val="00415626"/>
    <w:rsid w:val="00423B41"/>
    <w:rsid w:val="00432D62"/>
    <w:rsid w:val="00432E40"/>
    <w:rsid w:val="00435E30"/>
    <w:rsid w:val="00465D79"/>
    <w:rsid w:val="004A4067"/>
    <w:rsid w:val="004A57EB"/>
    <w:rsid w:val="004B310A"/>
    <w:rsid w:val="004C4F2A"/>
    <w:rsid w:val="004F2876"/>
    <w:rsid w:val="004F2EA4"/>
    <w:rsid w:val="004F3784"/>
    <w:rsid w:val="00505097"/>
    <w:rsid w:val="005152CB"/>
    <w:rsid w:val="005522F9"/>
    <w:rsid w:val="0055320A"/>
    <w:rsid w:val="00567E46"/>
    <w:rsid w:val="0059264C"/>
    <w:rsid w:val="00593B06"/>
    <w:rsid w:val="005E0B49"/>
    <w:rsid w:val="005E24F1"/>
    <w:rsid w:val="005F07CE"/>
    <w:rsid w:val="005F5C86"/>
    <w:rsid w:val="00614210"/>
    <w:rsid w:val="00620483"/>
    <w:rsid w:val="006337A9"/>
    <w:rsid w:val="0063395C"/>
    <w:rsid w:val="00636009"/>
    <w:rsid w:val="00637C0A"/>
    <w:rsid w:val="00644AF3"/>
    <w:rsid w:val="0064627F"/>
    <w:rsid w:val="00654F3A"/>
    <w:rsid w:val="0065591D"/>
    <w:rsid w:val="006567C1"/>
    <w:rsid w:val="006814D7"/>
    <w:rsid w:val="00685F0C"/>
    <w:rsid w:val="006A04A9"/>
    <w:rsid w:val="006B6FC4"/>
    <w:rsid w:val="006C5C90"/>
    <w:rsid w:val="006D37D7"/>
    <w:rsid w:val="006E23EC"/>
    <w:rsid w:val="006E525F"/>
    <w:rsid w:val="006F4252"/>
    <w:rsid w:val="007400E4"/>
    <w:rsid w:val="007418DF"/>
    <w:rsid w:val="007431BA"/>
    <w:rsid w:val="00744897"/>
    <w:rsid w:val="00772A65"/>
    <w:rsid w:val="00774E45"/>
    <w:rsid w:val="0079262C"/>
    <w:rsid w:val="00795705"/>
    <w:rsid w:val="007A16C3"/>
    <w:rsid w:val="007A7BC7"/>
    <w:rsid w:val="007B58F6"/>
    <w:rsid w:val="007D76B6"/>
    <w:rsid w:val="007E0978"/>
    <w:rsid w:val="007F6283"/>
    <w:rsid w:val="0081687F"/>
    <w:rsid w:val="0082060E"/>
    <w:rsid w:val="00822F6B"/>
    <w:rsid w:val="008337EB"/>
    <w:rsid w:val="00872DB0"/>
    <w:rsid w:val="00875E97"/>
    <w:rsid w:val="00883204"/>
    <w:rsid w:val="0088534D"/>
    <w:rsid w:val="00894795"/>
    <w:rsid w:val="00896058"/>
    <w:rsid w:val="00897C01"/>
    <w:rsid w:val="008A28A6"/>
    <w:rsid w:val="008B0B0F"/>
    <w:rsid w:val="008B6D70"/>
    <w:rsid w:val="008C27E9"/>
    <w:rsid w:val="008C3B4D"/>
    <w:rsid w:val="008F7D2A"/>
    <w:rsid w:val="00923E41"/>
    <w:rsid w:val="00930B4A"/>
    <w:rsid w:val="00935512"/>
    <w:rsid w:val="0094731F"/>
    <w:rsid w:val="0097239E"/>
    <w:rsid w:val="00981158"/>
    <w:rsid w:val="009951C5"/>
    <w:rsid w:val="009D2E12"/>
    <w:rsid w:val="00A07328"/>
    <w:rsid w:val="00A31002"/>
    <w:rsid w:val="00A51FB0"/>
    <w:rsid w:val="00A52365"/>
    <w:rsid w:val="00A57673"/>
    <w:rsid w:val="00A63853"/>
    <w:rsid w:val="00A837B8"/>
    <w:rsid w:val="00A8511A"/>
    <w:rsid w:val="00A86AB6"/>
    <w:rsid w:val="00A93612"/>
    <w:rsid w:val="00AC4391"/>
    <w:rsid w:val="00AD4829"/>
    <w:rsid w:val="00AE655F"/>
    <w:rsid w:val="00AF32AA"/>
    <w:rsid w:val="00B03A83"/>
    <w:rsid w:val="00B33E14"/>
    <w:rsid w:val="00B5745B"/>
    <w:rsid w:val="00B7163D"/>
    <w:rsid w:val="00B813EE"/>
    <w:rsid w:val="00B92886"/>
    <w:rsid w:val="00B95191"/>
    <w:rsid w:val="00B959CD"/>
    <w:rsid w:val="00B96FA0"/>
    <w:rsid w:val="00BA74E8"/>
    <w:rsid w:val="00BB59B2"/>
    <w:rsid w:val="00BC6758"/>
    <w:rsid w:val="00BF182C"/>
    <w:rsid w:val="00C323CE"/>
    <w:rsid w:val="00C479ED"/>
    <w:rsid w:val="00C6277E"/>
    <w:rsid w:val="00C85DD4"/>
    <w:rsid w:val="00C9548B"/>
    <w:rsid w:val="00CB4095"/>
    <w:rsid w:val="00CE0BA9"/>
    <w:rsid w:val="00D0710E"/>
    <w:rsid w:val="00D11128"/>
    <w:rsid w:val="00D21290"/>
    <w:rsid w:val="00D7310D"/>
    <w:rsid w:val="00D86652"/>
    <w:rsid w:val="00D915FF"/>
    <w:rsid w:val="00D94101"/>
    <w:rsid w:val="00DA7180"/>
    <w:rsid w:val="00DC38B3"/>
    <w:rsid w:val="00DD66D2"/>
    <w:rsid w:val="00DE3F9C"/>
    <w:rsid w:val="00DE54E0"/>
    <w:rsid w:val="00DF27DC"/>
    <w:rsid w:val="00DF44B6"/>
    <w:rsid w:val="00E0312E"/>
    <w:rsid w:val="00E117B0"/>
    <w:rsid w:val="00E23847"/>
    <w:rsid w:val="00E421F0"/>
    <w:rsid w:val="00E616E0"/>
    <w:rsid w:val="00E82D35"/>
    <w:rsid w:val="00E86119"/>
    <w:rsid w:val="00E96000"/>
    <w:rsid w:val="00EA35A5"/>
    <w:rsid w:val="00EA45D4"/>
    <w:rsid w:val="00EA6D03"/>
    <w:rsid w:val="00EB636D"/>
    <w:rsid w:val="00EE7D80"/>
    <w:rsid w:val="00F125A3"/>
    <w:rsid w:val="00F302FB"/>
    <w:rsid w:val="00F346F6"/>
    <w:rsid w:val="00F373D7"/>
    <w:rsid w:val="00F462AE"/>
    <w:rsid w:val="00F55073"/>
    <w:rsid w:val="00F65F74"/>
    <w:rsid w:val="00F759DC"/>
    <w:rsid w:val="00F91C2C"/>
    <w:rsid w:val="00F94D9A"/>
    <w:rsid w:val="00F96347"/>
    <w:rsid w:val="00FA5D9E"/>
    <w:rsid w:val="00FC04A3"/>
    <w:rsid w:val="00FD75C3"/>
    <w:rsid w:val="00FF3369"/>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A39"/>
  <w15:chartTrackingRefBased/>
  <w15:docId w15:val="{174F08BE-ADFE-4AEE-9A04-CC5051A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757C82F7016B43815690E6CC3E9EDE" ma:contentTypeVersion="9" ma:contentTypeDescription="Create a new document." ma:contentTypeScope="" ma:versionID="2200a832ba9dd08d7d9e40f4b489f957">
  <xsd:schema xmlns:xsd="http://www.w3.org/2001/XMLSchema" xmlns:xs="http://www.w3.org/2001/XMLSchema" xmlns:p="http://schemas.microsoft.com/office/2006/metadata/properties" xmlns:ns3="8d0a0b48-7c0f-421a-97e3-2d894d7f4439" xmlns:ns4="7f3060fc-effa-4893-9d26-8e783741bca4" targetNamespace="http://schemas.microsoft.com/office/2006/metadata/properties" ma:root="true" ma:fieldsID="c233d0fc2622643e2da6678c3a41e104" ns3:_="" ns4:_="">
    <xsd:import namespace="8d0a0b48-7c0f-421a-97e3-2d894d7f4439"/>
    <xsd:import namespace="7f3060fc-effa-4893-9d26-8e783741bc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0b48-7c0f-421a-97e3-2d894d7f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060fc-effa-4893-9d26-8e783741b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93F7E-7E59-403A-AD6C-541F99DA989F}">
  <ds:schemaRefs>
    <ds:schemaRef ds:uri="http://schemas.microsoft.com/sharepoint/v3/contenttype/forms"/>
  </ds:schemaRefs>
</ds:datastoreItem>
</file>

<file path=customXml/itemProps2.xml><?xml version="1.0" encoding="utf-8"?>
<ds:datastoreItem xmlns:ds="http://schemas.openxmlformats.org/officeDocument/2006/customXml" ds:itemID="{6AD87E42-CD05-4522-92B4-C7200D42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0b48-7c0f-421a-97e3-2d894d7f4439"/>
    <ds:schemaRef ds:uri="7f3060fc-effa-4893-9d26-8e783741b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ED453-7B52-4878-9D07-8E0AD83CEE47}">
  <ds:schemaRefs>
    <ds:schemaRef ds:uri="http://www.w3.org/XML/1998/namespace"/>
    <ds:schemaRef ds:uri="http://purl.org/dc/elements/1.1/"/>
    <ds:schemaRef ds:uri="8d0a0b48-7c0f-421a-97e3-2d894d7f443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f3060fc-effa-4893-9d26-8e783741bc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163</cp:revision>
  <dcterms:created xsi:type="dcterms:W3CDTF">2022-07-27T15:28:00Z</dcterms:created>
  <dcterms:modified xsi:type="dcterms:W3CDTF">2022-07-27T21:51:00Z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0x010100C0757C82F7016B43815690E6CC3E9EDE</vt:lpwstr>
  </property>
</Properties>
</file>