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AC48CDF" w14:textId="25EBE829" w:rsidR="005D2BDD" w:rsidRDefault="00560420" w:rsidP="005E6510">
      <w:pPr>
        <w:pStyle w:val="ListNumber"/>
        <w:numPr>
          <w:ilvl w:val="0"/>
          <w:numId w:val="0"/>
        </w:numPr>
        <w:spacing w:after="0"/>
        <w:rPr>
          <w:i/>
          <w:lang w:val="en-GB"/>
        </w:rPr>
      </w:pPr>
      <w:r w:rsidRPr="00560420">
        <w:rPr>
          <w:rFonts w:cstheme="minorBidi"/>
          <w:bCs/>
          <w:sz w:val="44"/>
          <w:szCs w:val="44"/>
          <w:lang w:val="en-GB" w:eastAsia="zh-CN"/>
        </w:rPr>
        <w:t xml:space="preserve">All </w:t>
      </w:r>
      <w:proofErr w:type="gramStart"/>
      <w:r w:rsidRPr="00560420">
        <w:rPr>
          <w:rFonts w:cstheme="minorBidi"/>
          <w:bCs/>
          <w:sz w:val="44"/>
          <w:szCs w:val="44"/>
          <w:lang w:val="en-GB" w:eastAsia="zh-CN"/>
        </w:rPr>
        <w:t>Hands on</w:t>
      </w:r>
      <w:proofErr w:type="gramEnd"/>
      <w:r w:rsidRPr="00560420">
        <w:rPr>
          <w:rFonts w:cstheme="minorBidi"/>
          <w:bCs/>
          <w:sz w:val="44"/>
          <w:szCs w:val="44"/>
          <w:lang w:val="en-GB" w:eastAsia="zh-CN"/>
        </w:rPr>
        <w:t xml:space="preserve"> Deck: Youth and Energy Compacts</w:t>
      </w:r>
    </w:p>
    <w:p w14:paraId="777DF985" w14:textId="2171904C" w:rsidR="005D2BDD" w:rsidRPr="002C408A" w:rsidRDefault="00560420" w:rsidP="005E6510">
      <w:pPr>
        <w:pStyle w:val="ListNumber"/>
        <w:numPr>
          <w:ilvl w:val="0"/>
          <w:numId w:val="0"/>
        </w:numPr>
        <w:spacing w:after="0"/>
        <w:rPr>
          <w:i/>
          <w:lang w:val="en-GB"/>
        </w:rPr>
      </w:pPr>
      <w:r w:rsidRPr="00560420">
        <w:rPr>
          <w:i/>
          <w:lang w:val="en-GB"/>
        </w:rPr>
        <w:t>Organized by the SDG7 Youth Constituency</w:t>
      </w:r>
    </w:p>
    <w:p w14:paraId="374F8A3D" w14:textId="7C09152F" w:rsidR="005E6510" w:rsidRPr="002C408A" w:rsidRDefault="000873F8" w:rsidP="005E6510">
      <w:pPr>
        <w:pStyle w:val="ListNumber"/>
        <w:numPr>
          <w:ilvl w:val="0"/>
          <w:numId w:val="0"/>
        </w:numPr>
        <w:spacing w:after="0"/>
        <w:rPr>
          <w:rFonts w:eastAsia="Times New Roman" w:cstheme="minorBidi"/>
          <w:bCs/>
          <w:color w:val="000000" w:themeColor="text1"/>
          <w:lang w:val="en-GB"/>
        </w:rPr>
      </w:pPr>
      <w:r w:rsidRPr="000873F8">
        <w:rPr>
          <w:rFonts w:eastAsiaTheme="majorEastAsia"/>
          <w:color w:val="000000" w:themeColor="text1"/>
          <w:lang w:val="en-GB" w:eastAsia="zh-CN"/>
        </w:rPr>
        <w:t>11.30 - 12.45</w:t>
      </w:r>
      <w:r>
        <w:rPr>
          <w:rFonts w:eastAsiaTheme="majorEastAsia"/>
          <w:color w:val="000000" w:themeColor="text1"/>
          <w:lang w:val="en-GB" w:eastAsia="zh-CN"/>
        </w:rPr>
        <w:t xml:space="preserve"> </w:t>
      </w:r>
      <w:r w:rsidR="0081666F">
        <w:rPr>
          <w:rFonts w:eastAsiaTheme="majorEastAsia"/>
          <w:color w:val="000000" w:themeColor="text1"/>
          <w:lang w:val="en-GB" w:eastAsia="zh-CN"/>
        </w:rPr>
        <w:t>Thursday</w:t>
      </w:r>
      <w:r w:rsidR="00741352">
        <w:rPr>
          <w:rFonts w:eastAsiaTheme="majorEastAsia"/>
          <w:color w:val="000000" w:themeColor="text1"/>
          <w:lang w:val="en-GB" w:eastAsia="zh-CN"/>
        </w:rPr>
        <w:t xml:space="preserve"> 2</w:t>
      </w:r>
      <w:r w:rsidR="0081666F">
        <w:rPr>
          <w:rFonts w:eastAsiaTheme="majorEastAsia"/>
          <w:color w:val="000000" w:themeColor="text1"/>
          <w:lang w:val="en-GB" w:eastAsia="zh-CN"/>
        </w:rPr>
        <w:t>4</w:t>
      </w:r>
      <w:r w:rsidR="005E6510" w:rsidRPr="002C408A">
        <w:rPr>
          <w:rFonts w:eastAsiaTheme="majorEastAsia"/>
          <w:color w:val="000000" w:themeColor="text1"/>
          <w:lang w:val="en-GB" w:eastAsia="zh-CN"/>
        </w:rPr>
        <w:t xml:space="preserve"> June</w:t>
      </w:r>
    </w:p>
    <w:p w14:paraId="4E7B9B0E" w14:textId="77777777" w:rsidR="005E6510" w:rsidRDefault="005E6510" w:rsidP="005E6510">
      <w:pPr>
        <w:pStyle w:val="ListParagraph"/>
        <w:spacing w:after="0"/>
        <w:ind w:left="0"/>
        <w:rPr>
          <w:iCs/>
          <w:lang w:val="en-GB"/>
        </w:rPr>
      </w:pPr>
    </w:p>
    <w:p w14:paraId="5C3A5C3D" w14:textId="4F6AFE94" w:rsid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Young people need to be considered as a key stakeholder group in the energy transition: both as a beneficiary and as an agent of change. This side event will build on the ongoing effort across the UN system and by the youth organisations for greater inclusion of youth in the global energy agenda and focus on two key questions:</w:t>
      </w:r>
      <w:r>
        <w:rPr>
          <w:rFonts w:eastAsia="SimSun"/>
          <w:iCs/>
          <w:sz w:val="22"/>
          <w:szCs w:val="22"/>
          <w:lang w:val="en-GB" w:eastAsia="en-US"/>
        </w:rPr>
        <w:t xml:space="preserve"> </w:t>
      </w:r>
    </w:p>
    <w:p w14:paraId="56B557CB" w14:textId="77777777" w:rsidR="00A95D7B" w:rsidRPr="00A95D7B" w:rsidRDefault="00A95D7B" w:rsidP="00A95D7B">
      <w:pPr>
        <w:tabs>
          <w:tab w:val="left" w:pos="1127"/>
        </w:tabs>
        <w:rPr>
          <w:rFonts w:eastAsia="SimSun"/>
          <w:iCs/>
          <w:sz w:val="22"/>
          <w:szCs w:val="22"/>
          <w:lang w:val="en-GB" w:eastAsia="en-US"/>
        </w:rPr>
      </w:pPr>
    </w:p>
    <w:p w14:paraId="45F1869F"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How can youth benefit from the Energy Compacts?</w:t>
      </w:r>
    </w:p>
    <w:p w14:paraId="5DC66245" w14:textId="05F5F365" w:rsid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How can youth contribute to the Energy Compacts?</w:t>
      </w:r>
    </w:p>
    <w:p w14:paraId="47872BB4" w14:textId="77777777" w:rsidR="00A95D7B" w:rsidRPr="00A95D7B" w:rsidRDefault="00A95D7B" w:rsidP="00A95D7B">
      <w:pPr>
        <w:tabs>
          <w:tab w:val="left" w:pos="1127"/>
        </w:tabs>
        <w:rPr>
          <w:rFonts w:eastAsia="SimSun"/>
          <w:iCs/>
          <w:sz w:val="22"/>
          <w:szCs w:val="22"/>
          <w:lang w:val="en-GB" w:eastAsia="en-US"/>
        </w:rPr>
      </w:pPr>
    </w:p>
    <w:p w14:paraId="1EB4C91C"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 xml:space="preserve">Segment 1: Energy Compacts for youth </w:t>
      </w:r>
    </w:p>
    <w:p w14:paraId="1893FB0F"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5 min – Presentation about suggested actions for stakeholders to empower youth, with key inputs from the UNDP consultation toward the HLDE and the Global Youth Energy Outlook.</w:t>
      </w:r>
    </w:p>
    <w:p w14:paraId="001337A9"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 xml:space="preserve">20 min – Open discussion on the suggested actions with 2-3 invited discussants from governments, private sector, </w:t>
      </w:r>
      <w:proofErr w:type="spellStart"/>
      <w:r w:rsidRPr="00A95D7B">
        <w:rPr>
          <w:rFonts w:eastAsia="SimSun"/>
          <w:iCs/>
          <w:sz w:val="22"/>
          <w:szCs w:val="22"/>
          <w:lang w:val="en-GB" w:eastAsia="en-US"/>
        </w:rPr>
        <w:t>nonprofits</w:t>
      </w:r>
      <w:proofErr w:type="spellEnd"/>
      <w:r w:rsidRPr="00A95D7B">
        <w:rPr>
          <w:rFonts w:eastAsia="SimSun"/>
          <w:iCs/>
          <w:sz w:val="22"/>
          <w:szCs w:val="22"/>
          <w:lang w:val="en-GB" w:eastAsia="en-US"/>
        </w:rPr>
        <w:t xml:space="preserve"> and interventions from the floor. </w:t>
      </w:r>
    </w:p>
    <w:p w14:paraId="7C4AED43"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5 min – Presentation on next steps and introduction of VEF Call to Action as a platform to commit to actions supporting women and youth.</w:t>
      </w:r>
    </w:p>
    <w:p w14:paraId="617D1D3F" w14:textId="77777777" w:rsidR="00A95D7B" w:rsidRPr="00A95D7B" w:rsidRDefault="00A95D7B" w:rsidP="00A95D7B">
      <w:pPr>
        <w:tabs>
          <w:tab w:val="left" w:pos="1127"/>
        </w:tabs>
        <w:rPr>
          <w:rFonts w:eastAsia="SimSun"/>
          <w:iCs/>
          <w:sz w:val="22"/>
          <w:szCs w:val="22"/>
          <w:lang w:val="en-GB" w:eastAsia="en-US"/>
        </w:rPr>
      </w:pPr>
    </w:p>
    <w:p w14:paraId="17D7F5BF"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Segment 2: Youth for Energy Compacts</w:t>
      </w:r>
    </w:p>
    <w:p w14:paraId="52FB5D87"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5 min – Presentation about possible youth contributions to the Energy Compacts, with key inputs from the Youth Sustainable Energy Hub Progress Report.</w:t>
      </w:r>
    </w:p>
    <w:p w14:paraId="103FE647" w14:textId="77777777" w:rsidR="00A95D7B" w:rsidRP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 xml:space="preserve">20 min – Open discussion on the suggested actions with 2-3 invited youth discussants and interventions from the floor. </w:t>
      </w:r>
    </w:p>
    <w:p w14:paraId="7E71EA49" w14:textId="27A47335" w:rsid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 xml:space="preserve">5 min – Presentation on next steps </w:t>
      </w:r>
    </w:p>
    <w:p w14:paraId="6AE4716C" w14:textId="77777777" w:rsidR="00A95D7B" w:rsidRPr="00A95D7B" w:rsidRDefault="00A95D7B" w:rsidP="00A95D7B">
      <w:pPr>
        <w:tabs>
          <w:tab w:val="left" w:pos="1127"/>
        </w:tabs>
        <w:rPr>
          <w:rFonts w:eastAsia="SimSun"/>
          <w:iCs/>
          <w:sz w:val="22"/>
          <w:szCs w:val="22"/>
          <w:lang w:val="en-GB" w:eastAsia="en-US"/>
        </w:rPr>
      </w:pPr>
    </w:p>
    <w:p w14:paraId="7335F112" w14:textId="58E02CC7" w:rsidR="00A95D7B" w:rsidRDefault="00A95D7B" w:rsidP="00A95D7B">
      <w:pPr>
        <w:tabs>
          <w:tab w:val="left" w:pos="1127"/>
        </w:tabs>
        <w:rPr>
          <w:rFonts w:eastAsia="SimSun"/>
          <w:iCs/>
          <w:sz w:val="22"/>
          <w:szCs w:val="22"/>
          <w:lang w:val="en-GB" w:eastAsia="en-US"/>
        </w:rPr>
      </w:pPr>
      <w:r w:rsidRPr="00A95D7B">
        <w:rPr>
          <w:rFonts w:eastAsia="SimSun"/>
          <w:iCs/>
          <w:sz w:val="22"/>
          <w:szCs w:val="22"/>
          <w:lang w:val="en-GB" w:eastAsia="en-US"/>
        </w:rPr>
        <w:t>The output of the event will be a toolkit on how stakeholders can account for the needs of youth in formulating their Energy Compacts and how youth organisations can participate in the process.</w:t>
      </w:r>
    </w:p>
    <w:p w14:paraId="2B22A18A" w14:textId="77777777" w:rsidR="00A95D7B" w:rsidRPr="00A95D7B" w:rsidRDefault="00A95D7B" w:rsidP="00A95D7B">
      <w:pPr>
        <w:tabs>
          <w:tab w:val="left" w:pos="1127"/>
        </w:tabs>
        <w:rPr>
          <w:rFonts w:eastAsia="SimSun"/>
          <w:iCs/>
          <w:sz w:val="22"/>
          <w:szCs w:val="22"/>
          <w:lang w:val="en-GB" w:eastAsia="en-US"/>
        </w:rPr>
      </w:pPr>
    </w:p>
    <w:p w14:paraId="776E37CC" w14:textId="20771076" w:rsidR="00A95D7B" w:rsidRDefault="00A95D7B" w:rsidP="00A95D7B">
      <w:pPr>
        <w:tabs>
          <w:tab w:val="left" w:pos="1127"/>
        </w:tabs>
        <w:rPr>
          <w:rFonts w:eastAsia="SimSun"/>
          <w:iCs/>
          <w:sz w:val="22"/>
          <w:szCs w:val="22"/>
          <w:lang w:val="en-GB" w:eastAsia="en-US"/>
        </w:rPr>
      </w:pPr>
      <w:hyperlink r:id="rId6" w:history="1">
        <w:r w:rsidRPr="00370330">
          <w:rPr>
            <w:rStyle w:val="Hyperlink"/>
            <w:rFonts w:eastAsia="SimSun"/>
            <w:iCs/>
            <w:sz w:val="22"/>
            <w:szCs w:val="22"/>
            <w:lang w:val="en-GB" w:eastAsia="en-US"/>
          </w:rPr>
          <w:t>https://zoom.us/webinar/register/WN_YNj1JF6XTM2Ak1zHdOcEPg</w:t>
        </w:r>
      </w:hyperlink>
    </w:p>
    <w:p w14:paraId="7D554330" w14:textId="77777777" w:rsidR="00A95D7B" w:rsidRPr="00A95D7B" w:rsidRDefault="00A95D7B" w:rsidP="00A95D7B">
      <w:pPr>
        <w:tabs>
          <w:tab w:val="left" w:pos="1127"/>
        </w:tabs>
        <w:rPr>
          <w:rFonts w:eastAsia="SimSun"/>
          <w:iCs/>
          <w:sz w:val="22"/>
          <w:szCs w:val="22"/>
          <w:lang w:val="en-GB" w:eastAsia="en-US"/>
        </w:rPr>
      </w:pPr>
    </w:p>
    <w:p w14:paraId="6DBED7CB" w14:textId="1FEA3FC2" w:rsidR="000D146B" w:rsidRDefault="00A95D7B" w:rsidP="00A95D7B">
      <w:pPr>
        <w:tabs>
          <w:tab w:val="left" w:pos="1127"/>
        </w:tabs>
        <w:rPr>
          <w:rFonts w:eastAsia="SimSun"/>
          <w:iCs/>
          <w:sz w:val="22"/>
          <w:szCs w:val="22"/>
          <w:lang w:val="en-GB" w:eastAsia="en-US"/>
        </w:rPr>
      </w:pPr>
      <w:proofErr w:type="spellStart"/>
      <w:r w:rsidRPr="00A95D7B">
        <w:rPr>
          <w:rFonts w:eastAsia="SimSun"/>
          <w:iCs/>
          <w:sz w:val="22"/>
          <w:szCs w:val="22"/>
          <w:lang w:val="en-GB" w:eastAsia="en-US"/>
        </w:rPr>
        <w:t>Beniamin</w:t>
      </w:r>
      <w:proofErr w:type="spellEnd"/>
      <w:r w:rsidRPr="00A95D7B">
        <w:rPr>
          <w:rFonts w:eastAsia="SimSun"/>
          <w:iCs/>
          <w:sz w:val="22"/>
          <w:szCs w:val="22"/>
          <w:lang w:val="en-GB" w:eastAsia="en-US"/>
        </w:rPr>
        <w:t xml:space="preserve"> Strzelecki, </w:t>
      </w:r>
      <w:hyperlink r:id="rId7" w:history="1">
        <w:r w:rsidRPr="00370330">
          <w:rPr>
            <w:rStyle w:val="Hyperlink"/>
            <w:rFonts w:eastAsia="SimSun"/>
            <w:iCs/>
            <w:sz w:val="22"/>
            <w:szCs w:val="22"/>
            <w:lang w:val="en-GB" w:eastAsia="en-US"/>
          </w:rPr>
          <w:t>beniamin.strzelecki@unmgcy.org</w:t>
        </w:r>
      </w:hyperlink>
    </w:p>
    <w:p w14:paraId="4E2BB26C" w14:textId="77777777" w:rsidR="00A95D7B" w:rsidRPr="005D2BDD" w:rsidRDefault="00A95D7B" w:rsidP="00A95D7B">
      <w:pPr>
        <w:tabs>
          <w:tab w:val="left" w:pos="1127"/>
        </w:tabs>
        <w:rPr>
          <w:lang w:val="en-US"/>
        </w:rPr>
      </w:pPr>
    </w:p>
    <w:sectPr w:rsidR="00A95D7B" w:rsidRPr="005D2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873F8"/>
    <w:rsid w:val="000D146B"/>
    <w:rsid w:val="001E2A89"/>
    <w:rsid w:val="0020500F"/>
    <w:rsid w:val="002C2F0A"/>
    <w:rsid w:val="002C408A"/>
    <w:rsid w:val="00352217"/>
    <w:rsid w:val="00560420"/>
    <w:rsid w:val="005D2BDD"/>
    <w:rsid w:val="005E6510"/>
    <w:rsid w:val="005F4B61"/>
    <w:rsid w:val="006C1376"/>
    <w:rsid w:val="00741352"/>
    <w:rsid w:val="0081666F"/>
    <w:rsid w:val="00A95D7B"/>
    <w:rsid w:val="00C14E99"/>
    <w:rsid w:val="00E75DB9"/>
    <w:rsid w:val="00EA5758"/>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iamin.strzelecki@unmg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webinar/register/WN_YNj1JF6XTM2Ak1zHdOcE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18</cp:revision>
  <dcterms:created xsi:type="dcterms:W3CDTF">2021-06-18T11:56:00Z</dcterms:created>
  <dcterms:modified xsi:type="dcterms:W3CDTF">2021-06-19T17:08:00Z</dcterms:modified>
</cp:coreProperties>
</file>