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812DEB" w14:textId="7496B3DB" w:rsidR="006C1376" w:rsidRDefault="000D146B">
      <w:r w:rsidRPr="00222DF5">
        <w:rPr>
          <w:b/>
          <w:bCs/>
          <w:noProof/>
          <w:sz w:val="28"/>
          <w:szCs w:val="28"/>
        </w:rPr>
        <w:drawing>
          <wp:anchor distT="0" distB="0" distL="114300" distR="114300" simplePos="0" relativeHeight="251659264" behindDoc="0" locked="0" layoutInCell="1" allowOverlap="1" wp14:anchorId="1DD53ED5" wp14:editId="7D746013">
            <wp:simplePos x="0" y="0"/>
            <wp:positionH relativeFrom="margin">
              <wp:posOffset>506895</wp:posOffset>
            </wp:positionH>
            <wp:positionV relativeFrom="paragraph">
              <wp:posOffset>3810</wp:posOffset>
            </wp:positionV>
            <wp:extent cx="5029200" cy="1294496"/>
            <wp:effectExtent l="0" t="0" r="0" b="1270"/>
            <wp:wrapNone/>
            <wp:docPr id="2" name="Picture 2" descr="Sunburst 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nburst chart&#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29200" cy="1294496"/>
                    </a:xfrm>
                    <a:prstGeom prst="rect">
                      <a:avLst/>
                    </a:prstGeom>
                    <a:noFill/>
                  </pic:spPr>
                </pic:pic>
              </a:graphicData>
            </a:graphic>
            <wp14:sizeRelH relativeFrom="margin">
              <wp14:pctWidth>0</wp14:pctWidth>
            </wp14:sizeRelH>
            <wp14:sizeRelV relativeFrom="margin">
              <wp14:pctHeight>0</wp14:pctHeight>
            </wp14:sizeRelV>
          </wp:anchor>
        </w:drawing>
      </w:r>
    </w:p>
    <w:p w14:paraId="547EDB9B" w14:textId="21BBBDAD" w:rsidR="000D146B" w:rsidRPr="000D146B" w:rsidRDefault="000D146B" w:rsidP="000D146B"/>
    <w:p w14:paraId="3A684CB2" w14:textId="4E532101" w:rsidR="000D146B" w:rsidRPr="000D146B" w:rsidRDefault="000D146B" w:rsidP="000D146B"/>
    <w:p w14:paraId="6626031F" w14:textId="5B529B58" w:rsidR="000D146B" w:rsidRPr="000D146B" w:rsidRDefault="000D146B" w:rsidP="000D146B"/>
    <w:p w14:paraId="0B1E6C11" w14:textId="29248DA3" w:rsidR="000D146B" w:rsidRPr="000D146B" w:rsidRDefault="000D146B" w:rsidP="000D146B"/>
    <w:p w14:paraId="7A5A684C" w14:textId="796033C0" w:rsidR="000D146B" w:rsidRPr="000D146B" w:rsidRDefault="000D146B" w:rsidP="000D146B"/>
    <w:p w14:paraId="7AAE4E99" w14:textId="0C0A3B8C" w:rsidR="000D146B" w:rsidRPr="000D146B" w:rsidRDefault="000D146B" w:rsidP="000D146B"/>
    <w:p w14:paraId="42023D26" w14:textId="77777777" w:rsidR="005E6510" w:rsidRPr="00376E5A" w:rsidRDefault="005E6510" w:rsidP="005E6510">
      <w:pPr>
        <w:jc w:val="center"/>
        <w:rPr>
          <w:b/>
          <w:bCs/>
          <w:color w:val="FFC000"/>
          <w:sz w:val="52"/>
          <w:szCs w:val="52"/>
          <w:lang w:val="en-GB"/>
        </w:rPr>
      </w:pPr>
      <w:r w:rsidRPr="00376E5A">
        <w:rPr>
          <w:b/>
          <w:bCs/>
          <w:color w:val="FFC000"/>
          <w:sz w:val="52"/>
          <w:szCs w:val="52"/>
          <w:lang w:val="en-GB"/>
        </w:rPr>
        <w:t xml:space="preserve">MINISTERIAL THEMATIC FORUMS </w:t>
      </w:r>
    </w:p>
    <w:p w14:paraId="025772F6" w14:textId="77777777" w:rsidR="005E6510" w:rsidRDefault="005E6510" w:rsidP="005E6510">
      <w:pPr>
        <w:rPr>
          <w:b/>
          <w:bCs/>
          <w:lang w:val="en-GB"/>
        </w:rPr>
      </w:pPr>
    </w:p>
    <w:p w14:paraId="1706B55E" w14:textId="26673504" w:rsidR="005E6510" w:rsidRPr="005E6510" w:rsidRDefault="005E6510" w:rsidP="005E6510">
      <w:pPr>
        <w:rPr>
          <w:b/>
          <w:bCs/>
          <w:sz w:val="44"/>
          <w:szCs w:val="44"/>
          <w:lang w:val="en-GB"/>
        </w:rPr>
      </w:pPr>
      <w:r w:rsidRPr="005E6510">
        <w:rPr>
          <w:b/>
          <w:bCs/>
          <w:sz w:val="44"/>
          <w:szCs w:val="44"/>
          <w:lang w:val="en-GB"/>
        </w:rPr>
        <w:t>Side Event:</w:t>
      </w:r>
    </w:p>
    <w:p w14:paraId="2AC48CDF" w14:textId="7A8041FE" w:rsidR="005D2BDD" w:rsidRDefault="004221B5" w:rsidP="005E6510">
      <w:pPr>
        <w:pStyle w:val="ListNumber"/>
        <w:numPr>
          <w:ilvl w:val="0"/>
          <w:numId w:val="0"/>
        </w:numPr>
        <w:spacing w:after="0"/>
        <w:rPr>
          <w:i/>
          <w:lang w:val="en-GB"/>
        </w:rPr>
      </w:pPr>
      <w:r w:rsidRPr="004221B5">
        <w:rPr>
          <w:rFonts w:cstheme="minorBidi"/>
          <w:bCs/>
          <w:sz w:val="44"/>
          <w:szCs w:val="44"/>
          <w:lang w:val="en-GB" w:eastAsia="zh-CN"/>
        </w:rPr>
        <w:t>High-Level Roundtable on Green Hydrogen</w:t>
      </w:r>
    </w:p>
    <w:p w14:paraId="34770024" w14:textId="77777777" w:rsidR="004221B5" w:rsidRDefault="004221B5" w:rsidP="005E6510">
      <w:pPr>
        <w:pStyle w:val="ListNumber"/>
        <w:numPr>
          <w:ilvl w:val="0"/>
          <w:numId w:val="0"/>
        </w:numPr>
        <w:spacing w:after="0"/>
        <w:rPr>
          <w:i/>
          <w:lang w:val="en-GB"/>
        </w:rPr>
      </w:pPr>
      <w:r w:rsidRPr="004221B5">
        <w:rPr>
          <w:i/>
          <w:lang w:val="en-GB"/>
        </w:rPr>
        <w:t>Organized by Denmark</w:t>
      </w:r>
    </w:p>
    <w:p w14:paraId="374F8A3D" w14:textId="70D2B6ED" w:rsidR="005E6510" w:rsidRPr="002C408A" w:rsidRDefault="00DD71A2" w:rsidP="005E6510">
      <w:pPr>
        <w:pStyle w:val="ListNumber"/>
        <w:numPr>
          <w:ilvl w:val="0"/>
          <w:numId w:val="0"/>
        </w:numPr>
        <w:spacing w:after="0"/>
        <w:rPr>
          <w:rFonts w:eastAsia="Times New Roman" w:cstheme="minorBidi"/>
          <w:bCs/>
          <w:color w:val="000000" w:themeColor="text1"/>
          <w:lang w:val="en-GB"/>
        </w:rPr>
      </w:pPr>
      <w:r w:rsidRPr="00DD71A2">
        <w:rPr>
          <w:rFonts w:eastAsiaTheme="majorEastAsia"/>
          <w:color w:val="000000" w:themeColor="text1"/>
          <w:lang w:val="en-GB" w:eastAsia="zh-CN"/>
        </w:rPr>
        <w:t>6.00 - 7.00</w:t>
      </w:r>
      <w:r>
        <w:rPr>
          <w:rFonts w:eastAsiaTheme="majorEastAsia"/>
          <w:color w:val="000000" w:themeColor="text1"/>
          <w:lang w:val="en-GB" w:eastAsia="zh-CN"/>
        </w:rPr>
        <w:t xml:space="preserve"> </w:t>
      </w:r>
      <w:r w:rsidR="00741352">
        <w:rPr>
          <w:rFonts w:eastAsiaTheme="majorEastAsia"/>
          <w:color w:val="000000" w:themeColor="text1"/>
          <w:lang w:val="en-GB" w:eastAsia="zh-CN"/>
        </w:rPr>
        <w:t>Wednesday 23</w:t>
      </w:r>
      <w:r w:rsidR="005E6510" w:rsidRPr="002C408A">
        <w:rPr>
          <w:rFonts w:eastAsiaTheme="majorEastAsia"/>
          <w:color w:val="000000" w:themeColor="text1"/>
          <w:lang w:val="en-GB" w:eastAsia="zh-CN"/>
        </w:rPr>
        <w:t xml:space="preserve"> June</w:t>
      </w:r>
    </w:p>
    <w:p w14:paraId="4E7B9B0E" w14:textId="77777777" w:rsidR="005E6510" w:rsidRDefault="005E6510" w:rsidP="005E6510">
      <w:pPr>
        <w:pStyle w:val="ListParagraph"/>
        <w:spacing w:after="0"/>
        <w:ind w:left="0"/>
        <w:rPr>
          <w:iCs/>
          <w:lang w:val="en-GB"/>
        </w:rPr>
      </w:pPr>
    </w:p>
    <w:p w14:paraId="3FD74073" w14:textId="1E6460FE" w:rsidR="00E11458" w:rsidRDefault="00E11458" w:rsidP="00E11458">
      <w:pPr>
        <w:tabs>
          <w:tab w:val="left" w:pos="1127"/>
        </w:tabs>
        <w:rPr>
          <w:rFonts w:eastAsia="SimSun"/>
          <w:iCs/>
          <w:sz w:val="22"/>
          <w:szCs w:val="22"/>
          <w:lang w:val="en-GB" w:eastAsia="en-US"/>
        </w:rPr>
      </w:pPr>
      <w:r w:rsidRPr="00E11458">
        <w:rPr>
          <w:rFonts w:eastAsia="SimSun"/>
          <w:iCs/>
          <w:sz w:val="22"/>
          <w:szCs w:val="22"/>
          <w:lang w:val="en-GB" w:eastAsia="en-US"/>
        </w:rPr>
        <w:t xml:space="preserve">The United Nations Marrakech Partnership’s Climate Action Pathway on Green Hydrogen offers guidance on the scope and scale of stakeholder action required to deliver a </w:t>
      </w:r>
      <w:proofErr w:type="gramStart"/>
      <w:r w:rsidRPr="00E11458">
        <w:rPr>
          <w:rFonts w:eastAsia="SimSun"/>
          <w:iCs/>
          <w:sz w:val="22"/>
          <w:szCs w:val="22"/>
          <w:lang w:val="en-GB" w:eastAsia="en-US"/>
        </w:rPr>
        <w:t>1.5 degree</w:t>
      </w:r>
      <w:proofErr w:type="gramEnd"/>
      <w:r w:rsidRPr="00E11458">
        <w:rPr>
          <w:rFonts w:eastAsia="SimSun"/>
          <w:iCs/>
          <w:sz w:val="22"/>
          <w:szCs w:val="22"/>
          <w:lang w:val="en-GB" w:eastAsia="en-US"/>
        </w:rPr>
        <w:t xml:space="preserve"> compatible energy sector by 2050. In the immediate, this action can aim to achieve the UN Breakthrough Outcome of at least 25 GW Green hydrogen capacity deployed by 2026, toward delivering 500-1000 GW required by 2030. Businesses, countries, and other stakeholders are encouraged to establish Energy Compacts that help to deliver these outcomes through sector-specific and market-enabling targets and measures to accelerate development of a green hydrogen ecosystem and value chain. </w:t>
      </w:r>
    </w:p>
    <w:p w14:paraId="0BE9AC25" w14:textId="77777777" w:rsidR="00E11458" w:rsidRPr="00E11458" w:rsidRDefault="00E11458" w:rsidP="00E11458">
      <w:pPr>
        <w:tabs>
          <w:tab w:val="left" w:pos="1127"/>
        </w:tabs>
        <w:rPr>
          <w:rFonts w:eastAsia="SimSun"/>
          <w:iCs/>
          <w:sz w:val="22"/>
          <w:szCs w:val="22"/>
          <w:lang w:val="en-GB" w:eastAsia="en-US"/>
        </w:rPr>
      </w:pPr>
    </w:p>
    <w:p w14:paraId="3FD05372" w14:textId="1E7DBFF1" w:rsidR="00E11458" w:rsidRDefault="00E11458" w:rsidP="00E11458">
      <w:pPr>
        <w:tabs>
          <w:tab w:val="left" w:pos="1127"/>
        </w:tabs>
        <w:rPr>
          <w:rFonts w:eastAsia="SimSun"/>
          <w:iCs/>
          <w:sz w:val="22"/>
          <w:szCs w:val="22"/>
          <w:lang w:val="en-GB" w:eastAsia="en-US"/>
        </w:rPr>
      </w:pPr>
      <w:r w:rsidRPr="00E11458">
        <w:rPr>
          <w:rFonts w:eastAsia="SimSun"/>
          <w:iCs/>
          <w:sz w:val="22"/>
          <w:szCs w:val="22"/>
          <w:lang w:val="en-GB" w:eastAsia="en-US"/>
        </w:rPr>
        <w:t>This high-level ministerial roundtable will convene stakeholders from different countries and sectors that will address critical gaps, challenges and opportunities in the policy and market environment. It will showcase the work that has been initiated to create a catalogue of Energy Compacts on green hydrogen to establish measurable and actionable bases for individual or collaborative action on key leverage points to accelerate development of end-to-end value chains.</w:t>
      </w:r>
    </w:p>
    <w:p w14:paraId="59393260" w14:textId="77777777" w:rsidR="00E11458" w:rsidRPr="00E11458" w:rsidRDefault="00E11458" w:rsidP="00E11458">
      <w:pPr>
        <w:tabs>
          <w:tab w:val="left" w:pos="1127"/>
        </w:tabs>
        <w:rPr>
          <w:rFonts w:eastAsia="SimSun"/>
          <w:iCs/>
          <w:sz w:val="22"/>
          <w:szCs w:val="22"/>
          <w:lang w:val="en-GB" w:eastAsia="en-US"/>
        </w:rPr>
      </w:pPr>
    </w:p>
    <w:p w14:paraId="361E03D2" w14:textId="024E8510" w:rsidR="00E11458" w:rsidRDefault="00E11458" w:rsidP="00E11458">
      <w:pPr>
        <w:tabs>
          <w:tab w:val="left" w:pos="1127"/>
        </w:tabs>
        <w:rPr>
          <w:rFonts w:eastAsia="SimSun"/>
          <w:iCs/>
          <w:sz w:val="22"/>
          <w:szCs w:val="22"/>
          <w:lang w:val="en-GB" w:eastAsia="en-US"/>
        </w:rPr>
      </w:pPr>
      <w:r w:rsidRPr="00E11458">
        <w:rPr>
          <w:rFonts w:eastAsia="SimSun"/>
          <w:iCs/>
          <w:sz w:val="22"/>
          <w:szCs w:val="22"/>
          <w:lang w:val="en-GB" w:eastAsia="en-US"/>
        </w:rPr>
        <w:t>High-level stakeholders will discuss the needed regulatory framework and infrastructure investments needed to support the continued expansion of green hydrogen capacity and capabilities. There will be a particular focus on the role of the private sector and their ambitions for submitting Energy Compacts on green hydrogen</w:t>
      </w:r>
    </w:p>
    <w:p w14:paraId="195377C7" w14:textId="77777777" w:rsidR="00E11458" w:rsidRPr="00E11458" w:rsidRDefault="00E11458" w:rsidP="00E11458">
      <w:pPr>
        <w:tabs>
          <w:tab w:val="left" w:pos="1127"/>
        </w:tabs>
        <w:rPr>
          <w:rFonts w:eastAsia="SimSun"/>
          <w:iCs/>
          <w:sz w:val="22"/>
          <w:szCs w:val="22"/>
          <w:lang w:val="en-GB" w:eastAsia="en-US"/>
        </w:rPr>
      </w:pPr>
    </w:p>
    <w:p w14:paraId="38856D1A" w14:textId="110DEF82" w:rsidR="00E11458" w:rsidRDefault="00E11458" w:rsidP="00E11458">
      <w:pPr>
        <w:tabs>
          <w:tab w:val="left" w:pos="1127"/>
        </w:tabs>
        <w:rPr>
          <w:rFonts w:eastAsia="SimSun"/>
          <w:iCs/>
          <w:sz w:val="22"/>
          <w:szCs w:val="22"/>
          <w:lang w:val="en-GB" w:eastAsia="en-US"/>
        </w:rPr>
      </w:pPr>
      <w:hyperlink r:id="rId6" w:history="1">
        <w:r w:rsidRPr="00370330">
          <w:rPr>
            <w:rStyle w:val="Hyperlink"/>
            <w:rFonts w:eastAsia="SimSun"/>
            <w:iCs/>
            <w:sz w:val="22"/>
            <w:szCs w:val="22"/>
            <w:lang w:val="en-GB" w:eastAsia="en-US"/>
          </w:rPr>
          <w:t>https://zoom.us/webinar/register/WN_cOvbKHXzRPSMWL_Ifpu60g</w:t>
        </w:r>
      </w:hyperlink>
      <w:r>
        <w:rPr>
          <w:rFonts w:eastAsia="SimSun"/>
          <w:iCs/>
          <w:sz w:val="22"/>
          <w:szCs w:val="22"/>
          <w:lang w:val="en-GB" w:eastAsia="en-US"/>
        </w:rPr>
        <w:t xml:space="preserve"> </w:t>
      </w:r>
    </w:p>
    <w:p w14:paraId="5EAA1495" w14:textId="77777777" w:rsidR="00E11458" w:rsidRPr="00E11458" w:rsidRDefault="00E11458" w:rsidP="00E11458">
      <w:pPr>
        <w:tabs>
          <w:tab w:val="left" w:pos="1127"/>
        </w:tabs>
        <w:rPr>
          <w:rFonts w:eastAsia="SimSun"/>
          <w:iCs/>
          <w:sz w:val="22"/>
          <w:szCs w:val="22"/>
          <w:lang w:val="en-GB" w:eastAsia="en-US"/>
        </w:rPr>
      </w:pPr>
    </w:p>
    <w:p w14:paraId="6DBED7CB" w14:textId="570C664C" w:rsidR="000D146B" w:rsidRPr="005D2BDD" w:rsidRDefault="00E11458" w:rsidP="00E11458">
      <w:pPr>
        <w:tabs>
          <w:tab w:val="left" w:pos="1127"/>
        </w:tabs>
        <w:rPr>
          <w:lang w:val="en-US"/>
        </w:rPr>
      </w:pPr>
      <w:r w:rsidRPr="00E11458">
        <w:rPr>
          <w:rFonts w:eastAsia="SimSun"/>
          <w:iCs/>
          <w:sz w:val="22"/>
          <w:szCs w:val="22"/>
          <w:lang w:val="en-GB" w:eastAsia="en-US"/>
        </w:rPr>
        <w:t xml:space="preserve">Mira </w:t>
      </w:r>
      <w:proofErr w:type="spellStart"/>
      <w:r w:rsidRPr="00E11458">
        <w:rPr>
          <w:rFonts w:eastAsia="SimSun"/>
          <w:iCs/>
          <w:sz w:val="22"/>
          <w:szCs w:val="22"/>
          <w:lang w:val="en-GB" w:eastAsia="en-US"/>
        </w:rPr>
        <w:t>Bergem</w:t>
      </w:r>
      <w:proofErr w:type="spellEnd"/>
      <w:r w:rsidRPr="00E11458">
        <w:rPr>
          <w:rFonts w:eastAsia="SimSun"/>
          <w:iCs/>
          <w:sz w:val="22"/>
          <w:szCs w:val="22"/>
          <w:lang w:val="en-GB" w:eastAsia="en-US"/>
        </w:rPr>
        <w:t xml:space="preserve">, </w:t>
      </w:r>
      <w:hyperlink r:id="rId7" w:history="1">
        <w:r w:rsidRPr="00370330">
          <w:rPr>
            <w:rStyle w:val="Hyperlink"/>
            <w:rFonts w:eastAsia="SimSun"/>
            <w:iCs/>
            <w:sz w:val="22"/>
            <w:szCs w:val="22"/>
            <w:lang w:val="en-GB" w:eastAsia="en-US"/>
          </w:rPr>
          <w:t>mirber@um.dk</w:t>
        </w:r>
      </w:hyperlink>
      <w:r>
        <w:rPr>
          <w:rFonts w:eastAsia="SimSun"/>
          <w:iCs/>
          <w:sz w:val="22"/>
          <w:szCs w:val="22"/>
          <w:lang w:val="en-GB" w:eastAsia="en-US"/>
        </w:rPr>
        <w:t xml:space="preserve"> </w:t>
      </w:r>
    </w:p>
    <w:sectPr w:rsidR="000D146B" w:rsidRPr="005D2BD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26B52"/>
    <w:multiLevelType w:val="hybridMultilevel"/>
    <w:tmpl w:val="63FA0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856772"/>
    <w:multiLevelType w:val="multilevel"/>
    <w:tmpl w:val="4E88364C"/>
    <w:lvl w:ilvl="0">
      <w:start w:val="1"/>
      <w:numFmt w:val="upperRoman"/>
      <w:pStyle w:val="ListNumber"/>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46B"/>
    <w:rsid w:val="000D146B"/>
    <w:rsid w:val="001E2A89"/>
    <w:rsid w:val="0020500F"/>
    <w:rsid w:val="002C2F0A"/>
    <w:rsid w:val="002C408A"/>
    <w:rsid w:val="00352217"/>
    <w:rsid w:val="004221B5"/>
    <w:rsid w:val="005D2BDD"/>
    <w:rsid w:val="005E6510"/>
    <w:rsid w:val="005F4B61"/>
    <w:rsid w:val="006C1376"/>
    <w:rsid w:val="00741352"/>
    <w:rsid w:val="00C14E99"/>
    <w:rsid w:val="00DD71A2"/>
    <w:rsid w:val="00E11458"/>
    <w:rsid w:val="00E75DB9"/>
    <w:rsid w:val="00EA5758"/>
    <w:rsid w:val="00FA1802"/>
  </w:rsids>
  <m:mathPr>
    <m:mathFont m:val="Cambria Math"/>
    <m:brkBin m:val="before"/>
    <m:brkBinSub m:val="--"/>
    <m:smallFrac m:val="0"/>
    <m:dispDef/>
    <m:lMargin m:val="0"/>
    <m:rMargin m:val="0"/>
    <m:defJc m:val="centerGroup"/>
    <m:wrapIndent m:val="1440"/>
    <m:intLim m:val="subSup"/>
    <m:naryLim m:val="undOvr"/>
  </m:mathPr>
  <w:themeFontLang w:val="en-CN"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1BBA880"/>
  <w15:chartTrackingRefBased/>
  <w15:docId w15:val="{ED89A9AB-1CCB-484B-B7D2-6E69C35E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C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510"/>
    <w:pPr>
      <w:spacing w:after="160" w:line="259" w:lineRule="auto"/>
      <w:ind w:left="720"/>
      <w:contextualSpacing/>
    </w:pPr>
    <w:rPr>
      <w:rFonts w:eastAsia="SimSun"/>
      <w:sz w:val="22"/>
      <w:szCs w:val="22"/>
      <w:lang w:val="en-US" w:eastAsia="en-US"/>
    </w:rPr>
  </w:style>
  <w:style w:type="paragraph" w:styleId="ListNumber">
    <w:name w:val="List Number"/>
    <w:basedOn w:val="Normal"/>
    <w:uiPriority w:val="12"/>
    <w:qFormat/>
    <w:rsid w:val="005E6510"/>
    <w:pPr>
      <w:numPr>
        <w:numId w:val="2"/>
      </w:numPr>
      <w:spacing w:after="200" w:line="276" w:lineRule="auto"/>
    </w:pPr>
    <w:rPr>
      <w:rFonts w:cs="Times New Roman"/>
      <w:b/>
      <w:lang w:val="en-US" w:eastAsia="en-US"/>
    </w:rPr>
  </w:style>
  <w:style w:type="paragraph" w:styleId="ListNumber2">
    <w:name w:val="List Number 2"/>
    <w:basedOn w:val="Normal"/>
    <w:uiPriority w:val="12"/>
    <w:unhideWhenUsed/>
    <w:qFormat/>
    <w:rsid w:val="005E6510"/>
    <w:pPr>
      <w:numPr>
        <w:ilvl w:val="1"/>
        <w:numId w:val="2"/>
      </w:numPr>
      <w:spacing w:after="200" w:line="276" w:lineRule="auto"/>
    </w:pPr>
    <w:rPr>
      <w:rFonts w:cs="Times New Roman"/>
      <w:lang w:val="en-US" w:eastAsia="en-US"/>
    </w:rPr>
  </w:style>
  <w:style w:type="character" w:styleId="Hyperlink">
    <w:name w:val="Hyperlink"/>
    <w:basedOn w:val="DefaultParagraphFont"/>
    <w:uiPriority w:val="99"/>
    <w:unhideWhenUsed/>
    <w:rsid w:val="005E6510"/>
    <w:rPr>
      <w:color w:val="0000FF"/>
      <w:u w:val="single"/>
    </w:rPr>
  </w:style>
  <w:style w:type="character" w:styleId="UnresolvedMention">
    <w:name w:val="Unresolved Mention"/>
    <w:basedOn w:val="DefaultParagraphFont"/>
    <w:uiPriority w:val="99"/>
    <w:semiHidden/>
    <w:unhideWhenUsed/>
    <w:rsid w:val="003522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4641">
      <w:bodyDiv w:val="1"/>
      <w:marLeft w:val="0"/>
      <w:marRight w:val="0"/>
      <w:marTop w:val="0"/>
      <w:marBottom w:val="0"/>
      <w:divBdr>
        <w:top w:val="none" w:sz="0" w:space="0" w:color="auto"/>
        <w:left w:val="none" w:sz="0" w:space="0" w:color="auto"/>
        <w:bottom w:val="none" w:sz="0" w:space="0" w:color="auto"/>
        <w:right w:val="none" w:sz="0" w:space="0" w:color="auto"/>
      </w:divBdr>
    </w:div>
    <w:div w:id="203608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rber@um.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oom.us/webinar/register/WN_cOvbKHXzRPSMWL_Ifpu60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268</Words>
  <Characters>1533</Characters>
  <Application>Microsoft Office Word</Application>
  <DocSecurity>0</DocSecurity>
  <Lines>12</Lines>
  <Paragraphs>3</Paragraphs>
  <ScaleCrop>false</ScaleCrop>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Xiaoyi Wang</dc:creator>
  <cp:keywords/>
  <dc:description/>
  <cp:lastModifiedBy>Xiaoyi Wang</cp:lastModifiedBy>
  <cp:revision>17</cp:revision>
  <dcterms:created xsi:type="dcterms:W3CDTF">2021-06-18T11:56:00Z</dcterms:created>
  <dcterms:modified xsi:type="dcterms:W3CDTF">2021-06-19T15:52:00Z</dcterms:modified>
</cp:coreProperties>
</file>