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12DEB" w14:textId="7496B3DB" w:rsidR="006C1376" w:rsidRDefault="000D146B">
      <w:r w:rsidRPr="00222DF5">
        <w:rPr>
          <w:b/>
          <w:bCs/>
          <w:noProof/>
          <w:sz w:val="28"/>
          <w:szCs w:val="28"/>
        </w:rPr>
        <w:drawing>
          <wp:anchor distT="0" distB="0" distL="114300" distR="114300" simplePos="0" relativeHeight="251659264" behindDoc="0" locked="0" layoutInCell="1" allowOverlap="1" wp14:anchorId="1DD53ED5" wp14:editId="7D746013">
            <wp:simplePos x="0" y="0"/>
            <wp:positionH relativeFrom="margin">
              <wp:posOffset>506895</wp:posOffset>
            </wp:positionH>
            <wp:positionV relativeFrom="paragraph">
              <wp:posOffset>3810</wp:posOffset>
            </wp:positionV>
            <wp:extent cx="5029200" cy="1294496"/>
            <wp:effectExtent l="0" t="0" r="0" b="1270"/>
            <wp:wrapNone/>
            <wp:docPr id="2" name="Picture 2"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unburst chart&#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29200" cy="1294496"/>
                    </a:xfrm>
                    <a:prstGeom prst="rect">
                      <a:avLst/>
                    </a:prstGeom>
                    <a:noFill/>
                  </pic:spPr>
                </pic:pic>
              </a:graphicData>
            </a:graphic>
            <wp14:sizeRelH relativeFrom="margin">
              <wp14:pctWidth>0</wp14:pctWidth>
            </wp14:sizeRelH>
            <wp14:sizeRelV relativeFrom="margin">
              <wp14:pctHeight>0</wp14:pctHeight>
            </wp14:sizeRelV>
          </wp:anchor>
        </w:drawing>
      </w:r>
    </w:p>
    <w:p w14:paraId="547EDB9B" w14:textId="21BBBDAD" w:rsidR="000D146B" w:rsidRPr="000D146B" w:rsidRDefault="000D146B" w:rsidP="000D146B"/>
    <w:p w14:paraId="3A684CB2" w14:textId="4E532101" w:rsidR="000D146B" w:rsidRPr="000D146B" w:rsidRDefault="000D146B" w:rsidP="000D146B"/>
    <w:p w14:paraId="6626031F" w14:textId="5B529B58" w:rsidR="000D146B" w:rsidRPr="000D146B" w:rsidRDefault="000D146B" w:rsidP="000D146B"/>
    <w:p w14:paraId="0B1E6C11" w14:textId="29248DA3" w:rsidR="000D146B" w:rsidRPr="000D146B" w:rsidRDefault="000D146B" w:rsidP="000D146B"/>
    <w:p w14:paraId="7A5A684C" w14:textId="796033C0" w:rsidR="000D146B" w:rsidRPr="000D146B" w:rsidRDefault="000D146B" w:rsidP="000D146B"/>
    <w:p w14:paraId="7AAE4E99" w14:textId="0C0A3B8C" w:rsidR="000D146B" w:rsidRPr="000D146B" w:rsidRDefault="000D146B" w:rsidP="000D146B"/>
    <w:p w14:paraId="42023D26" w14:textId="77777777" w:rsidR="005E6510" w:rsidRPr="00376E5A" w:rsidRDefault="005E6510" w:rsidP="005E6510">
      <w:pPr>
        <w:jc w:val="center"/>
        <w:rPr>
          <w:b/>
          <w:bCs/>
          <w:color w:val="FFC000"/>
          <w:sz w:val="52"/>
          <w:szCs w:val="52"/>
          <w:lang w:val="en-GB"/>
        </w:rPr>
      </w:pPr>
      <w:r w:rsidRPr="00376E5A">
        <w:rPr>
          <w:b/>
          <w:bCs/>
          <w:color w:val="FFC000"/>
          <w:sz w:val="52"/>
          <w:szCs w:val="52"/>
          <w:lang w:val="en-GB"/>
        </w:rPr>
        <w:t xml:space="preserve">MINISTERIAL THEMATIC FORUMS </w:t>
      </w:r>
    </w:p>
    <w:p w14:paraId="025772F6" w14:textId="77777777" w:rsidR="005E6510" w:rsidRDefault="005E6510" w:rsidP="005E6510">
      <w:pPr>
        <w:rPr>
          <w:b/>
          <w:bCs/>
          <w:lang w:val="en-GB"/>
        </w:rPr>
      </w:pPr>
    </w:p>
    <w:p w14:paraId="1706B55E" w14:textId="26673504" w:rsidR="005E6510" w:rsidRPr="005E6510" w:rsidRDefault="005E6510" w:rsidP="005E6510">
      <w:pPr>
        <w:rPr>
          <w:b/>
          <w:bCs/>
          <w:sz w:val="44"/>
          <w:szCs w:val="44"/>
          <w:lang w:val="en-GB"/>
        </w:rPr>
      </w:pPr>
      <w:r w:rsidRPr="005E6510">
        <w:rPr>
          <w:b/>
          <w:bCs/>
          <w:sz w:val="44"/>
          <w:szCs w:val="44"/>
          <w:lang w:val="en-GB"/>
        </w:rPr>
        <w:t>Side Event:</w:t>
      </w:r>
    </w:p>
    <w:p w14:paraId="6E5DF914" w14:textId="508A1377" w:rsidR="001E2A89" w:rsidRPr="001E2A89" w:rsidRDefault="00275A19" w:rsidP="005E6510">
      <w:pPr>
        <w:rPr>
          <w:b/>
          <w:bCs/>
          <w:sz w:val="44"/>
          <w:szCs w:val="44"/>
          <w:lang w:val="en-GB"/>
        </w:rPr>
      </w:pPr>
      <w:r w:rsidRPr="00275A19">
        <w:rPr>
          <w:b/>
          <w:bCs/>
          <w:sz w:val="44"/>
          <w:szCs w:val="44"/>
          <w:lang w:val="en-GB"/>
        </w:rPr>
        <w:t>Policies and Investment on Energy Efficient Lighting: Models for Success</w:t>
      </w:r>
    </w:p>
    <w:p w14:paraId="4F880402" w14:textId="198418C2" w:rsidR="005E6510" w:rsidRPr="00851FD3" w:rsidRDefault="00275A19" w:rsidP="005E6510">
      <w:pPr>
        <w:pStyle w:val="ListNumber"/>
        <w:numPr>
          <w:ilvl w:val="0"/>
          <w:numId w:val="0"/>
        </w:numPr>
        <w:spacing w:after="0"/>
        <w:rPr>
          <w:i/>
          <w:lang w:val="en-GB"/>
        </w:rPr>
      </w:pPr>
      <w:r w:rsidRPr="00851FD3">
        <w:rPr>
          <w:i/>
          <w:lang w:val="en-GB"/>
        </w:rPr>
        <w:t>Organized by UNEP DTU Partnership</w:t>
      </w:r>
    </w:p>
    <w:p w14:paraId="374F8A3D" w14:textId="19872746" w:rsidR="005E6510" w:rsidRPr="00851FD3" w:rsidRDefault="00851FD3" w:rsidP="005E6510">
      <w:pPr>
        <w:pStyle w:val="ListNumber"/>
        <w:numPr>
          <w:ilvl w:val="0"/>
          <w:numId w:val="0"/>
        </w:numPr>
        <w:spacing w:after="0"/>
        <w:rPr>
          <w:rFonts w:eastAsia="Times New Roman" w:cstheme="minorBidi"/>
          <w:bCs/>
          <w:color w:val="000000" w:themeColor="text1"/>
          <w:lang w:val="en-GB"/>
        </w:rPr>
      </w:pPr>
      <w:r w:rsidRPr="00851FD3">
        <w:rPr>
          <w:rFonts w:eastAsiaTheme="majorEastAsia"/>
          <w:color w:val="000000" w:themeColor="text1"/>
          <w:lang w:val="en-GB" w:eastAsia="zh-CN"/>
        </w:rPr>
        <w:t>12.45 - 14.00</w:t>
      </w:r>
      <w:r w:rsidRPr="00851FD3">
        <w:rPr>
          <w:rFonts w:eastAsiaTheme="majorEastAsia"/>
          <w:color w:val="000000" w:themeColor="text1"/>
          <w:lang w:val="en-GB" w:eastAsia="zh-CN"/>
        </w:rPr>
        <w:t xml:space="preserve"> </w:t>
      </w:r>
      <w:r w:rsidR="00640B9F" w:rsidRPr="00851FD3">
        <w:rPr>
          <w:rFonts w:eastAsiaTheme="majorEastAsia"/>
          <w:color w:val="000000" w:themeColor="text1"/>
          <w:lang w:val="en-GB" w:eastAsia="zh-CN"/>
        </w:rPr>
        <w:t>Tuesday</w:t>
      </w:r>
      <w:r w:rsidR="005E6510" w:rsidRPr="00851FD3">
        <w:rPr>
          <w:rFonts w:eastAsiaTheme="majorEastAsia"/>
          <w:color w:val="000000" w:themeColor="text1"/>
          <w:lang w:val="en-GB" w:eastAsia="zh-CN"/>
        </w:rPr>
        <w:t xml:space="preserve"> 2</w:t>
      </w:r>
      <w:r w:rsidR="00640B9F" w:rsidRPr="00851FD3">
        <w:rPr>
          <w:rFonts w:eastAsiaTheme="majorEastAsia"/>
          <w:color w:val="000000" w:themeColor="text1"/>
          <w:lang w:val="en-GB" w:eastAsia="zh-CN"/>
        </w:rPr>
        <w:t>2</w:t>
      </w:r>
      <w:r w:rsidR="005E6510" w:rsidRPr="00851FD3">
        <w:rPr>
          <w:rFonts w:eastAsiaTheme="majorEastAsia"/>
          <w:color w:val="000000" w:themeColor="text1"/>
          <w:lang w:val="en-GB" w:eastAsia="zh-CN"/>
        </w:rPr>
        <w:t xml:space="preserve"> June</w:t>
      </w:r>
      <w:r w:rsidR="005E6510" w:rsidRPr="00851FD3">
        <w:rPr>
          <w:rFonts w:eastAsiaTheme="majorEastAsia"/>
          <w:color w:val="000000" w:themeColor="text1"/>
          <w:lang w:val="en-GB"/>
        </w:rPr>
        <w:t xml:space="preserve"> </w:t>
      </w:r>
    </w:p>
    <w:p w14:paraId="4E7B9B0E" w14:textId="77777777" w:rsidR="005E6510" w:rsidRDefault="005E6510" w:rsidP="005E6510">
      <w:pPr>
        <w:pStyle w:val="ListParagraph"/>
        <w:spacing w:after="0"/>
        <w:ind w:left="0"/>
        <w:rPr>
          <w:iCs/>
          <w:lang w:val="en-GB"/>
        </w:rPr>
      </w:pPr>
    </w:p>
    <w:p w14:paraId="22CC22DA" w14:textId="77777777" w:rsidR="00851FD3" w:rsidRPr="00851FD3" w:rsidRDefault="00851FD3" w:rsidP="00851FD3">
      <w:pPr>
        <w:tabs>
          <w:tab w:val="left" w:pos="1127"/>
        </w:tabs>
        <w:rPr>
          <w:rFonts w:eastAsia="SimSun"/>
          <w:iCs/>
          <w:sz w:val="22"/>
          <w:szCs w:val="22"/>
          <w:lang w:val="en-GB" w:eastAsia="en-US"/>
        </w:rPr>
      </w:pPr>
      <w:r w:rsidRPr="00851FD3">
        <w:rPr>
          <w:rFonts w:eastAsia="SimSun"/>
          <w:iCs/>
          <w:sz w:val="22"/>
          <w:szCs w:val="22"/>
          <w:lang w:val="en-GB" w:eastAsia="en-US"/>
        </w:rPr>
        <w:t xml:space="preserve">Lighting, appliances and equipment account for more than 50% of total global electricity demand which is expected to more than double by 2050 in developing countries. However, energy-efficient lighting, appliances and equipment can save energy, emissions and in all global regions more than $60 Billion annually. </w:t>
      </w:r>
    </w:p>
    <w:p w14:paraId="0C61D5E6" w14:textId="77777777" w:rsidR="00851FD3" w:rsidRPr="00851FD3" w:rsidRDefault="00851FD3" w:rsidP="00851FD3">
      <w:pPr>
        <w:tabs>
          <w:tab w:val="left" w:pos="1127"/>
        </w:tabs>
        <w:rPr>
          <w:rFonts w:eastAsia="SimSun"/>
          <w:iCs/>
          <w:sz w:val="22"/>
          <w:szCs w:val="22"/>
          <w:lang w:val="en-GB" w:eastAsia="en-US"/>
        </w:rPr>
      </w:pPr>
      <w:r w:rsidRPr="00851FD3">
        <w:rPr>
          <w:rFonts w:eastAsia="SimSun"/>
          <w:iCs/>
          <w:sz w:val="22"/>
          <w:szCs w:val="22"/>
          <w:lang w:val="en-GB" w:eastAsia="en-US"/>
        </w:rPr>
        <w:t xml:space="preserve">Right energy efficiency policies can represent 40% of the emissions reductions to achieve the goals of the Paris Agreement. However, this potential is not being grasped and investment in energy efficiency was even decreasing over the last years. There are many reasons for that, among which are: the lack of right policies, knowledge and capacity, data and the appropriate design of bankable projects. </w:t>
      </w:r>
    </w:p>
    <w:p w14:paraId="20577DB9" w14:textId="77777777" w:rsidR="00851FD3" w:rsidRPr="00851FD3" w:rsidRDefault="00851FD3" w:rsidP="00851FD3">
      <w:pPr>
        <w:tabs>
          <w:tab w:val="left" w:pos="1127"/>
        </w:tabs>
        <w:rPr>
          <w:rFonts w:eastAsia="SimSun"/>
          <w:iCs/>
          <w:sz w:val="22"/>
          <w:szCs w:val="22"/>
          <w:lang w:val="en-GB" w:eastAsia="en-US"/>
        </w:rPr>
      </w:pPr>
      <w:r w:rsidRPr="00851FD3">
        <w:rPr>
          <w:rFonts w:eastAsia="SimSun"/>
          <w:iCs/>
          <w:sz w:val="22"/>
          <w:szCs w:val="22"/>
          <w:lang w:val="en-GB" w:eastAsia="en-US"/>
        </w:rPr>
        <w:t>With this event we aim at presenting the opportunities on market transformation of lighting, appliances and equipment, through policy regulations, green procurement, assessment tools and innovative business models. Best practices will be presented on policy design and a specific focus on a business model adopted by Argentinian municipalities for energy efficiency technology procurement, resulting in evident economies of scale.</w:t>
      </w:r>
    </w:p>
    <w:p w14:paraId="577ED947" w14:textId="77777777" w:rsidR="00851FD3" w:rsidRPr="00851FD3" w:rsidRDefault="00851FD3" w:rsidP="00851FD3">
      <w:pPr>
        <w:tabs>
          <w:tab w:val="left" w:pos="1127"/>
        </w:tabs>
        <w:rPr>
          <w:rFonts w:eastAsia="SimSun"/>
          <w:iCs/>
          <w:sz w:val="22"/>
          <w:szCs w:val="22"/>
          <w:lang w:val="en-GB" w:eastAsia="en-US"/>
        </w:rPr>
      </w:pPr>
      <w:r w:rsidRPr="00851FD3">
        <w:rPr>
          <w:rFonts w:eastAsia="SimSun"/>
          <w:iCs/>
          <w:sz w:val="22"/>
          <w:szCs w:val="22"/>
          <w:lang w:val="en-GB" w:eastAsia="en-US"/>
        </w:rPr>
        <w:t>Proposed programme:</w:t>
      </w:r>
    </w:p>
    <w:p w14:paraId="3862660A" w14:textId="78D5BD5D" w:rsidR="00851FD3" w:rsidRPr="00851FD3" w:rsidRDefault="00851FD3" w:rsidP="00851FD3">
      <w:pPr>
        <w:pStyle w:val="ListParagraph"/>
        <w:numPr>
          <w:ilvl w:val="0"/>
          <w:numId w:val="3"/>
        </w:numPr>
        <w:tabs>
          <w:tab w:val="left" w:pos="1127"/>
        </w:tabs>
        <w:rPr>
          <w:iCs/>
          <w:lang w:val="en-GB"/>
        </w:rPr>
      </w:pPr>
      <w:r w:rsidRPr="00851FD3">
        <w:rPr>
          <w:iCs/>
          <w:lang w:val="en-GB"/>
        </w:rPr>
        <w:t>Introduction to energy efficiency adoption by countries and municipalities (UNEP DTU Partnership)</w:t>
      </w:r>
    </w:p>
    <w:p w14:paraId="31F16107" w14:textId="3ACE96B4" w:rsidR="00851FD3" w:rsidRPr="00851FD3" w:rsidRDefault="00851FD3" w:rsidP="00851FD3">
      <w:pPr>
        <w:pStyle w:val="ListParagraph"/>
        <w:numPr>
          <w:ilvl w:val="0"/>
          <w:numId w:val="3"/>
        </w:numPr>
        <w:tabs>
          <w:tab w:val="left" w:pos="1127"/>
        </w:tabs>
        <w:rPr>
          <w:iCs/>
          <w:lang w:val="en-GB"/>
        </w:rPr>
      </w:pPr>
      <w:r w:rsidRPr="00851FD3">
        <w:rPr>
          <w:iCs/>
          <w:lang w:val="en-GB"/>
        </w:rPr>
        <w:t>Presentation of the Street Lighting Energy Efficiency Calculator Online Tool (UNEP DTU Partnership and UNEP U4E)</w:t>
      </w:r>
    </w:p>
    <w:p w14:paraId="142429C1" w14:textId="227847A4" w:rsidR="00851FD3" w:rsidRPr="00851FD3" w:rsidRDefault="00851FD3" w:rsidP="00851FD3">
      <w:pPr>
        <w:pStyle w:val="ListParagraph"/>
        <w:numPr>
          <w:ilvl w:val="0"/>
          <w:numId w:val="3"/>
        </w:numPr>
        <w:tabs>
          <w:tab w:val="left" w:pos="1127"/>
        </w:tabs>
        <w:rPr>
          <w:iCs/>
          <w:lang w:val="en-GB"/>
        </w:rPr>
      </w:pPr>
      <w:r w:rsidRPr="00851FD3">
        <w:rPr>
          <w:iCs/>
          <w:lang w:val="en-GB"/>
        </w:rPr>
        <w:t>Opportunities for market transformation of lighting, appliances &amp; Equipment (UNEP - U4E)</w:t>
      </w:r>
    </w:p>
    <w:p w14:paraId="4A628D48" w14:textId="7B6126A8" w:rsidR="00851FD3" w:rsidRPr="00851FD3" w:rsidRDefault="00851FD3" w:rsidP="00851FD3">
      <w:pPr>
        <w:pStyle w:val="ListParagraph"/>
        <w:numPr>
          <w:ilvl w:val="0"/>
          <w:numId w:val="3"/>
        </w:numPr>
        <w:tabs>
          <w:tab w:val="left" w:pos="1127"/>
        </w:tabs>
        <w:rPr>
          <w:iCs/>
          <w:lang w:val="en-GB"/>
        </w:rPr>
      </w:pPr>
      <w:r w:rsidRPr="00851FD3">
        <w:rPr>
          <w:iCs/>
          <w:lang w:val="en-GB"/>
        </w:rPr>
        <w:t>"Fideicomiso" - Argentinian Trust Fund for aggregated municipal procurement of energy efficiency solutions (RAMCC, Argentina).</w:t>
      </w:r>
    </w:p>
    <w:p w14:paraId="50A31DC0" w14:textId="7C262370" w:rsidR="00851FD3" w:rsidRPr="00851FD3" w:rsidRDefault="00851FD3" w:rsidP="00851FD3">
      <w:pPr>
        <w:pStyle w:val="ListParagraph"/>
        <w:numPr>
          <w:ilvl w:val="0"/>
          <w:numId w:val="3"/>
        </w:numPr>
        <w:tabs>
          <w:tab w:val="left" w:pos="1127"/>
        </w:tabs>
        <w:rPr>
          <w:iCs/>
          <w:lang w:val="en-GB"/>
        </w:rPr>
      </w:pPr>
      <w:r w:rsidRPr="00851FD3">
        <w:rPr>
          <w:iCs/>
          <w:lang w:val="en-GB"/>
        </w:rPr>
        <w:t>Discussion</w:t>
      </w:r>
      <w:r w:rsidRPr="00851FD3">
        <w:rPr>
          <w:iCs/>
          <w:lang w:val="en-GB"/>
        </w:rPr>
        <w:t xml:space="preserve"> </w:t>
      </w:r>
      <w:r w:rsidRPr="00851FD3">
        <w:rPr>
          <w:iCs/>
          <w:lang w:val="en-GB"/>
        </w:rPr>
        <w:t>Possible Compact on energy efficiency in lighting may be discussed.</w:t>
      </w:r>
    </w:p>
    <w:p w14:paraId="7706BCE8" w14:textId="77777777" w:rsidR="00851FD3" w:rsidRPr="00851FD3" w:rsidRDefault="00851FD3" w:rsidP="00851FD3">
      <w:pPr>
        <w:tabs>
          <w:tab w:val="left" w:pos="1127"/>
        </w:tabs>
        <w:rPr>
          <w:rFonts w:eastAsia="SimSun"/>
          <w:iCs/>
          <w:sz w:val="22"/>
          <w:szCs w:val="22"/>
          <w:lang w:val="en-GB" w:eastAsia="en-US"/>
        </w:rPr>
      </w:pPr>
    </w:p>
    <w:p w14:paraId="1CB92213" w14:textId="5510D23A" w:rsidR="00851FD3" w:rsidRDefault="00851FD3" w:rsidP="00851FD3">
      <w:pPr>
        <w:tabs>
          <w:tab w:val="left" w:pos="1127"/>
        </w:tabs>
        <w:rPr>
          <w:rFonts w:eastAsia="SimSun"/>
          <w:iCs/>
          <w:sz w:val="22"/>
          <w:szCs w:val="22"/>
          <w:lang w:val="en-GB" w:eastAsia="en-US"/>
        </w:rPr>
      </w:pPr>
      <w:hyperlink r:id="rId6" w:history="1">
        <w:r w:rsidRPr="003245F3">
          <w:rPr>
            <w:rStyle w:val="Hyperlink"/>
            <w:rFonts w:eastAsia="SimSun"/>
            <w:iCs/>
            <w:sz w:val="22"/>
            <w:szCs w:val="22"/>
            <w:lang w:val="en-GB" w:eastAsia="en-US"/>
          </w:rPr>
          <w:t>https://c2e2.unepdtu.org/events/policies-and-investment-on-energy-efficient-lighting-models-for-success-webinar/</w:t>
        </w:r>
      </w:hyperlink>
      <w:r>
        <w:rPr>
          <w:rFonts w:eastAsia="SimSun"/>
          <w:iCs/>
          <w:sz w:val="22"/>
          <w:szCs w:val="22"/>
          <w:lang w:val="en-GB" w:eastAsia="en-US"/>
        </w:rPr>
        <w:t xml:space="preserve"> </w:t>
      </w:r>
    </w:p>
    <w:p w14:paraId="015DE2DA" w14:textId="77777777" w:rsidR="00851FD3" w:rsidRPr="00851FD3" w:rsidRDefault="00851FD3" w:rsidP="00851FD3">
      <w:pPr>
        <w:tabs>
          <w:tab w:val="left" w:pos="1127"/>
        </w:tabs>
        <w:rPr>
          <w:rFonts w:eastAsia="SimSun"/>
          <w:iCs/>
          <w:sz w:val="22"/>
          <w:szCs w:val="22"/>
          <w:lang w:val="en-GB" w:eastAsia="en-US"/>
        </w:rPr>
      </w:pPr>
    </w:p>
    <w:p w14:paraId="6DBED7CB" w14:textId="6091D121" w:rsidR="000D146B" w:rsidRPr="00851FD3" w:rsidRDefault="00851FD3" w:rsidP="00851FD3">
      <w:pPr>
        <w:tabs>
          <w:tab w:val="left" w:pos="1127"/>
        </w:tabs>
        <w:rPr>
          <w:lang w:val="de-DE"/>
        </w:rPr>
      </w:pPr>
      <w:r w:rsidRPr="00851FD3">
        <w:rPr>
          <w:rFonts w:eastAsia="SimSun"/>
          <w:iCs/>
          <w:sz w:val="22"/>
          <w:szCs w:val="22"/>
          <w:lang w:val="de-DE" w:eastAsia="en-US"/>
        </w:rPr>
        <w:lastRenderedPageBreak/>
        <w:t xml:space="preserve">Gabriela Prata Dias, </w:t>
      </w:r>
      <w:hyperlink r:id="rId7" w:history="1">
        <w:r w:rsidRPr="003245F3">
          <w:rPr>
            <w:rStyle w:val="Hyperlink"/>
            <w:rFonts w:eastAsia="SimSun"/>
            <w:iCs/>
            <w:sz w:val="22"/>
            <w:szCs w:val="22"/>
            <w:lang w:val="de-DE" w:eastAsia="en-US"/>
          </w:rPr>
          <w:t>gdias@dtu.dk</w:t>
        </w:r>
      </w:hyperlink>
      <w:r>
        <w:rPr>
          <w:rFonts w:eastAsia="SimSun"/>
          <w:iCs/>
          <w:sz w:val="22"/>
          <w:szCs w:val="22"/>
          <w:lang w:val="de-DE" w:eastAsia="en-US"/>
        </w:rPr>
        <w:t xml:space="preserve"> </w:t>
      </w:r>
    </w:p>
    <w:sectPr w:rsidR="000D146B" w:rsidRPr="00851F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26B52"/>
    <w:multiLevelType w:val="hybridMultilevel"/>
    <w:tmpl w:val="63FA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 w15:restartNumberingAfterBreak="0">
    <w:nsid w:val="5E291CB5"/>
    <w:multiLevelType w:val="hybridMultilevel"/>
    <w:tmpl w:val="1A267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6B"/>
    <w:rsid w:val="000D146B"/>
    <w:rsid w:val="001E2A89"/>
    <w:rsid w:val="0020500F"/>
    <w:rsid w:val="00275A19"/>
    <w:rsid w:val="00352217"/>
    <w:rsid w:val="004A17DA"/>
    <w:rsid w:val="005E6510"/>
    <w:rsid w:val="005F4B61"/>
    <w:rsid w:val="00640B9F"/>
    <w:rsid w:val="006C1376"/>
    <w:rsid w:val="00851FD3"/>
    <w:rsid w:val="00E75DB9"/>
    <w:rsid w:val="00FA1802"/>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BBA880"/>
  <w15:chartTrackingRefBased/>
  <w15:docId w15:val="{ED89A9AB-1CCB-484B-B7D2-6E69C35E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N"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510"/>
    <w:pPr>
      <w:spacing w:after="160" w:line="259" w:lineRule="auto"/>
      <w:ind w:left="720"/>
      <w:contextualSpacing/>
    </w:pPr>
    <w:rPr>
      <w:rFonts w:eastAsia="SimSun"/>
      <w:sz w:val="22"/>
      <w:szCs w:val="22"/>
      <w:lang w:val="en-US" w:eastAsia="en-US"/>
    </w:rPr>
  </w:style>
  <w:style w:type="paragraph" w:styleId="ListNumber">
    <w:name w:val="List Number"/>
    <w:basedOn w:val="Normal"/>
    <w:uiPriority w:val="12"/>
    <w:qFormat/>
    <w:rsid w:val="005E6510"/>
    <w:pPr>
      <w:numPr>
        <w:numId w:val="2"/>
      </w:numPr>
      <w:spacing w:after="200" w:line="276" w:lineRule="auto"/>
    </w:pPr>
    <w:rPr>
      <w:rFonts w:cs="Times New Roman"/>
      <w:b/>
      <w:lang w:val="en-US" w:eastAsia="en-US"/>
    </w:rPr>
  </w:style>
  <w:style w:type="paragraph" w:styleId="ListNumber2">
    <w:name w:val="List Number 2"/>
    <w:basedOn w:val="Normal"/>
    <w:uiPriority w:val="12"/>
    <w:unhideWhenUsed/>
    <w:qFormat/>
    <w:rsid w:val="005E6510"/>
    <w:pPr>
      <w:numPr>
        <w:ilvl w:val="1"/>
        <w:numId w:val="2"/>
      </w:numPr>
      <w:spacing w:after="200" w:line="276" w:lineRule="auto"/>
    </w:pPr>
    <w:rPr>
      <w:rFonts w:cs="Times New Roman"/>
      <w:lang w:val="en-US" w:eastAsia="en-US"/>
    </w:rPr>
  </w:style>
  <w:style w:type="character" w:styleId="Hyperlink">
    <w:name w:val="Hyperlink"/>
    <w:basedOn w:val="DefaultParagraphFont"/>
    <w:uiPriority w:val="99"/>
    <w:unhideWhenUsed/>
    <w:rsid w:val="005E6510"/>
    <w:rPr>
      <w:color w:val="0000FF"/>
      <w:u w:val="single"/>
    </w:rPr>
  </w:style>
  <w:style w:type="character" w:styleId="UnresolvedMention">
    <w:name w:val="Unresolved Mention"/>
    <w:basedOn w:val="DefaultParagraphFont"/>
    <w:uiPriority w:val="99"/>
    <w:semiHidden/>
    <w:unhideWhenUsed/>
    <w:rsid w:val="00352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4641">
      <w:bodyDiv w:val="1"/>
      <w:marLeft w:val="0"/>
      <w:marRight w:val="0"/>
      <w:marTop w:val="0"/>
      <w:marBottom w:val="0"/>
      <w:divBdr>
        <w:top w:val="none" w:sz="0" w:space="0" w:color="auto"/>
        <w:left w:val="none" w:sz="0" w:space="0" w:color="auto"/>
        <w:bottom w:val="none" w:sz="0" w:space="0" w:color="auto"/>
        <w:right w:val="none" w:sz="0" w:space="0" w:color="auto"/>
      </w:divBdr>
    </w:div>
    <w:div w:id="203608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ias@dtu.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2e2.unepdtu.org/events/policies-and-investment-on-energy-efficient-lighting-models-for-success-webina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Xiaoyi Wang</dc:creator>
  <cp:keywords/>
  <dc:description/>
  <cp:lastModifiedBy>Xiaoyi Wang</cp:lastModifiedBy>
  <cp:revision>12</cp:revision>
  <dcterms:created xsi:type="dcterms:W3CDTF">2021-06-18T11:56:00Z</dcterms:created>
  <dcterms:modified xsi:type="dcterms:W3CDTF">2021-06-19T13:27:00Z</dcterms:modified>
</cp:coreProperties>
</file>