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00F8" w14:textId="77777777" w:rsidR="002D0BD4" w:rsidRDefault="002D0BD4" w:rsidP="002D0BD4">
      <w:pPr>
        <w:pStyle w:val="Heading1"/>
        <w:snapToGrid w:val="0"/>
        <w:spacing w:before="120" w:after="120" w:line="240" w:lineRule="auto"/>
        <w:jc w:val="both"/>
        <w:rPr>
          <w:lang w:eastAsia="zh-CN"/>
        </w:rPr>
      </w:pPr>
    </w:p>
    <w:p w14:paraId="147C5BE3" w14:textId="77777777" w:rsidR="002D0BD4" w:rsidRDefault="00FA30F9" w:rsidP="002D0BD4">
      <w:pPr>
        <w:pStyle w:val="Heading1"/>
        <w:snapToGrid w:val="0"/>
        <w:spacing w:before="120" w:line="240" w:lineRule="auto"/>
        <w:jc w:val="center"/>
        <w:rPr>
          <w:lang w:eastAsia="zh-CN"/>
        </w:rPr>
      </w:pPr>
      <w:r>
        <w:rPr>
          <w:lang w:eastAsia="zh-CN"/>
        </w:rPr>
        <w:t>Relevant documents and questions for consideration on</w:t>
      </w:r>
    </w:p>
    <w:p w14:paraId="511D0FEC" w14:textId="07604D26" w:rsidR="00FA30F9" w:rsidRDefault="00FA30F9" w:rsidP="002D0BD4">
      <w:pPr>
        <w:pStyle w:val="Heading1"/>
        <w:snapToGrid w:val="0"/>
        <w:spacing w:before="0" w:after="120" w:line="240" w:lineRule="auto"/>
        <w:jc w:val="center"/>
        <w:rPr>
          <w:lang w:eastAsia="zh-CN"/>
        </w:rPr>
      </w:pPr>
      <w:r>
        <w:rPr>
          <w:lang w:eastAsia="zh-CN"/>
        </w:rPr>
        <w:t xml:space="preserve">lessons learned from the second cycle of the Regular </w:t>
      </w:r>
      <w:r w:rsidRPr="00FA30F9">
        <w:rPr>
          <w:lang w:eastAsia="zh-CN"/>
        </w:rPr>
        <w:t>Process for Global Reporting and Assessment of the State of the Marine Environment, including Socioeconomic Aspects</w:t>
      </w:r>
    </w:p>
    <w:p w14:paraId="56F2492E" w14:textId="283491AB" w:rsidR="00FA30F9" w:rsidRDefault="00FA30F9" w:rsidP="002D0BD4">
      <w:pPr>
        <w:jc w:val="both"/>
      </w:pPr>
    </w:p>
    <w:p w14:paraId="03C5040C" w14:textId="77777777" w:rsidR="002D0BD4" w:rsidRPr="008A3AAE" w:rsidRDefault="002D0BD4" w:rsidP="002D0BD4">
      <w:pPr>
        <w:jc w:val="both"/>
      </w:pPr>
    </w:p>
    <w:p w14:paraId="61BFF5DB" w14:textId="63B8B34B" w:rsidR="00085292" w:rsidRPr="000A479E" w:rsidRDefault="002D0BD4" w:rsidP="002D0BD4">
      <w:pPr>
        <w:pStyle w:val="Heading1"/>
        <w:snapToGrid w:val="0"/>
        <w:spacing w:before="120" w:after="120" w:line="240" w:lineRule="auto"/>
        <w:ind w:left="-270"/>
        <w:jc w:val="both"/>
        <w:rPr>
          <w:sz w:val="28"/>
          <w:szCs w:val="28"/>
          <w:lang w:val="en-GB"/>
        </w:rPr>
      </w:pPr>
      <w:r>
        <w:rPr>
          <w:sz w:val="28"/>
          <w:szCs w:val="28"/>
        </w:rPr>
        <w:t xml:space="preserve">I.   </w:t>
      </w:r>
      <w:r w:rsidR="00F541DD" w:rsidRPr="000A479E">
        <w:rPr>
          <w:sz w:val="28"/>
          <w:szCs w:val="28"/>
        </w:rPr>
        <w:t>Relevant</w:t>
      </w:r>
      <w:r w:rsidR="00F541DD" w:rsidRPr="000A479E">
        <w:rPr>
          <w:sz w:val="28"/>
          <w:szCs w:val="28"/>
          <w:lang w:val="en-GB"/>
        </w:rPr>
        <w:t xml:space="preserve"> </w:t>
      </w:r>
      <w:r w:rsidR="00F541DD" w:rsidRPr="000A479E">
        <w:rPr>
          <w:sz w:val="28"/>
          <w:szCs w:val="28"/>
          <w:lang w:val="en-GB" w:eastAsia="zh-CN"/>
        </w:rPr>
        <w:t>d</w:t>
      </w:r>
      <w:r w:rsidR="00DA53A6" w:rsidRPr="000A479E">
        <w:rPr>
          <w:sz w:val="28"/>
          <w:szCs w:val="28"/>
          <w:lang w:val="en-GB" w:eastAsia="zh-CN"/>
        </w:rPr>
        <w:t>ocuments</w:t>
      </w:r>
    </w:p>
    <w:p w14:paraId="58D93A56" w14:textId="7A2AC746" w:rsidR="00E36115"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1.   </w:t>
      </w:r>
      <w:r w:rsidR="00E36115" w:rsidRPr="002D0BD4">
        <w:rPr>
          <w:rFonts w:eastAsia="SimSun"/>
          <w:b/>
          <w:bCs/>
          <w:sz w:val="28"/>
          <w:szCs w:val="28"/>
          <w:lang w:val="en-GB" w:eastAsia="en-GB"/>
        </w:rPr>
        <w:t>General Assembly resolutions</w:t>
      </w:r>
    </w:p>
    <w:p w14:paraId="209FE1E4" w14:textId="77777777" w:rsidR="00E36115" w:rsidRDefault="00E36115"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General </w:t>
      </w:r>
      <w:r w:rsidRPr="002D0BD4">
        <w:rPr>
          <w:rFonts w:ascii="Times New Roman" w:eastAsia="Times New Roman" w:hAnsi="Times New Roman" w:cs="Times New Roman"/>
          <w:sz w:val="24"/>
          <w:szCs w:val="24"/>
          <w:lang w:val="en-GB" w:eastAsia="zh-CN"/>
        </w:rPr>
        <w:t>Assembly</w:t>
      </w:r>
      <w:r w:rsidRPr="00F22461">
        <w:rPr>
          <w:rFonts w:ascii="Times New Roman" w:hAnsi="Times New Roman" w:cs="Times New Roman"/>
          <w:sz w:val="24"/>
          <w:szCs w:val="24"/>
          <w:lang w:val="en-GB"/>
        </w:rPr>
        <w:t xml:space="preserve"> resolutions on oceans and the law of the sea: </w:t>
      </w:r>
      <w:hyperlink r:id="rId11" w:history="1">
        <w:r w:rsidRPr="00F22461">
          <w:rPr>
            <w:rStyle w:val="Hyperlink"/>
            <w:rFonts w:ascii="Times New Roman" w:hAnsi="Times New Roman" w:cs="Times New Roman"/>
            <w:sz w:val="24"/>
            <w:szCs w:val="24"/>
            <w:lang w:val="en-GB"/>
          </w:rPr>
          <w:t>70/235</w:t>
        </w:r>
      </w:hyperlink>
      <w:r w:rsidRPr="00F22461">
        <w:rPr>
          <w:rFonts w:ascii="Times New Roman" w:hAnsi="Times New Roman" w:cs="Times New Roman"/>
          <w:sz w:val="24"/>
          <w:szCs w:val="24"/>
          <w:lang w:val="en-GB"/>
        </w:rPr>
        <w:t xml:space="preserve"> (General Assembly decides to launch the second cycle), </w:t>
      </w:r>
      <w:hyperlink r:id="rId12" w:history="1">
        <w:r w:rsidRPr="00F22461">
          <w:rPr>
            <w:rStyle w:val="Hyperlink"/>
            <w:rFonts w:ascii="Times New Roman" w:hAnsi="Times New Roman" w:cs="Times New Roman"/>
            <w:sz w:val="24"/>
            <w:szCs w:val="24"/>
            <w:lang w:val="en-GB"/>
          </w:rPr>
          <w:t>71/257</w:t>
        </w:r>
      </w:hyperlink>
      <w:r w:rsidRPr="00F22461">
        <w:rPr>
          <w:rFonts w:ascii="Times New Roman" w:hAnsi="Times New Roman" w:cs="Times New Roman"/>
          <w:sz w:val="24"/>
          <w:szCs w:val="24"/>
          <w:lang w:val="en-GB"/>
        </w:rPr>
        <w:t xml:space="preserve">, </w:t>
      </w:r>
      <w:hyperlink r:id="rId13" w:history="1">
        <w:r w:rsidRPr="00F22461">
          <w:rPr>
            <w:rStyle w:val="Hyperlink"/>
            <w:rFonts w:ascii="Times New Roman" w:hAnsi="Times New Roman" w:cs="Times New Roman"/>
            <w:sz w:val="24"/>
            <w:szCs w:val="24"/>
            <w:lang w:val="en-GB"/>
          </w:rPr>
          <w:t>72/73</w:t>
        </w:r>
      </w:hyperlink>
      <w:r w:rsidRPr="00F22461">
        <w:rPr>
          <w:rFonts w:ascii="Times New Roman" w:hAnsi="Times New Roman" w:cs="Times New Roman"/>
          <w:sz w:val="24"/>
          <w:szCs w:val="24"/>
          <w:lang w:val="en-GB"/>
        </w:rPr>
        <w:t xml:space="preserve">, </w:t>
      </w:r>
      <w:hyperlink r:id="rId14" w:history="1">
        <w:r w:rsidRPr="00F22461">
          <w:rPr>
            <w:rStyle w:val="Hyperlink"/>
            <w:rFonts w:ascii="Times New Roman" w:hAnsi="Times New Roman" w:cs="Times New Roman"/>
            <w:sz w:val="24"/>
            <w:szCs w:val="24"/>
            <w:lang w:val="en-GB"/>
          </w:rPr>
          <w:t>73/124</w:t>
        </w:r>
      </w:hyperlink>
      <w:r w:rsidRPr="00F22461">
        <w:rPr>
          <w:rFonts w:ascii="Times New Roman" w:hAnsi="Times New Roman" w:cs="Times New Roman"/>
          <w:sz w:val="24"/>
          <w:szCs w:val="24"/>
          <w:lang w:val="en-GB"/>
        </w:rPr>
        <w:t xml:space="preserve">, </w:t>
      </w:r>
      <w:hyperlink r:id="rId15" w:history="1">
        <w:r w:rsidRPr="00F22461">
          <w:rPr>
            <w:rStyle w:val="Hyperlink"/>
            <w:rFonts w:ascii="Times New Roman" w:hAnsi="Times New Roman" w:cs="Times New Roman"/>
            <w:sz w:val="24"/>
            <w:szCs w:val="24"/>
            <w:lang w:val="en-GB"/>
          </w:rPr>
          <w:t>74/19</w:t>
        </w:r>
      </w:hyperlink>
      <w:r w:rsidRPr="00F22461">
        <w:rPr>
          <w:rFonts w:ascii="Times New Roman" w:hAnsi="Times New Roman" w:cs="Times New Roman"/>
          <w:sz w:val="24"/>
          <w:szCs w:val="24"/>
          <w:lang w:val="en-GB"/>
        </w:rPr>
        <w:t xml:space="preserve">. </w:t>
      </w:r>
    </w:p>
    <w:p w14:paraId="481BD62F" w14:textId="6551774C" w:rsidR="00E36115"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2.   </w:t>
      </w:r>
      <w:r w:rsidR="00E36115" w:rsidRPr="002D0BD4">
        <w:rPr>
          <w:rFonts w:eastAsia="SimSun"/>
          <w:b/>
          <w:bCs/>
          <w:sz w:val="28"/>
          <w:szCs w:val="28"/>
          <w:lang w:val="en-GB" w:eastAsia="en-GB"/>
        </w:rPr>
        <w:t>Reports of the Ad Hoc Working Group of the Whole on the Regular Process</w:t>
      </w:r>
    </w:p>
    <w:p w14:paraId="6EF49D5E" w14:textId="77777777" w:rsidR="00E36115" w:rsidRDefault="00E36115"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Reports on the work of the Ad Hoc Working Group of the Whole on the Regular Process: </w:t>
      </w:r>
      <w:r w:rsidRPr="002D0BD4">
        <w:rPr>
          <w:rFonts w:ascii="Times New Roman" w:eastAsia="Times New Roman" w:hAnsi="Times New Roman" w:cs="Times New Roman"/>
          <w:sz w:val="24"/>
          <w:szCs w:val="24"/>
          <w:lang w:val="en-GB" w:eastAsia="zh-CN"/>
        </w:rPr>
        <w:t>Seventh</w:t>
      </w:r>
      <w:r w:rsidRPr="00F22461">
        <w:rPr>
          <w:rFonts w:ascii="Times New Roman" w:hAnsi="Times New Roman" w:cs="Times New Roman"/>
          <w:sz w:val="24"/>
          <w:szCs w:val="24"/>
          <w:lang w:val="en-GB"/>
        </w:rPr>
        <w:t xml:space="preserve"> Meeting (</w:t>
      </w:r>
      <w:hyperlink r:id="rId16" w:history="1">
        <w:r w:rsidRPr="00F22461">
          <w:rPr>
            <w:rStyle w:val="Hyperlink"/>
            <w:rFonts w:ascii="Times New Roman" w:hAnsi="Times New Roman" w:cs="Times New Roman"/>
            <w:sz w:val="24"/>
            <w:szCs w:val="24"/>
            <w:lang w:val="en-GB"/>
          </w:rPr>
          <w:t>A/71/362</w:t>
        </w:r>
      </w:hyperlink>
      <w:r w:rsidRPr="00F22461">
        <w:rPr>
          <w:rFonts w:ascii="Times New Roman" w:hAnsi="Times New Roman" w:cs="Times New Roman"/>
          <w:sz w:val="24"/>
          <w:szCs w:val="24"/>
          <w:lang w:val="en-GB"/>
        </w:rPr>
        <w:t>), Eighth Meeting (</w:t>
      </w:r>
      <w:hyperlink r:id="rId17" w:history="1">
        <w:r w:rsidRPr="00F22461">
          <w:rPr>
            <w:rStyle w:val="Hyperlink"/>
            <w:rFonts w:ascii="Times New Roman" w:hAnsi="Times New Roman" w:cs="Times New Roman"/>
            <w:sz w:val="24"/>
            <w:szCs w:val="24"/>
            <w:lang w:val="en-GB"/>
          </w:rPr>
          <w:t>A/72/89</w:t>
        </w:r>
      </w:hyperlink>
      <w:r w:rsidRPr="00F22461">
        <w:rPr>
          <w:rFonts w:ascii="Times New Roman" w:hAnsi="Times New Roman" w:cs="Times New Roman"/>
          <w:sz w:val="24"/>
          <w:szCs w:val="24"/>
          <w:lang w:val="en-GB"/>
        </w:rPr>
        <w:t>), Ninth Meeting (</w:t>
      </w:r>
      <w:hyperlink r:id="rId18" w:history="1">
        <w:r w:rsidRPr="00F22461">
          <w:rPr>
            <w:rStyle w:val="Hyperlink"/>
            <w:rFonts w:ascii="Times New Roman" w:hAnsi="Times New Roman" w:cs="Times New Roman"/>
            <w:sz w:val="24"/>
            <w:szCs w:val="24"/>
            <w:lang w:val="en-GB"/>
          </w:rPr>
          <w:t>A/72/494</w:t>
        </w:r>
      </w:hyperlink>
      <w:r w:rsidRPr="00F22461">
        <w:rPr>
          <w:rFonts w:ascii="Times New Roman" w:hAnsi="Times New Roman" w:cs="Times New Roman"/>
          <w:sz w:val="24"/>
          <w:szCs w:val="24"/>
          <w:lang w:val="en-GB"/>
        </w:rPr>
        <w:t>), Tenth Meeting (</w:t>
      </w:r>
      <w:hyperlink r:id="rId19" w:history="1">
        <w:r w:rsidRPr="00F22461">
          <w:rPr>
            <w:rStyle w:val="Hyperlink"/>
            <w:rFonts w:ascii="Times New Roman" w:hAnsi="Times New Roman" w:cs="Times New Roman"/>
            <w:sz w:val="24"/>
            <w:szCs w:val="24"/>
            <w:lang w:val="en-GB"/>
          </w:rPr>
          <w:t>A/73/74</w:t>
        </w:r>
      </w:hyperlink>
      <w:r w:rsidRPr="00F22461">
        <w:rPr>
          <w:rFonts w:ascii="Times New Roman" w:hAnsi="Times New Roman" w:cs="Times New Roman"/>
          <w:sz w:val="24"/>
          <w:szCs w:val="24"/>
          <w:lang w:val="en-GB"/>
        </w:rPr>
        <w:t>), Eleventh Meeting (</w:t>
      </w:r>
      <w:hyperlink r:id="rId20" w:history="1">
        <w:r w:rsidRPr="00F22461">
          <w:rPr>
            <w:rStyle w:val="Hyperlink"/>
            <w:rFonts w:ascii="Times New Roman" w:hAnsi="Times New Roman" w:cs="Times New Roman"/>
            <w:sz w:val="24"/>
            <w:szCs w:val="24"/>
            <w:lang w:val="en-GB"/>
          </w:rPr>
          <w:t>73/373</w:t>
        </w:r>
      </w:hyperlink>
      <w:r w:rsidRPr="00F22461">
        <w:rPr>
          <w:rFonts w:ascii="Times New Roman" w:hAnsi="Times New Roman" w:cs="Times New Roman"/>
          <w:sz w:val="24"/>
          <w:szCs w:val="24"/>
          <w:lang w:val="en-GB"/>
        </w:rPr>
        <w:t>), Twelfth Meeting (</w:t>
      </w:r>
      <w:hyperlink r:id="rId21" w:history="1">
        <w:r w:rsidRPr="00F22461">
          <w:rPr>
            <w:rStyle w:val="Hyperlink"/>
            <w:rFonts w:ascii="Times New Roman" w:hAnsi="Times New Roman" w:cs="Times New Roman"/>
            <w:sz w:val="24"/>
            <w:szCs w:val="24"/>
            <w:lang w:val="en-GB"/>
          </w:rPr>
          <w:t>A/74/315</w:t>
        </w:r>
      </w:hyperlink>
      <w:r w:rsidRPr="00F22461">
        <w:rPr>
          <w:rFonts w:ascii="Times New Roman" w:hAnsi="Times New Roman" w:cs="Times New Roman"/>
          <w:sz w:val="24"/>
          <w:szCs w:val="24"/>
          <w:lang w:val="en-GB"/>
        </w:rPr>
        <w:t>).</w:t>
      </w:r>
    </w:p>
    <w:p w14:paraId="30718CFD" w14:textId="686EF5B7" w:rsidR="00734D07" w:rsidRDefault="002D0BD4" w:rsidP="002D0BD4">
      <w:pPr>
        <w:widowControl w:val="0"/>
        <w:autoSpaceDE w:val="0"/>
        <w:autoSpaceDN w:val="0"/>
        <w:adjustRightInd w:val="0"/>
        <w:spacing w:before="120" w:after="120"/>
        <w:jc w:val="both"/>
        <w:rPr>
          <w:lang w:val="en-GB"/>
        </w:rPr>
      </w:pPr>
      <w:r>
        <w:rPr>
          <w:rFonts w:eastAsia="SimSun"/>
          <w:b/>
          <w:bCs/>
          <w:sz w:val="28"/>
          <w:szCs w:val="28"/>
          <w:lang w:val="en-GB" w:eastAsia="en-GB"/>
        </w:rPr>
        <w:t xml:space="preserve">3.   </w:t>
      </w:r>
      <w:r w:rsidR="00734D07" w:rsidRPr="002D0BD4">
        <w:rPr>
          <w:rFonts w:eastAsia="SimSun"/>
          <w:b/>
          <w:bCs/>
          <w:sz w:val="28"/>
          <w:szCs w:val="28"/>
          <w:lang w:val="en-GB" w:eastAsia="en-GB"/>
        </w:rPr>
        <w:t>Lessons learned from the first cycle of the Regular Process</w:t>
      </w:r>
    </w:p>
    <w:p w14:paraId="49ADD3C3" w14:textId="29B9EEEB" w:rsidR="00734D07" w:rsidRPr="006C45B6"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22" w:history="1">
        <w:r w:rsidR="00734D07" w:rsidRPr="00F22461">
          <w:rPr>
            <w:rStyle w:val="Hyperlink"/>
            <w:rFonts w:ascii="Times New Roman" w:hAnsi="Times New Roman" w:cs="Times New Roman"/>
            <w:sz w:val="24"/>
            <w:szCs w:val="24"/>
            <w:lang w:val="en-GB"/>
          </w:rPr>
          <w:t>Abstract of views on lessons learned from the first cycle</w:t>
        </w:r>
      </w:hyperlink>
    </w:p>
    <w:p w14:paraId="0A86A120" w14:textId="033C35A2" w:rsidR="00F52D10"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4.   </w:t>
      </w:r>
      <w:r w:rsidR="00F52D10" w:rsidRPr="002D0BD4">
        <w:rPr>
          <w:rFonts w:eastAsia="SimSun"/>
          <w:b/>
          <w:bCs/>
          <w:sz w:val="28"/>
          <w:szCs w:val="28"/>
          <w:lang w:val="en-GB" w:eastAsia="en-GB"/>
        </w:rPr>
        <w:t>Programme of work</w:t>
      </w:r>
    </w:p>
    <w:p w14:paraId="3C62DE8B" w14:textId="5BFA34FD" w:rsidR="00A7758F" w:rsidRDefault="00A7758F"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Programme of work for the period 2017-2020 of the second </w:t>
      </w:r>
      <w:r w:rsidRPr="002D0BD4">
        <w:rPr>
          <w:rFonts w:ascii="Times New Roman" w:eastAsia="Times New Roman" w:hAnsi="Times New Roman" w:cs="Times New Roman"/>
          <w:sz w:val="24"/>
          <w:szCs w:val="24"/>
          <w:lang w:val="en-GB" w:eastAsia="zh-CN"/>
        </w:rPr>
        <w:t>cycle</w:t>
      </w:r>
      <w:r w:rsidRPr="00F22461">
        <w:rPr>
          <w:rFonts w:ascii="Times New Roman" w:hAnsi="Times New Roman" w:cs="Times New Roman"/>
          <w:sz w:val="24"/>
          <w:szCs w:val="24"/>
          <w:lang w:val="en-GB"/>
        </w:rPr>
        <w:t xml:space="preserve"> of the Regular Process </w:t>
      </w:r>
      <w:r w:rsidR="006D3CC8" w:rsidRPr="00F22461">
        <w:rPr>
          <w:rFonts w:ascii="Times New Roman" w:hAnsi="Times New Roman" w:cs="Times New Roman"/>
          <w:sz w:val="24"/>
          <w:szCs w:val="24"/>
          <w:lang w:val="en-GB"/>
        </w:rPr>
        <w:t>(</w:t>
      </w:r>
      <w:hyperlink r:id="rId23" w:history="1">
        <w:r w:rsidR="006D3CC8" w:rsidRPr="00F22461">
          <w:rPr>
            <w:rStyle w:val="Hyperlink"/>
            <w:rFonts w:ascii="Times New Roman" w:hAnsi="Times New Roman" w:cs="Times New Roman"/>
            <w:sz w:val="24"/>
            <w:szCs w:val="24"/>
            <w:lang w:val="en-GB"/>
          </w:rPr>
          <w:t>A/71/362</w:t>
        </w:r>
      </w:hyperlink>
      <w:r w:rsidR="006D3CC8" w:rsidRPr="00F22461">
        <w:rPr>
          <w:rFonts w:ascii="Times New Roman" w:hAnsi="Times New Roman" w:cs="Times New Roman"/>
          <w:sz w:val="24"/>
          <w:szCs w:val="24"/>
          <w:lang w:val="en-GB"/>
        </w:rPr>
        <w:t>, attachment to the recommendations</w:t>
      </w:r>
      <w:r w:rsidRPr="00F22461">
        <w:rPr>
          <w:rFonts w:ascii="Times New Roman" w:hAnsi="Times New Roman" w:cs="Times New Roman"/>
          <w:sz w:val="24"/>
          <w:szCs w:val="24"/>
          <w:lang w:val="en-GB"/>
        </w:rPr>
        <w:t>)</w:t>
      </w:r>
    </w:p>
    <w:p w14:paraId="08BCCED3" w14:textId="515D1E9A" w:rsidR="00A85BA7" w:rsidRPr="00A85BA7" w:rsidRDefault="00A85BA7"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Secretariat activities relating to the Regular Process (A/71/362, Annex) </w:t>
      </w:r>
    </w:p>
    <w:p w14:paraId="0194D1D6" w14:textId="77F800D6" w:rsidR="00B5131B"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5.   </w:t>
      </w:r>
      <w:r w:rsidR="00B5131B" w:rsidRPr="002D0BD4">
        <w:rPr>
          <w:rFonts w:eastAsia="SimSun"/>
          <w:b/>
          <w:bCs/>
          <w:sz w:val="28"/>
          <w:szCs w:val="28"/>
          <w:lang w:val="en-GB" w:eastAsia="en-GB"/>
        </w:rPr>
        <w:t>Group of Experts</w:t>
      </w:r>
    </w:p>
    <w:p w14:paraId="03B89F6A" w14:textId="0BB9682A" w:rsidR="004D6E5B" w:rsidRDefault="004D6E5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Terms of reference </w:t>
      </w:r>
      <w:r w:rsidR="00A7758F" w:rsidRPr="00F22461">
        <w:rPr>
          <w:rFonts w:ascii="Times New Roman" w:hAnsi="Times New Roman" w:cs="Times New Roman"/>
          <w:sz w:val="24"/>
          <w:szCs w:val="24"/>
          <w:lang w:val="en-GB"/>
        </w:rPr>
        <w:t xml:space="preserve">and working methods </w:t>
      </w:r>
      <w:r w:rsidRPr="00F22461">
        <w:rPr>
          <w:rFonts w:ascii="Times New Roman" w:hAnsi="Times New Roman" w:cs="Times New Roman"/>
          <w:sz w:val="24"/>
          <w:szCs w:val="24"/>
          <w:lang w:val="en-GB"/>
        </w:rPr>
        <w:t>for the Group of Experts</w:t>
      </w:r>
      <w:r w:rsidR="00A7758F" w:rsidRPr="00F22461">
        <w:rPr>
          <w:rFonts w:ascii="Times New Roman" w:hAnsi="Times New Roman" w:cs="Times New Roman"/>
          <w:sz w:val="24"/>
          <w:szCs w:val="24"/>
          <w:lang w:val="en-GB"/>
        </w:rPr>
        <w:t xml:space="preserve"> (</w:t>
      </w:r>
      <w:hyperlink r:id="rId24" w:history="1">
        <w:r w:rsidR="00552A5A" w:rsidRPr="00F22461">
          <w:rPr>
            <w:rStyle w:val="Hyperlink"/>
            <w:rFonts w:ascii="Times New Roman" w:hAnsi="Times New Roman" w:cs="Times New Roman"/>
            <w:sz w:val="24"/>
            <w:szCs w:val="24"/>
            <w:lang w:val="en-GB"/>
          </w:rPr>
          <w:t>A/72/89</w:t>
        </w:r>
      </w:hyperlink>
      <w:r w:rsidR="00A7758F" w:rsidRPr="00F22461">
        <w:rPr>
          <w:rFonts w:ascii="Times New Roman" w:hAnsi="Times New Roman" w:cs="Times New Roman"/>
          <w:sz w:val="24"/>
          <w:szCs w:val="24"/>
          <w:lang w:val="en-GB"/>
        </w:rPr>
        <w:t>, Annex)</w:t>
      </w:r>
    </w:p>
    <w:p w14:paraId="62DDCBAE" w14:textId="2BF279CC" w:rsidR="00CA4625" w:rsidRDefault="00CA4625"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2D0BD4">
        <w:rPr>
          <w:rFonts w:ascii="Times New Roman" w:eastAsia="Times New Roman" w:hAnsi="Times New Roman" w:cs="Times New Roman"/>
          <w:sz w:val="24"/>
          <w:szCs w:val="24"/>
          <w:lang w:val="en-GB" w:eastAsia="zh-CN"/>
        </w:rPr>
        <w:t>Designations</w:t>
      </w:r>
      <w:r w:rsidRPr="00F22461">
        <w:rPr>
          <w:rFonts w:ascii="Times New Roman" w:hAnsi="Times New Roman" w:cs="Times New Roman"/>
          <w:sz w:val="24"/>
          <w:szCs w:val="24"/>
          <w:lang w:val="en-GB"/>
        </w:rPr>
        <w:t xml:space="preserve"> of lead members and co-lead members (</w:t>
      </w:r>
      <w:hyperlink r:id="rId25" w:history="1">
        <w:r w:rsidRPr="00F22461">
          <w:rPr>
            <w:rStyle w:val="Hyperlink"/>
            <w:rFonts w:ascii="Times New Roman" w:hAnsi="Times New Roman" w:cs="Times New Roman"/>
            <w:sz w:val="24"/>
            <w:szCs w:val="24"/>
            <w:lang w:val="en-GB"/>
          </w:rPr>
          <w:t>A/73/373</w:t>
        </w:r>
      </w:hyperlink>
      <w:r w:rsidRPr="00F22461">
        <w:rPr>
          <w:rFonts w:ascii="Times New Roman" w:hAnsi="Times New Roman" w:cs="Times New Roman"/>
          <w:sz w:val="24"/>
          <w:szCs w:val="24"/>
          <w:lang w:val="en-GB"/>
        </w:rPr>
        <w:t>, Annex II, Enclosure II)</w:t>
      </w:r>
    </w:p>
    <w:p w14:paraId="10374C59" w14:textId="4A1C485C" w:rsidR="00894BB9" w:rsidRPr="00894BB9"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26" w:history="1">
        <w:r w:rsidR="00894BB9" w:rsidRPr="00F22461">
          <w:rPr>
            <w:rStyle w:val="Hyperlink"/>
            <w:rFonts w:ascii="Times New Roman" w:hAnsi="Times New Roman" w:cs="Times New Roman"/>
            <w:sz w:val="24"/>
            <w:szCs w:val="24"/>
            <w:lang w:val="en-GB"/>
          </w:rPr>
          <w:t>Revised designations of lead members and co-lead members</w:t>
        </w:r>
      </w:hyperlink>
    </w:p>
    <w:p w14:paraId="217A4385" w14:textId="77777777" w:rsidR="00B5131B" w:rsidRPr="00F22461" w:rsidRDefault="00B5131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Guidance for Contributors Part I (</w:t>
      </w:r>
      <w:hyperlink r:id="rId27" w:history="1">
        <w:r w:rsidRPr="00F22461">
          <w:rPr>
            <w:rStyle w:val="Hyperlink"/>
            <w:rFonts w:ascii="Times New Roman" w:hAnsi="Times New Roman" w:cs="Times New Roman"/>
            <w:sz w:val="24"/>
            <w:szCs w:val="24"/>
            <w:lang w:val="en-GB"/>
          </w:rPr>
          <w:t>A/72/494</w:t>
        </w:r>
      </w:hyperlink>
      <w:r w:rsidRPr="00F22461">
        <w:rPr>
          <w:rFonts w:ascii="Times New Roman" w:hAnsi="Times New Roman" w:cs="Times New Roman"/>
          <w:sz w:val="24"/>
          <w:szCs w:val="24"/>
          <w:lang w:val="en-GB"/>
        </w:rPr>
        <w:t>, Annex IV)</w:t>
      </w:r>
    </w:p>
    <w:p w14:paraId="3677F66D" w14:textId="64239467" w:rsidR="00B5131B" w:rsidRPr="00B5131B" w:rsidRDefault="00B5131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Guidance for Contributors Part II (</w:t>
      </w:r>
      <w:hyperlink r:id="rId28" w:history="1">
        <w:r w:rsidRPr="00F22461">
          <w:rPr>
            <w:rStyle w:val="Hyperlink"/>
            <w:rFonts w:ascii="Times New Roman" w:hAnsi="Times New Roman" w:cs="Times New Roman"/>
            <w:sz w:val="24"/>
            <w:szCs w:val="24"/>
            <w:lang w:val="en-GB"/>
          </w:rPr>
          <w:t>A/73/74</w:t>
        </w:r>
      </w:hyperlink>
      <w:r w:rsidRPr="00F22461">
        <w:rPr>
          <w:rFonts w:ascii="Times New Roman" w:hAnsi="Times New Roman" w:cs="Times New Roman"/>
          <w:sz w:val="24"/>
          <w:szCs w:val="24"/>
          <w:lang w:val="en-GB"/>
        </w:rPr>
        <w:t>, Annex II)</w:t>
      </w:r>
    </w:p>
    <w:p w14:paraId="3903F7FD" w14:textId="0F33BF3E" w:rsidR="00B5131B"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6.   </w:t>
      </w:r>
      <w:r w:rsidR="00B5131B" w:rsidRPr="002D0BD4">
        <w:rPr>
          <w:rFonts w:eastAsia="SimSun"/>
          <w:b/>
          <w:bCs/>
          <w:sz w:val="28"/>
          <w:szCs w:val="28"/>
          <w:lang w:val="en-GB" w:eastAsia="en-GB"/>
        </w:rPr>
        <w:t>Pool of Experts</w:t>
      </w:r>
    </w:p>
    <w:p w14:paraId="215F3D76" w14:textId="77777777" w:rsidR="00B5131B" w:rsidRPr="00F22461" w:rsidRDefault="00B5131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Mechanism for the establishment of the Pool of Experts for the second cycle (</w:t>
      </w:r>
      <w:hyperlink r:id="rId29" w:history="1">
        <w:r w:rsidRPr="00F22461">
          <w:rPr>
            <w:rStyle w:val="Hyperlink"/>
            <w:rFonts w:ascii="Times New Roman" w:hAnsi="Times New Roman" w:cs="Times New Roman"/>
            <w:sz w:val="24"/>
            <w:szCs w:val="24"/>
            <w:lang w:val="en-GB"/>
          </w:rPr>
          <w:t>A/72/494</w:t>
        </w:r>
      </w:hyperlink>
      <w:r w:rsidRPr="00F22461">
        <w:rPr>
          <w:rFonts w:ascii="Times New Roman" w:hAnsi="Times New Roman" w:cs="Times New Roman"/>
          <w:sz w:val="24"/>
          <w:szCs w:val="24"/>
          <w:lang w:val="en-GB"/>
        </w:rPr>
        <w:t>, Annex I)</w:t>
      </w:r>
    </w:p>
    <w:p w14:paraId="5DC5AE09" w14:textId="77777777" w:rsidR="00B5131B"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0" w:history="1">
        <w:r w:rsidR="00B5131B" w:rsidRPr="00F22461">
          <w:rPr>
            <w:rStyle w:val="Hyperlink"/>
            <w:rFonts w:ascii="Times New Roman" w:hAnsi="Times New Roman" w:cs="Times New Roman"/>
            <w:sz w:val="24"/>
            <w:szCs w:val="24"/>
            <w:lang w:val="en-GB"/>
          </w:rPr>
          <w:t>Revised mechanism for the establishment of the Pool of Experts for the second cycle</w:t>
        </w:r>
      </w:hyperlink>
    </w:p>
    <w:p w14:paraId="03B264C4" w14:textId="77777777" w:rsidR="00B5131B"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1" w:history="1">
        <w:r w:rsidR="00B5131B" w:rsidRPr="00F22461">
          <w:rPr>
            <w:rStyle w:val="Hyperlink"/>
            <w:rFonts w:ascii="Times New Roman" w:hAnsi="Times New Roman" w:cs="Times New Roman"/>
            <w:sz w:val="24"/>
            <w:szCs w:val="24"/>
            <w:lang w:val="en-GB"/>
          </w:rPr>
          <w:t>Gaps of expertise in the Pool of Experts</w:t>
        </w:r>
      </w:hyperlink>
    </w:p>
    <w:p w14:paraId="6DD07058" w14:textId="77777777" w:rsidR="00B5131B"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2" w:history="1">
        <w:r w:rsidR="00B5131B" w:rsidRPr="00F22461">
          <w:rPr>
            <w:rStyle w:val="Hyperlink"/>
            <w:rFonts w:ascii="Times New Roman" w:hAnsi="Times New Roman" w:cs="Times New Roman"/>
            <w:sz w:val="24"/>
            <w:szCs w:val="24"/>
            <w:lang w:val="en-GB"/>
          </w:rPr>
          <w:t>List of the members of the Pool of Experts of the second cycle</w:t>
        </w:r>
      </w:hyperlink>
      <w:r w:rsidR="00B5131B" w:rsidRPr="00F22461">
        <w:rPr>
          <w:rFonts w:ascii="Times New Roman" w:hAnsi="Times New Roman" w:cs="Times New Roman"/>
          <w:sz w:val="24"/>
          <w:szCs w:val="24"/>
          <w:lang w:val="en-GB"/>
        </w:rPr>
        <w:t xml:space="preserve"> (as at 1 May 2020)</w:t>
      </w:r>
    </w:p>
    <w:p w14:paraId="5047016A" w14:textId="378677B8" w:rsidR="00B93FCA"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7.   </w:t>
      </w:r>
      <w:r w:rsidR="00B93FCA" w:rsidRPr="002D0BD4">
        <w:rPr>
          <w:rFonts w:eastAsia="SimSun"/>
          <w:b/>
          <w:bCs/>
          <w:sz w:val="28"/>
          <w:szCs w:val="28"/>
          <w:lang w:val="en-GB" w:eastAsia="en-GB"/>
        </w:rPr>
        <w:t>National Focal Points</w:t>
      </w:r>
    </w:p>
    <w:p w14:paraId="2B3209EA" w14:textId="50063026" w:rsidR="00B93FCA" w:rsidRPr="00B93FCA" w:rsidRDefault="00B93FCA"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Terms of reference for National Focal Points (</w:t>
      </w:r>
      <w:hyperlink r:id="rId33" w:history="1">
        <w:r w:rsidRPr="00F22461">
          <w:rPr>
            <w:rStyle w:val="Hyperlink"/>
            <w:rFonts w:ascii="Times New Roman" w:hAnsi="Times New Roman" w:cs="Times New Roman"/>
            <w:sz w:val="24"/>
            <w:szCs w:val="24"/>
            <w:lang w:val="en-GB"/>
          </w:rPr>
          <w:t>A/72/494</w:t>
        </w:r>
      </w:hyperlink>
      <w:r w:rsidRPr="00F22461">
        <w:rPr>
          <w:rFonts w:ascii="Times New Roman" w:hAnsi="Times New Roman" w:cs="Times New Roman"/>
          <w:sz w:val="24"/>
          <w:szCs w:val="24"/>
          <w:lang w:val="en-GB"/>
        </w:rPr>
        <w:t>, Annex II)</w:t>
      </w:r>
    </w:p>
    <w:p w14:paraId="3434B823" w14:textId="7C72E31B" w:rsidR="007B164A"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lastRenderedPageBreak/>
        <w:t xml:space="preserve">8.   </w:t>
      </w:r>
      <w:r w:rsidR="007B164A" w:rsidRPr="002D0BD4">
        <w:rPr>
          <w:rFonts w:eastAsia="SimSun"/>
          <w:b/>
          <w:bCs/>
          <w:sz w:val="28"/>
          <w:szCs w:val="28"/>
          <w:lang w:val="en-GB" w:eastAsia="en-GB"/>
        </w:rPr>
        <w:t xml:space="preserve">Technical abstracts of the </w:t>
      </w:r>
      <w:r w:rsidR="00E36115" w:rsidRPr="002D0BD4">
        <w:rPr>
          <w:rFonts w:eastAsia="SimSun"/>
          <w:b/>
          <w:bCs/>
          <w:sz w:val="28"/>
          <w:szCs w:val="28"/>
          <w:lang w:val="en-GB" w:eastAsia="en-GB"/>
        </w:rPr>
        <w:t>F</w:t>
      </w:r>
      <w:r w:rsidR="007B164A" w:rsidRPr="002D0BD4">
        <w:rPr>
          <w:rFonts w:eastAsia="SimSun"/>
          <w:b/>
          <w:bCs/>
          <w:sz w:val="28"/>
          <w:szCs w:val="28"/>
          <w:lang w:val="en-GB" w:eastAsia="en-GB"/>
        </w:rPr>
        <w:t xml:space="preserve">irst </w:t>
      </w:r>
      <w:r w:rsidR="00E36115" w:rsidRPr="002D0BD4">
        <w:rPr>
          <w:rFonts w:eastAsia="SimSun"/>
          <w:b/>
          <w:bCs/>
          <w:sz w:val="28"/>
          <w:szCs w:val="28"/>
          <w:lang w:val="en-GB" w:eastAsia="en-GB"/>
        </w:rPr>
        <w:t>Global Integrated Marine</w:t>
      </w:r>
      <w:r w:rsidR="007B164A" w:rsidRPr="002D0BD4">
        <w:rPr>
          <w:rFonts w:eastAsia="SimSun"/>
          <w:b/>
          <w:bCs/>
          <w:sz w:val="28"/>
          <w:szCs w:val="28"/>
          <w:lang w:val="en-GB" w:eastAsia="en-GB"/>
        </w:rPr>
        <w:t xml:space="preserve"> Assessment</w:t>
      </w:r>
      <w:r w:rsidR="003E18FC" w:rsidRPr="002D0BD4">
        <w:rPr>
          <w:rFonts w:eastAsia="SimSun"/>
          <w:b/>
          <w:bCs/>
          <w:sz w:val="28"/>
          <w:szCs w:val="28"/>
          <w:lang w:val="en-GB" w:eastAsia="en-GB"/>
        </w:rPr>
        <w:t xml:space="preserve"> </w:t>
      </w:r>
    </w:p>
    <w:p w14:paraId="1529A6CC" w14:textId="415A550C" w:rsidR="00CA4625" w:rsidRPr="00A85BA7"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4" w:history="1">
        <w:r w:rsidR="00A85BA7" w:rsidRPr="00F22461">
          <w:rPr>
            <w:rStyle w:val="Hyperlink"/>
            <w:rFonts w:ascii="Times New Roman" w:hAnsi="Times New Roman" w:cs="Times New Roman"/>
            <w:sz w:val="24"/>
            <w:szCs w:val="24"/>
            <w:lang w:val="en-GB"/>
          </w:rPr>
          <w:t xml:space="preserve">Technical abstracts of the </w:t>
        </w:r>
        <w:r w:rsidR="00FE7BBF">
          <w:rPr>
            <w:rStyle w:val="Hyperlink"/>
            <w:rFonts w:ascii="Times New Roman" w:hAnsi="Times New Roman" w:cs="Times New Roman"/>
            <w:sz w:val="24"/>
            <w:szCs w:val="24"/>
            <w:lang w:val="en-GB"/>
          </w:rPr>
          <w:t>F</w:t>
        </w:r>
        <w:r w:rsidR="00A85BA7" w:rsidRPr="00F22461">
          <w:rPr>
            <w:rStyle w:val="Hyperlink"/>
            <w:rFonts w:ascii="Times New Roman" w:hAnsi="Times New Roman" w:cs="Times New Roman"/>
            <w:sz w:val="24"/>
            <w:szCs w:val="24"/>
            <w:lang w:val="en-GB"/>
          </w:rPr>
          <w:t xml:space="preserve">irst </w:t>
        </w:r>
        <w:r w:rsidR="00FE7BBF">
          <w:rPr>
            <w:rStyle w:val="Hyperlink"/>
            <w:rFonts w:ascii="Times New Roman" w:hAnsi="Times New Roman" w:cs="Times New Roman"/>
            <w:sz w:val="24"/>
            <w:szCs w:val="24"/>
            <w:lang w:val="en-GB"/>
          </w:rPr>
          <w:t>Global Integrated Marine</w:t>
        </w:r>
        <w:r w:rsidR="00A85BA7" w:rsidRPr="00F22461">
          <w:rPr>
            <w:rStyle w:val="Hyperlink"/>
            <w:rFonts w:ascii="Times New Roman" w:hAnsi="Times New Roman" w:cs="Times New Roman"/>
            <w:sz w:val="24"/>
            <w:szCs w:val="24"/>
            <w:lang w:val="en-GB"/>
          </w:rPr>
          <w:t xml:space="preserve"> Assessment</w:t>
        </w:r>
      </w:hyperlink>
    </w:p>
    <w:p w14:paraId="3C969146" w14:textId="2F945D3A" w:rsidR="00B5131B"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9.   </w:t>
      </w:r>
      <w:r w:rsidR="00022717" w:rsidRPr="002D0BD4">
        <w:rPr>
          <w:rFonts w:eastAsia="SimSun"/>
          <w:b/>
          <w:bCs/>
          <w:sz w:val="28"/>
          <w:szCs w:val="28"/>
          <w:lang w:val="en-GB" w:eastAsia="en-GB"/>
        </w:rPr>
        <w:t xml:space="preserve">Second </w:t>
      </w:r>
      <w:r w:rsidR="00E36115" w:rsidRPr="002D0BD4">
        <w:rPr>
          <w:rFonts w:eastAsia="SimSun"/>
          <w:b/>
          <w:bCs/>
          <w:sz w:val="28"/>
          <w:szCs w:val="28"/>
          <w:lang w:val="en-GB" w:eastAsia="en-GB"/>
        </w:rPr>
        <w:t>w</w:t>
      </w:r>
      <w:r w:rsidR="00022717" w:rsidRPr="002D0BD4">
        <w:rPr>
          <w:rFonts w:eastAsia="SimSun"/>
          <w:b/>
          <w:bCs/>
          <w:sz w:val="28"/>
          <w:szCs w:val="28"/>
          <w:lang w:val="en-GB" w:eastAsia="en-GB"/>
        </w:rPr>
        <w:t xml:space="preserve">orld </w:t>
      </w:r>
      <w:r w:rsidR="00E36115" w:rsidRPr="002D0BD4">
        <w:rPr>
          <w:rFonts w:eastAsia="SimSun"/>
          <w:b/>
          <w:bCs/>
          <w:sz w:val="28"/>
          <w:szCs w:val="28"/>
          <w:lang w:val="en-GB" w:eastAsia="en-GB"/>
        </w:rPr>
        <w:t>o</w:t>
      </w:r>
      <w:r w:rsidR="00022717" w:rsidRPr="002D0BD4">
        <w:rPr>
          <w:rFonts w:eastAsia="SimSun"/>
          <w:b/>
          <w:bCs/>
          <w:sz w:val="28"/>
          <w:szCs w:val="28"/>
          <w:lang w:val="en-GB" w:eastAsia="en-GB"/>
        </w:rPr>
        <w:t xml:space="preserve">cean </w:t>
      </w:r>
      <w:r w:rsidR="00E36115" w:rsidRPr="002D0BD4">
        <w:rPr>
          <w:rFonts w:eastAsia="SimSun"/>
          <w:b/>
          <w:bCs/>
          <w:sz w:val="28"/>
          <w:szCs w:val="28"/>
          <w:lang w:val="en-GB" w:eastAsia="en-GB"/>
        </w:rPr>
        <w:t>a</w:t>
      </w:r>
      <w:r w:rsidR="00022717" w:rsidRPr="002D0BD4">
        <w:rPr>
          <w:rFonts w:eastAsia="SimSun"/>
          <w:b/>
          <w:bCs/>
          <w:sz w:val="28"/>
          <w:szCs w:val="28"/>
          <w:lang w:val="en-GB" w:eastAsia="en-GB"/>
        </w:rPr>
        <w:t>ssessment</w:t>
      </w:r>
    </w:p>
    <w:p w14:paraId="737AFBFF" w14:textId="77777777" w:rsidR="00A85BA7" w:rsidRPr="00F22461" w:rsidRDefault="00A85BA7"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Outline for the second world ocean assessment (</w:t>
      </w:r>
      <w:hyperlink r:id="rId35" w:history="1">
        <w:r w:rsidRPr="00F22461">
          <w:rPr>
            <w:rStyle w:val="Hyperlink"/>
            <w:rFonts w:ascii="Times New Roman" w:hAnsi="Times New Roman" w:cs="Times New Roman"/>
            <w:sz w:val="24"/>
            <w:szCs w:val="24"/>
            <w:lang w:val="en-GB"/>
          </w:rPr>
          <w:t>A/73/74</w:t>
        </w:r>
      </w:hyperlink>
      <w:r w:rsidRPr="00F22461">
        <w:rPr>
          <w:rFonts w:ascii="Times New Roman" w:hAnsi="Times New Roman" w:cs="Times New Roman"/>
          <w:sz w:val="24"/>
          <w:szCs w:val="24"/>
          <w:lang w:val="en-GB"/>
        </w:rPr>
        <w:t>, Annex I)</w:t>
      </w:r>
    </w:p>
    <w:p w14:paraId="50224FCF" w14:textId="77777777" w:rsidR="00A85BA7" w:rsidRPr="00F22461" w:rsidRDefault="00A85BA7"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Annotated Outline of the second World Ocean Assessment (WOA II) (</w:t>
      </w:r>
      <w:hyperlink r:id="rId36" w:history="1">
        <w:r w:rsidRPr="00F22461">
          <w:rPr>
            <w:rStyle w:val="Hyperlink"/>
            <w:rFonts w:ascii="Times New Roman" w:hAnsi="Times New Roman" w:cs="Times New Roman"/>
            <w:sz w:val="24"/>
            <w:szCs w:val="24"/>
            <w:lang w:val="en-GB"/>
          </w:rPr>
          <w:t>A/73/373</w:t>
        </w:r>
      </w:hyperlink>
      <w:r w:rsidRPr="00F22461">
        <w:rPr>
          <w:rFonts w:ascii="Times New Roman" w:hAnsi="Times New Roman" w:cs="Times New Roman"/>
          <w:sz w:val="24"/>
          <w:szCs w:val="24"/>
          <w:lang w:val="en-GB"/>
        </w:rPr>
        <w:t>, Annex II)</w:t>
      </w:r>
    </w:p>
    <w:p w14:paraId="3EBD0E1B" w14:textId="279E1623" w:rsidR="00630612" w:rsidRPr="00630612"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7" w:history="1">
        <w:r w:rsidR="00630612" w:rsidRPr="00F22461">
          <w:rPr>
            <w:rStyle w:val="Hyperlink"/>
            <w:rFonts w:ascii="Times New Roman" w:hAnsi="Times New Roman" w:cs="Times New Roman"/>
            <w:sz w:val="24"/>
            <w:szCs w:val="24"/>
            <w:lang w:val="en-GB"/>
          </w:rPr>
          <w:t>List of writing teams for the second world ocean assessment</w:t>
        </w:r>
      </w:hyperlink>
      <w:r w:rsidR="00630612" w:rsidRPr="00F22461">
        <w:rPr>
          <w:rFonts w:ascii="Times New Roman" w:hAnsi="Times New Roman" w:cs="Times New Roman"/>
          <w:sz w:val="24"/>
          <w:szCs w:val="24"/>
          <w:lang w:val="en-GB"/>
        </w:rPr>
        <w:t xml:space="preserve"> (as at 13 April 2020)</w:t>
      </w:r>
    </w:p>
    <w:p w14:paraId="4F5CA0E0" w14:textId="161F02D9" w:rsidR="00A85BA7" w:rsidRPr="00F22461" w:rsidRDefault="00A85BA7"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Template for chapters of the second world ocean assessment (</w:t>
      </w:r>
      <w:hyperlink r:id="rId38" w:history="1">
        <w:r w:rsidRPr="00F22461">
          <w:rPr>
            <w:rStyle w:val="Hyperlink"/>
            <w:rFonts w:ascii="Times New Roman" w:hAnsi="Times New Roman" w:cs="Times New Roman"/>
            <w:sz w:val="24"/>
            <w:szCs w:val="24"/>
            <w:lang w:val="en-GB"/>
          </w:rPr>
          <w:t>A/73/373</w:t>
        </w:r>
      </w:hyperlink>
      <w:r w:rsidRPr="00F22461">
        <w:rPr>
          <w:rFonts w:ascii="Times New Roman" w:hAnsi="Times New Roman" w:cs="Times New Roman"/>
          <w:sz w:val="24"/>
          <w:szCs w:val="24"/>
          <w:lang w:val="en-GB"/>
        </w:rPr>
        <w:t>, Annex II, Enclosure I)</w:t>
      </w:r>
    </w:p>
    <w:p w14:paraId="770A4ACD" w14:textId="77777777" w:rsidR="00894BB9"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39" w:history="1">
        <w:r w:rsidR="00894BB9" w:rsidRPr="00F22461">
          <w:rPr>
            <w:rStyle w:val="Hyperlink"/>
            <w:rFonts w:ascii="Times New Roman" w:hAnsi="Times New Roman" w:cs="Times New Roman"/>
            <w:sz w:val="24"/>
            <w:szCs w:val="24"/>
            <w:lang w:val="en-GB"/>
          </w:rPr>
          <w:t>Preliminary timetable and implementation plan for the second world ocean assessment</w:t>
        </w:r>
      </w:hyperlink>
    </w:p>
    <w:p w14:paraId="60E48671" w14:textId="77777777" w:rsidR="00894BB9" w:rsidRPr="00F22461" w:rsidRDefault="00894BB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Report on the preliminary timetable and implementation plan (</w:t>
      </w:r>
      <w:hyperlink r:id="rId40" w:history="1">
        <w:r w:rsidRPr="00F22461">
          <w:rPr>
            <w:rStyle w:val="Hyperlink"/>
            <w:rFonts w:ascii="Times New Roman" w:hAnsi="Times New Roman" w:cs="Times New Roman"/>
            <w:sz w:val="24"/>
            <w:szCs w:val="24"/>
            <w:lang w:val="en-GB"/>
          </w:rPr>
          <w:t>A/73/373</w:t>
        </w:r>
      </w:hyperlink>
      <w:r w:rsidRPr="00F22461">
        <w:rPr>
          <w:rFonts w:ascii="Times New Roman" w:hAnsi="Times New Roman" w:cs="Times New Roman"/>
          <w:sz w:val="24"/>
          <w:szCs w:val="24"/>
          <w:lang w:val="en-GB"/>
        </w:rPr>
        <w:t>, Annex I)</w:t>
      </w:r>
    </w:p>
    <w:p w14:paraId="3A069383" w14:textId="77777777" w:rsidR="00894BB9"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41" w:history="1">
        <w:r w:rsidR="00894BB9" w:rsidRPr="00F22461">
          <w:rPr>
            <w:rStyle w:val="Hyperlink"/>
            <w:rFonts w:ascii="Times New Roman" w:hAnsi="Times New Roman" w:cs="Times New Roman"/>
            <w:sz w:val="24"/>
            <w:szCs w:val="24"/>
            <w:lang w:val="en-GB"/>
          </w:rPr>
          <w:t>Revised preliminary timetable and implementation plan</w:t>
        </w:r>
      </w:hyperlink>
    </w:p>
    <w:p w14:paraId="2955E919" w14:textId="77777777" w:rsidR="00894BB9" w:rsidRPr="00F22461" w:rsidRDefault="00894BB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Report on the revised preliminary timetable and implementation plan (</w:t>
      </w:r>
      <w:hyperlink r:id="rId42" w:history="1">
        <w:r w:rsidRPr="00F22461">
          <w:rPr>
            <w:rStyle w:val="Hyperlink"/>
            <w:rFonts w:ascii="Times New Roman" w:hAnsi="Times New Roman" w:cs="Times New Roman"/>
            <w:sz w:val="24"/>
            <w:szCs w:val="24"/>
            <w:lang w:val="en-GB"/>
          </w:rPr>
          <w:t>presentation</w:t>
        </w:r>
      </w:hyperlink>
      <w:r w:rsidRPr="00F22461">
        <w:rPr>
          <w:rFonts w:ascii="Times New Roman" w:hAnsi="Times New Roman" w:cs="Times New Roman"/>
          <w:sz w:val="24"/>
          <w:szCs w:val="24"/>
          <w:lang w:val="en-GB"/>
        </w:rPr>
        <w:t>)</w:t>
      </w:r>
    </w:p>
    <w:p w14:paraId="5FDC3C1F" w14:textId="77777777" w:rsidR="00894BB9" w:rsidRPr="00894BB9"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43" w:history="1">
        <w:r w:rsidR="00894BB9" w:rsidRPr="00F22461">
          <w:rPr>
            <w:rStyle w:val="Hyperlink"/>
            <w:rFonts w:ascii="Times New Roman" w:hAnsi="Times New Roman" w:cs="Times New Roman"/>
            <w:sz w:val="24"/>
            <w:szCs w:val="24"/>
            <w:lang w:val="en-GB"/>
          </w:rPr>
          <w:t>Further revised timetable and implementation plan</w:t>
        </w:r>
      </w:hyperlink>
    </w:p>
    <w:p w14:paraId="63C8486C" w14:textId="74C11DE2" w:rsidR="00894BB9"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10.   </w:t>
      </w:r>
      <w:r w:rsidR="005D6B19" w:rsidRPr="002D0BD4">
        <w:rPr>
          <w:rFonts w:eastAsia="SimSun"/>
          <w:b/>
          <w:bCs/>
          <w:sz w:val="28"/>
          <w:szCs w:val="28"/>
          <w:lang w:val="en-GB" w:eastAsia="en-GB"/>
        </w:rPr>
        <w:t>Regional workshops</w:t>
      </w:r>
    </w:p>
    <w:p w14:paraId="7FE7ACB4" w14:textId="32A8BFB6" w:rsidR="00304592" w:rsidRPr="00F22461" w:rsidRDefault="00304592"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Guidelines for the first round of workshops</w:t>
      </w:r>
      <w:r w:rsidR="003E18FC">
        <w:rPr>
          <w:rFonts w:ascii="Times New Roman" w:hAnsi="Times New Roman" w:cs="Times New Roman"/>
          <w:sz w:val="24"/>
          <w:szCs w:val="24"/>
          <w:lang w:val="en-GB"/>
        </w:rPr>
        <w:t xml:space="preserve"> </w:t>
      </w:r>
      <w:r w:rsidRPr="00F22461">
        <w:rPr>
          <w:rFonts w:ascii="Times New Roman" w:hAnsi="Times New Roman" w:cs="Times New Roman"/>
          <w:sz w:val="24"/>
          <w:szCs w:val="24"/>
          <w:lang w:val="en-GB"/>
        </w:rPr>
        <w:t>in 2017 to assist the second cycle of the Regular Process (</w:t>
      </w:r>
      <w:hyperlink r:id="rId44" w:history="1">
        <w:r w:rsidR="00552A5A" w:rsidRPr="00F22461">
          <w:rPr>
            <w:rStyle w:val="Hyperlink"/>
            <w:rFonts w:ascii="Times New Roman" w:hAnsi="Times New Roman" w:cs="Times New Roman"/>
            <w:sz w:val="24"/>
            <w:szCs w:val="24"/>
            <w:lang w:val="en-GB"/>
          </w:rPr>
          <w:t>A/72/494</w:t>
        </w:r>
      </w:hyperlink>
      <w:r w:rsidRPr="00F22461">
        <w:rPr>
          <w:rFonts w:ascii="Times New Roman" w:hAnsi="Times New Roman" w:cs="Times New Roman"/>
          <w:sz w:val="24"/>
          <w:szCs w:val="24"/>
          <w:lang w:val="en-GB"/>
        </w:rPr>
        <w:t>, Annex III)</w:t>
      </w:r>
    </w:p>
    <w:p w14:paraId="0D5D6282" w14:textId="0DACDF1A" w:rsidR="002A404B"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45" w:history="1">
        <w:r w:rsidR="002A404B" w:rsidRPr="00F22461">
          <w:rPr>
            <w:rStyle w:val="Hyperlink"/>
            <w:rFonts w:ascii="Times New Roman" w:hAnsi="Times New Roman" w:cs="Times New Roman"/>
            <w:sz w:val="24"/>
            <w:szCs w:val="24"/>
            <w:lang w:val="en-GB"/>
          </w:rPr>
          <w:t xml:space="preserve">Guidelines </w:t>
        </w:r>
        <w:r w:rsidR="00552A5A" w:rsidRPr="00F22461">
          <w:rPr>
            <w:rStyle w:val="Hyperlink"/>
            <w:rFonts w:ascii="Times New Roman" w:hAnsi="Times New Roman" w:cs="Times New Roman"/>
            <w:sz w:val="24"/>
            <w:szCs w:val="24"/>
            <w:lang w:val="en-GB"/>
          </w:rPr>
          <w:t>for the second round of workshops in 2018</w:t>
        </w:r>
      </w:hyperlink>
    </w:p>
    <w:p w14:paraId="10CA071D" w14:textId="6ACB29DA" w:rsidR="00CD78C9" w:rsidRPr="00F22461" w:rsidRDefault="00C735B3"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Summar</w:t>
      </w:r>
      <w:r w:rsidR="004214E7" w:rsidRPr="00F22461">
        <w:rPr>
          <w:rFonts w:ascii="Times New Roman" w:hAnsi="Times New Roman" w:cs="Times New Roman"/>
          <w:sz w:val="24"/>
          <w:szCs w:val="24"/>
          <w:lang w:val="en-GB"/>
        </w:rPr>
        <w:t>ies</w:t>
      </w:r>
      <w:r w:rsidRPr="00F22461">
        <w:rPr>
          <w:rFonts w:ascii="Times New Roman" w:hAnsi="Times New Roman" w:cs="Times New Roman"/>
          <w:sz w:val="24"/>
          <w:szCs w:val="24"/>
          <w:lang w:val="en-GB"/>
        </w:rPr>
        <w:t xml:space="preserve"> of discussions</w:t>
      </w:r>
      <w:r w:rsidR="00CD78C9" w:rsidRPr="00F22461">
        <w:rPr>
          <w:rFonts w:ascii="Times New Roman" w:hAnsi="Times New Roman" w:cs="Times New Roman"/>
          <w:sz w:val="24"/>
          <w:szCs w:val="24"/>
          <w:lang w:val="en-GB"/>
        </w:rPr>
        <w:t xml:space="preserve"> </w:t>
      </w:r>
      <w:r w:rsidR="000F4660" w:rsidRPr="00F22461">
        <w:rPr>
          <w:rFonts w:ascii="Times New Roman" w:hAnsi="Times New Roman" w:cs="Times New Roman"/>
          <w:sz w:val="24"/>
          <w:szCs w:val="24"/>
          <w:lang w:val="en-GB"/>
        </w:rPr>
        <w:t>from</w:t>
      </w:r>
      <w:r w:rsidR="00CD78C9" w:rsidRPr="00F22461">
        <w:rPr>
          <w:rFonts w:ascii="Times New Roman" w:hAnsi="Times New Roman" w:cs="Times New Roman"/>
          <w:sz w:val="24"/>
          <w:szCs w:val="24"/>
          <w:lang w:val="en-GB"/>
        </w:rPr>
        <w:t xml:space="preserve"> the Regional Workshops of the second cycle of the Regular Process</w:t>
      </w:r>
    </w:p>
    <w:p w14:paraId="3CA127D7" w14:textId="3D85ECBF" w:rsidR="00CD78C9" w:rsidRPr="00F22461" w:rsidRDefault="00CD78C9" w:rsidP="002D0BD4">
      <w:pPr>
        <w:pStyle w:val="ListParagraph"/>
        <w:numPr>
          <w:ilvl w:val="1"/>
          <w:numId w:val="1"/>
        </w:numPr>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First round of regional workshops in 2017: </w:t>
      </w:r>
      <w:hyperlink r:id="rId46" w:history="1">
        <w:r w:rsidR="003863F8" w:rsidRPr="00F22461">
          <w:rPr>
            <w:rStyle w:val="Hyperlink"/>
            <w:rFonts w:ascii="Times New Roman" w:hAnsi="Times New Roman" w:cs="Times New Roman"/>
            <w:sz w:val="24"/>
            <w:szCs w:val="24"/>
            <w:lang w:val="en-GB"/>
          </w:rPr>
          <w:t>Lisbon, Portugal</w:t>
        </w:r>
      </w:hyperlink>
      <w:r w:rsidR="003863F8" w:rsidRPr="00F22461">
        <w:rPr>
          <w:rFonts w:ascii="Times New Roman" w:hAnsi="Times New Roman" w:cs="Times New Roman"/>
          <w:sz w:val="24"/>
          <w:szCs w:val="24"/>
          <w:lang w:val="en-GB"/>
        </w:rPr>
        <w:t xml:space="preserve">; </w:t>
      </w:r>
      <w:hyperlink r:id="rId47" w:history="1">
        <w:r w:rsidR="003863F8" w:rsidRPr="00F22461">
          <w:rPr>
            <w:rStyle w:val="Hyperlink"/>
            <w:rFonts w:ascii="Times New Roman" w:hAnsi="Times New Roman" w:cs="Times New Roman"/>
            <w:sz w:val="24"/>
            <w:szCs w:val="24"/>
            <w:lang w:val="en-GB"/>
          </w:rPr>
          <w:t>Auckland, New Zealand</w:t>
        </w:r>
      </w:hyperlink>
      <w:r w:rsidR="003863F8" w:rsidRPr="00F22461">
        <w:rPr>
          <w:rFonts w:ascii="Times New Roman" w:hAnsi="Times New Roman" w:cs="Times New Roman"/>
          <w:sz w:val="24"/>
          <w:szCs w:val="24"/>
          <w:lang w:val="en-GB"/>
        </w:rPr>
        <w:t xml:space="preserve">; </w:t>
      </w:r>
      <w:hyperlink r:id="rId48" w:history="1">
        <w:proofErr w:type="spellStart"/>
        <w:r w:rsidR="003863F8" w:rsidRPr="00F22461">
          <w:rPr>
            <w:rStyle w:val="Hyperlink"/>
            <w:rFonts w:ascii="Times New Roman" w:hAnsi="Times New Roman" w:cs="Times New Roman"/>
            <w:sz w:val="24"/>
            <w:szCs w:val="24"/>
            <w:lang w:val="en-GB"/>
          </w:rPr>
          <w:t>Camboriú</w:t>
        </w:r>
        <w:proofErr w:type="spellEnd"/>
        <w:r w:rsidR="003863F8" w:rsidRPr="00F22461">
          <w:rPr>
            <w:rStyle w:val="Hyperlink"/>
            <w:rFonts w:ascii="Times New Roman" w:hAnsi="Times New Roman" w:cs="Times New Roman"/>
            <w:sz w:val="24"/>
            <w:szCs w:val="24"/>
            <w:lang w:val="en-GB"/>
          </w:rPr>
          <w:t>, Brazil</w:t>
        </w:r>
      </w:hyperlink>
      <w:r w:rsidR="003863F8" w:rsidRPr="00F22461">
        <w:rPr>
          <w:rFonts w:ascii="Times New Roman" w:hAnsi="Times New Roman" w:cs="Times New Roman"/>
          <w:sz w:val="24"/>
          <w:szCs w:val="24"/>
          <w:lang w:val="en-GB"/>
        </w:rPr>
        <w:t xml:space="preserve">; </w:t>
      </w:r>
      <w:hyperlink r:id="rId49" w:history="1">
        <w:r w:rsidR="003863F8" w:rsidRPr="00F22461">
          <w:rPr>
            <w:rStyle w:val="Hyperlink"/>
            <w:rFonts w:ascii="Times New Roman" w:hAnsi="Times New Roman" w:cs="Times New Roman"/>
            <w:sz w:val="24"/>
            <w:szCs w:val="24"/>
            <w:lang w:val="en-GB"/>
          </w:rPr>
          <w:t>Bangkok, Thailand</w:t>
        </w:r>
      </w:hyperlink>
      <w:r w:rsidR="003863F8" w:rsidRPr="00F22461">
        <w:rPr>
          <w:rFonts w:ascii="Times New Roman" w:hAnsi="Times New Roman" w:cs="Times New Roman"/>
          <w:sz w:val="24"/>
          <w:szCs w:val="24"/>
          <w:lang w:val="en-GB"/>
        </w:rPr>
        <w:t xml:space="preserve">; </w:t>
      </w:r>
      <w:hyperlink r:id="rId50" w:history="1">
        <w:r w:rsidR="003863F8" w:rsidRPr="00F22461">
          <w:rPr>
            <w:rStyle w:val="Hyperlink"/>
            <w:rFonts w:ascii="Times New Roman" w:hAnsi="Times New Roman" w:cs="Times New Roman"/>
            <w:sz w:val="24"/>
            <w:szCs w:val="24"/>
            <w:lang w:val="en-GB"/>
          </w:rPr>
          <w:t>Zanzibar, United Republic of Tanzania</w:t>
        </w:r>
      </w:hyperlink>
      <w:r w:rsidR="003863F8" w:rsidRPr="00F22461">
        <w:rPr>
          <w:rFonts w:ascii="Times New Roman" w:hAnsi="Times New Roman" w:cs="Times New Roman"/>
          <w:sz w:val="24"/>
          <w:szCs w:val="24"/>
          <w:lang w:val="en-GB"/>
        </w:rPr>
        <w:t>.</w:t>
      </w:r>
    </w:p>
    <w:p w14:paraId="5A9AEEA6" w14:textId="60D57DCC" w:rsidR="00CD78C9" w:rsidRPr="00F22461" w:rsidRDefault="00CD78C9" w:rsidP="002D0BD4">
      <w:pPr>
        <w:pStyle w:val="ListParagraph"/>
        <w:numPr>
          <w:ilvl w:val="1"/>
          <w:numId w:val="1"/>
        </w:numPr>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Second round of regional workshops in 2018:</w:t>
      </w:r>
      <w:r w:rsidR="00660B63" w:rsidRPr="00F22461">
        <w:rPr>
          <w:rFonts w:ascii="Times New Roman" w:hAnsi="Times New Roman" w:cs="Times New Roman"/>
          <w:sz w:val="24"/>
          <w:szCs w:val="24"/>
          <w:lang w:val="en-GB"/>
        </w:rPr>
        <w:t xml:space="preserve"> </w:t>
      </w:r>
      <w:hyperlink r:id="rId51" w:history="1">
        <w:r w:rsidR="00660B63" w:rsidRPr="00F22461">
          <w:rPr>
            <w:rStyle w:val="Hyperlink"/>
            <w:rFonts w:ascii="Times New Roman" w:hAnsi="Times New Roman" w:cs="Times New Roman"/>
            <w:sz w:val="24"/>
            <w:szCs w:val="24"/>
            <w:lang w:val="en-GB"/>
          </w:rPr>
          <w:t>Koror, Palau</w:t>
        </w:r>
      </w:hyperlink>
      <w:r w:rsidR="00660B63" w:rsidRPr="00F22461">
        <w:rPr>
          <w:rFonts w:ascii="Times New Roman" w:hAnsi="Times New Roman" w:cs="Times New Roman"/>
          <w:sz w:val="24"/>
          <w:szCs w:val="24"/>
          <w:lang w:val="en-GB"/>
        </w:rPr>
        <w:t xml:space="preserve">; </w:t>
      </w:r>
      <w:hyperlink r:id="rId52" w:history="1">
        <w:r w:rsidR="00660B63" w:rsidRPr="00F22461">
          <w:rPr>
            <w:rStyle w:val="Hyperlink"/>
            <w:rFonts w:ascii="Times New Roman" w:hAnsi="Times New Roman" w:cs="Times New Roman"/>
            <w:sz w:val="24"/>
            <w:szCs w:val="24"/>
            <w:lang w:val="en-GB"/>
          </w:rPr>
          <w:t>Valetta, Malta</w:t>
        </w:r>
      </w:hyperlink>
      <w:r w:rsidR="00660B63" w:rsidRPr="00F22461">
        <w:rPr>
          <w:rFonts w:ascii="Times New Roman" w:hAnsi="Times New Roman" w:cs="Times New Roman"/>
          <w:sz w:val="24"/>
          <w:szCs w:val="24"/>
          <w:lang w:val="en-GB"/>
        </w:rPr>
        <w:t xml:space="preserve">; </w:t>
      </w:r>
      <w:hyperlink r:id="rId53" w:history="1">
        <w:r w:rsidR="00660B63" w:rsidRPr="00F22461">
          <w:rPr>
            <w:rStyle w:val="Hyperlink"/>
            <w:rFonts w:ascii="Times New Roman" w:hAnsi="Times New Roman" w:cs="Times New Roman"/>
            <w:sz w:val="24"/>
            <w:szCs w:val="24"/>
            <w:lang w:val="en-GB"/>
          </w:rPr>
          <w:t>Odessa, Ukraine</w:t>
        </w:r>
      </w:hyperlink>
      <w:r w:rsidR="00660B63" w:rsidRPr="00F22461">
        <w:rPr>
          <w:rFonts w:ascii="Times New Roman" w:hAnsi="Times New Roman" w:cs="Times New Roman"/>
          <w:sz w:val="24"/>
          <w:szCs w:val="24"/>
          <w:lang w:val="en-GB"/>
        </w:rPr>
        <w:t xml:space="preserve">; </w:t>
      </w:r>
      <w:hyperlink r:id="rId54" w:history="1">
        <w:r w:rsidR="00660B63" w:rsidRPr="00F22461">
          <w:rPr>
            <w:rStyle w:val="Hyperlink"/>
            <w:rFonts w:ascii="Times New Roman" w:hAnsi="Times New Roman" w:cs="Times New Roman"/>
            <w:sz w:val="24"/>
            <w:szCs w:val="24"/>
            <w:lang w:val="en-GB"/>
          </w:rPr>
          <w:t>Bali, Indonesia</w:t>
        </w:r>
      </w:hyperlink>
      <w:r w:rsidR="00660B63" w:rsidRPr="00F22461">
        <w:rPr>
          <w:rFonts w:ascii="Times New Roman" w:hAnsi="Times New Roman" w:cs="Times New Roman"/>
          <w:sz w:val="24"/>
          <w:szCs w:val="24"/>
          <w:lang w:val="en-GB"/>
        </w:rPr>
        <w:t xml:space="preserve">; </w:t>
      </w:r>
      <w:hyperlink r:id="rId55" w:history="1">
        <w:r w:rsidR="00660B63" w:rsidRPr="00F22461">
          <w:rPr>
            <w:rStyle w:val="Hyperlink"/>
            <w:rFonts w:ascii="Times New Roman" w:hAnsi="Times New Roman" w:cs="Times New Roman"/>
            <w:sz w:val="24"/>
            <w:szCs w:val="24"/>
            <w:lang w:val="en-GB"/>
          </w:rPr>
          <w:t>Doha, State of Qatar</w:t>
        </w:r>
      </w:hyperlink>
      <w:r w:rsidR="00660B63" w:rsidRPr="00F22461">
        <w:rPr>
          <w:rFonts w:ascii="Times New Roman" w:hAnsi="Times New Roman" w:cs="Times New Roman"/>
          <w:sz w:val="24"/>
          <w:szCs w:val="24"/>
          <w:lang w:val="en-GB"/>
        </w:rPr>
        <w:t xml:space="preserve">; </w:t>
      </w:r>
      <w:hyperlink r:id="rId56" w:history="1">
        <w:r w:rsidR="00660B63" w:rsidRPr="00F22461">
          <w:rPr>
            <w:rStyle w:val="Hyperlink"/>
            <w:rFonts w:ascii="Times New Roman" w:hAnsi="Times New Roman" w:cs="Times New Roman"/>
            <w:sz w:val="24"/>
            <w:szCs w:val="24"/>
            <w:lang w:val="en-GB"/>
          </w:rPr>
          <w:t>Accra, Ghana</w:t>
        </w:r>
      </w:hyperlink>
      <w:r w:rsidR="00660B63" w:rsidRPr="00F22461">
        <w:rPr>
          <w:rFonts w:ascii="Times New Roman" w:hAnsi="Times New Roman" w:cs="Times New Roman"/>
          <w:sz w:val="24"/>
          <w:szCs w:val="24"/>
          <w:lang w:val="en-GB"/>
        </w:rPr>
        <w:t xml:space="preserve">; </w:t>
      </w:r>
      <w:hyperlink r:id="rId57" w:history="1">
        <w:r w:rsidR="00660B63" w:rsidRPr="00F22461">
          <w:rPr>
            <w:rStyle w:val="Hyperlink"/>
            <w:rFonts w:ascii="Times New Roman" w:hAnsi="Times New Roman" w:cs="Times New Roman"/>
            <w:sz w:val="24"/>
            <w:szCs w:val="24"/>
            <w:lang w:val="en-GB"/>
          </w:rPr>
          <w:t>Guayaquil, Ecuador</w:t>
        </w:r>
      </w:hyperlink>
      <w:r w:rsidR="00660B63" w:rsidRPr="00F22461">
        <w:rPr>
          <w:rFonts w:ascii="Times New Roman" w:hAnsi="Times New Roman" w:cs="Times New Roman"/>
          <w:sz w:val="24"/>
          <w:szCs w:val="24"/>
          <w:lang w:val="en-GB"/>
        </w:rPr>
        <w:t>.</w:t>
      </w:r>
    </w:p>
    <w:p w14:paraId="30214A1B" w14:textId="7BC37344" w:rsidR="00DB4F99" w:rsidRPr="00F22461" w:rsidRDefault="00DB4F9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Report on the second round of regional workshops (</w:t>
      </w:r>
      <w:hyperlink r:id="rId58" w:history="1">
        <w:r w:rsidRPr="00F22461">
          <w:rPr>
            <w:rStyle w:val="Hyperlink"/>
            <w:rFonts w:ascii="Times New Roman" w:hAnsi="Times New Roman" w:cs="Times New Roman"/>
            <w:sz w:val="24"/>
            <w:szCs w:val="24"/>
            <w:lang w:val="en-GB"/>
          </w:rPr>
          <w:t>presentation</w:t>
        </w:r>
      </w:hyperlink>
      <w:r w:rsidRPr="00F22461">
        <w:rPr>
          <w:rFonts w:ascii="Times New Roman" w:hAnsi="Times New Roman" w:cs="Times New Roman"/>
          <w:sz w:val="24"/>
          <w:szCs w:val="24"/>
          <w:lang w:val="en-GB"/>
        </w:rPr>
        <w:t>)</w:t>
      </w:r>
    </w:p>
    <w:p w14:paraId="23210B4D" w14:textId="5912ECF3" w:rsidR="005D6B19"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11.   </w:t>
      </w:r>
      <w:r w:rsidR="005D6B19" w:rsidRPr="002D0BD4">
        <w:rPr>
          <w:rFonts w:eastAsia="SimSun"/>
          <w:b/>
          <w:bCs/>
          <w:sz w:val="28"/>
          <w:szCs w:val="28"/>
          <w:lang w:val="en-GB" w:eastAsia="en-GB"/>
        </w:rPr>
        <w:t>Multi-stakeholder dialogue and capacity-building partnership event</w:t>
      </w:r>
    </w:p>
    <w:p w14:paraId="377139D0" w14:textId="77777777" w:rsidR="00956508" w:rsidRPr="00F22461"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59" w:history="1">
        <w:r w:rsidR="00956508" w:rsidRPr="00F22461">
          <w:rPr>
            <w:rStyle w:val="Hyperlink"/>
            <w:rFonts w:ascii="Times New Roman" w:hAnsi="Times New Roman" w:cs="Times New Roman"/>
            <w:sz w:val="24"/>
            <w:szCs w:val="24"/>
            <w:lang w:val="en-GB"/>
          </w:rPr>
          <w:t>Concept note for the multi-stakeholder dialogue and capacity-building partnership event</w:t>
        </w:r>
      </w:hyperlink>
    </w:p>
    <w:p w14:paraId="27A7A0BF" w14:textId="4AD22D0D" w:rsidR="00956508" w:rsidRPr="00956508" w:rsidRDefault="00D2710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hyperlink r:id="rId60" w:history="1">
        <w:r w:rsidR="00956508" w:rsidRPr="00F22461">
          <w:rPr>
            <w:rStyle w:val="Hyperlink"/>
            <w:rFonts w:ascii="Times New Roman" w:hAnsi="Times New Roman" w:cs="Times New Roman"/>
            <w:sz w:val="24"/>
            <w:szCs w:val="24"/>
            <w:lang w:val="en-GB"/>
          </w:rPr>
          <w:t>Summary of discussions from the multi-stakeholder dialogue and capacity-building partnership event</w:t>
        </w:r>
      </w:hyperlink>
    </w:p>
    <w:p w14:paraId="40C08CBD" w14:textId="590ECBA7" w:rsidR="00605D2C" w:rsidRDefault="00605D2C"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The way forward: conclusions from the multi-stakeholder dialogue and capacity-building partnership event (</w:t>
      </w:r>
      <w:hyperlink r:id="rId61" w:history="1">
        <w:r w:rsidR="00415FDE" w:rsidRPr="00F22461">
          <w:rPr>
            <w:rStyle w:val="Hyperlink"/>
            <w:rFonts w:ascii="Times New Roman" w:hAnsi="Times New Roman" w:cs="Times New Roman"/>
            <w:sz w:val="24"/>
            <w:szCs w:val="24"/>
            <w:lang w:val="en-GB"/>
          </w:rPr>
          <w:t>A/74/315</w:t>
        </w:r>
      </w:hyperlink>
      <w:r w:rsidRPr="00F22461">
        <w:rPr>
          <w:rFonts w:ascii="Times New Roman" w:hAnsi="Times New Roman" w:cs="Times New Roman"/>
          <w:sz w:val="24"/>
          <w:szCs w:val="24"/>
          <w:lang w:val="en-GB"/>
        </w:rPr>
        <w:t>, Annex I)</w:t>
      </w:r>
    </w:p>
    <w:p w14:paraId="041037A8" w14:textId="3FBA72B4" w:rsidR="00354CE5" w:rsidRPr="002D0BD4" w:rsidRDefault="002D0BD4" w:rsidP="002D0BD4">
      <w:pPr>
        <w:widowControl w:val="0"/>
        <w:autoSpaceDE w:val="0"/>
        <w:autoSpaceDN w:val="0"/>
        <w:adjustRightInd w:val="0"/>
        <w:spacing w:before="120" w:after="120"/>
        <w:jc w:val="both"/>
        <w:rPr>
          <w:rFonts w:eastAsia="SimSun"/>
          <w:b/>
          <w:bCs/>
          <w:sz w:val="28"/>
          <w:szCs w:val="28"/>
          <w:lang w:val="en-GB" w:eastAsia="en-GB"/>
        </w:rPr>
      </w:pPr>
      <w:r>
        <w:rPr>
          <w:rFonts w:eastAsia="SimSun"/>
          <w:b/>
          <w:bCs/>
          <w:sz w:val="28"/>
          <w:szCs w:val="28"/>
          <w:lang w:val="en-GB" w:eastAsia="en-GB"/>
        </w:rPr>
        <w:t xml:space="preserve">12.   </w:t>
      </w:r>
      <w:r w:rsidR="00956508" w:rsidRPr="002D0BD4">
        <w:rPr>
          <w:rFonts w:eastAsia="SimSun"/>
          <w:b/>
          <w:bCs/>
          <w:sz w:val="28"/>
          <w:szCs w:val="28"/>
          <w:lang w:val="en-GB" w:eastAsia="en-GB"/>
        </w:rPr>
        <w:t>Third cycle</w:t>
      </w:r>
    </w:p>
    <w:p w14:paraId="1ACBBF71" w14:textId="74DEEBF1" w:rsidR="00FB3AF0" w:rsidRDefault="00605D2C"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Possible outcomes and building blocks of the third cycle of the Regular Process (</w:t>
      </w:r>
      <w:hyperlink r:id="rId62" w:history="1">
        <w:r w:rsidRPr="00F22461">
          <w:rPr>
            <w:rStyle w:val="Hyperlink"/>
            <w:rFonts w:ascii="Times New Roman" w:hAnsi="Times New Roman" w:cs="Times New Roman"/>
            <w:sz w:val="24"/>
            <w:szCs w:val="24"/>
            <w:lang w:val="en-GB"/>
          </w:rPr>
          <w:t>A/74/315</w:t>
        </w:r>
      </w:hyperlink>
      <w:r w:rsidRPr="00F22461">
        <w:rPr>
          <w:rFonts w:ascii="Times New Roman" w:hAnsi="Times New Roman" w:cs="Times New Roman"/>
          <w:sz w:val="24"/>
          <w:szCs w:val="24"/>
          <w:lang w:val="en-GB"/>
        </w:rPr>
        <w:t>, Annex II)</w:t>
      </w:r>
    </w:p>
    <w:p w14:paraId="270E7ACF" w14:textId="2B9D2865" w:rsidR="009A79D1" w:rsidRDefault="009A79D1" w:rsidP="002D0BD4">
      <w:pPr>
        <w:jc w:val="both"/>
        <w:rPr>
          <w:lang w:val="en-GB"/>
        </w:rPr>
      </w:pPr>
    </w:p>
    <w:p w14:paraId="472367FC" w14:textId="77777777" w:rsidR="009A79D1" w:rsidRPr="009A79D1" w:rsidRDefault="009A79D1" w:rsidP="002D0BD4">
      <w:pPr>
        <w:jc w:val="both"/>
        <w:rPr>
          <w:lang w:val="en-GB"/>
        </w:rPr>
      </w:pPr>
    </w:p>
    <w:p w14:paraId="431DECD0" w14:textId="42959AF7" w:rsidR="004A6804" w:rsidRPr="00DE2E20" w:rsidRDefault="00DE2E20" w:rsidP="0089434E">
      <w:pPr>
        <w:jc w:val="center"/>
        <w:rPr>
          <w:rStyle w:val="Hyperlink"/>
          <w:b/>
          <w:bCs/>
          <w:i/>
          <w:iCs/>
          <w:color w:val="auto"/>
          <w:u w:val="none"/>
          <w:lang w:val="en-GB"/>
        </w:rPr>
      </w:pPr>
      <w:r>
        <w:rPr>
          <w:b/>
          <w:bCs/>
          <w:i/>
          <w:iCs/>
          <w:lang w:val="en-GB"/>
        </w:rPr>
        <w:t>*</w:t>
      </w:r>
      <w:r w:rsidR="009A79D1" w:rsidRPr="00DE2E20">
        <w:rPr>
          <w:b/>
          <w:bCs/>
          <w:i/>
          <w:iCs/>
          <w:lang w:val="en-GB"/>
        </w:rPr>
        <w:t>Relevant documents are available on the</w:t>
      </w:r>
      <w:r w:rsidR="009A79D1" w:rsidRPr="00DE2E20">
        <w:rPr>
          <w:b/>
          <w:bCs/>
          <w:i/>
          <w:iCs/>
        </w:rPr>
        <w:t xml:space="preserve"> </w:t>
      </w:r>
      <w:hyperlink r:id="rId63" w:history="1">
        <w:r w:rsidR="009A79D1" w:rsidRPr="00DE2E20">
          <w:rPr>
            <w:rStyle w:val="Hyperlink"/>
            <w:b/>
            <w:bCs/>
            <w:i/>
            <w:iCs/>
            <w:lang w:val="en-GB"/>
          </w:rPr>
          <w:t>w</w:t>
        </w:r>
        <w:r w:rsidR="004A6804" w:rsidRPr="00DE2E20">
          <w:rPr>
            <w:rStyle w:val="Hyperlink"/>
            <w:b/>
            <w:bCs/>
            <w:i/>
            <w:iCs/>
            <w:lang w:val="en-GB"/>
          </w:rPr>
          <w:t>ebsite of the Regular Process</w:t>
        </w:r>
      </w:hyperlink>
    </w:p>
    <w:p w14:paraId="6FF7B303" w14:textId="77777777" w:rsidR="00A85BA7" w:rsidRDefault="00A85BA7" w:rsidP="002D0BD4">
      <w:pPr>
        <w:jc w:val="both"/>
        <w:rPr>
          <w:rFonts w:eastAsiaTheme="majorEastAsia" w:cstheme="majorBidi"/>
          <w:b/>
          <w:sz w:val="32"/>
          <w:szCs w:val="32"/>
          <w:lang w:val="en-GB"/>
        </w:rPr>
      </w:pPr>
      <w:r>
        <w:rPr>
          <w:lang w:val="en-GB"/>
        </w:rPr>
        <w:br w:type="page"/>
      </w:r>
    </w:p>
    <w:p w14:paraId="17BB95F5" w14:textId="74547A0D" w:rsidR="000B17DF" w:rsidRPr="002D0BD4" w:rsidRDefault="002D0BD4" w:rsidP="002D0BD4">
      <w:pPr>
        <w:pStyle w:val="Heading1"/>
        <w:snapToGrid w:val="0"/>
        <w:spacing w:before="120" w:after="120" w:line="240" w:lineRule="auto"/>
        <w:ind w:left="-360"/>
        <w:jc w:val="both"/>
        <w:rPr>
          <w:sz w:val="28"/>
          <w:szCs w:val="28"/>
          <w:lang w:val="en-GB"/>
        </w:rPr>
      </w:pPr>
      <w:r>
        <w:rPr>
          <w:sz w:val="28"/>
          <w:szCs w:val="28"/>
          <w:lang w:val="en-GB"/>
        </w:rPr>
        <w:lastRenderedPageBreak/>
        <w:t xml:space="preserve">II.   </w:t>
      </w:r>
      <w:r w:rsidR="00E36115" w:rsidRPr="000A479E">
        <w:rPr>
          <w:sz w:val="28"/>
          <w:szCs w:val="28"/>
          <w:lang w:val="en-GB"/>
        </w:rPr>
        <w:t>Q</w:t>
      </w:r>
      <w:r w:rsidR="008038A4" w:rsidRPr="000A479E">
        <w:rPr>
          <w:sz w:val="28"/>
          <w:szCs w:val="28"/>
          <w:lang w:val="en-GB"/>
        </w:rPr>
        <w:t>uestions</w:t>
      </w:r>
      <w:r w:rsidR="00E36115" w:rsidRPr="000A479E">
        <w:rPr>
          <w:sz w:val="28"/>
          <w:szCs w:val="28"/>
          <w:lang w:val="en-GB"/>
        </w:rPr>
        <w:t xml:space="preserve"> for consideration</w:t>
      </w:r>
    </w:p>
    <w:p w14:paraId="1F259C2E" w14:textId="55C33206" w:rsidR="000B17DF" w:rsidRPr="002D0BD4" w:rsidRDefault="00A357E8" w:rsidP="002D0BD4">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D</w:t>
      </w:r>
      <w:r w:rsidR="000B17DF" w:rsidRPr="002D0BD4">
        <w:rPr>
          <w:rFonts w:eastAsia="SimSun"/>
          <w:b/>
          <w:bCs/>
          <w:i/>
          <w:iCs/>
          <w:sz w:val="28"/>
          <w:szCs w:val="28"/>
          <w:lang w:val="en-GB" w:eastAsia="en-GB"/>
        </w:rPr>
        <w:t>uration</w:t>
      </w:r>
      <w:r w:rsidR="00A647B4" w:rsidRPr="002D0BD4">
        <w:rPr>
          <w:rFonts w:eastAsia="SimSun"/>
          <w:b/>
          <w:bCs/>
          <w:i/>
          <w:iCs/>
          <w:sz w:val="28"/>
          <w:szCs w:val="28"/>
          <w:lang w:val="en-GB" w:eastAsia="en-GB"/>
        </w:rPr>
        <w:t xml:space="preserve">, </w:t>
      </w:r>
      <w:r w:rsidRPr="002D0BD4">
        <w:rPr>
          <w:rFonts w:eastAsia="SimSun"/>
          <w:b/>
          <w:bCs/>
          <w:i/>
          <w:iCs/>
          <w:sz w:val="28"/>
          <w:szCs w:val="28"/>
          <w:lang w:val="en-GB" w:eastAsia="en-GB"/>
        </w:rPr>
        <w:t xml:space="preserve">outputs and the </w:t>
      </w:r>
      <w:r w:rsidR="00A647B4" w:rsidRPr="002D0BD4">
        <w:rPr>
          <w:rFonts w:eastAsia="SimSun"/>
          <w:b/>
          <w:bCs/>
          <w:i/>
          <w:iCs/>
          <w:sz w:val="28"/>
          <w:szCs w:val="28"/>
          <w:lang w:val="en-GB" w:eastAsia="en-GB"/>
        </w:rPr>
        <w:t>programme of work</w:t>
      </w:r>
    </w:p>
    <w:p w14:paraId="067B3C09" w14:textId="5DC02976" w:rsidR="00594EEF" w:rsidRPr="002D0BD4" w:rsidRDefault="00AC6F0A" w:rsidP="002D0BD4">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2D0BD4">
        <w:rPr>
          <w:rFonts w:ascii="Times New Roman" w:eastAsia="Times New Roman" w:hAnsi="Times New Roman" w:cs="Times New Roman"/>
          <w:sz w:val="24"/>
          <w:szCs w:val="24"/>
          <w:lang w:val="en-GB" w:eastAsia="zh-CN"/>
        </w:rPr>
        <w:t xml:space="preserve">The </w:t>
      </w:r>
      <w:r w:rsidR="00E36115" w:rsidRPr="002D0BD4">
        <w:rPr>
          <w:rFonts w:ascii="Times New Roman" w:eastAsia="Times New Roman" w:hAnsi="Times New Roman" w:cs="Times New Roman"/>
          <w:sz w:val="24"/>
          <w:szCs w:val="24"/>
          <w:lang w:val="en-GB" w:eastAsia="zh-CN"/>
        </w:rPr>
        <w:t>duration</w:t>
      </w:r>
      <w:r w:rsidRPr="002D0BD4">
        <w:rPr>
          <w:rFonts w:ascii="Times New Roman" w:eastAsia="Times New Roman" w:hAnsi="Times New Roman" w:cs="Times New Roman"/>
          <w:sz w:val="24"/>
          <w:szCs w:val="24"/>
          <w:lang w:val="en-GB" w:eastAsia="zh-CN"/>
        </w:rPr>
        <w:t xml:space="preserve"> for the second cycle of the Regular Process </w:t>
      </w:r>
      <w:r w:rsidR="00E36115" w:rsidRPr="002D0BD4">
        <w:rPr>
          <w:rFonts w:ascii="Times New Roman" w:eastAsia="Times New Roman" w:hAnsi="Times New Roman" w:cs="Times New Roman"/>
          <w:sz w:val="24"/>
          <w:szCs w:val="24"/>
          <w:lang w:val="en-GB" w:eastAsia="zh-CN"/>
        </w:rPr>
        <w:t xml:space="preserve">is </w:t>
      </w:r>
      <w:r w:rsidRPr="002D0BD4">
        <w:rPr>
          <w:rFonts w:ascii="Times New Roman" w:eastAsia="Times New Roman" w:hAnsi="Times New Roman" w:cs="Times New Roman"/>
          <w:sz w:val="24"/>
          <w:szCs w:val="24"/>
          <w:lang w:val="en-GB" w:eastAsia="zh-CN"/>
        </w:rPr>
        <w:t xml:space="preserve">five years. </w:t>
      </w:r>
    </w:p>
    <w:p w14:paraId="70E4603C" w14:textId="06153480" w:rsidR="007E7CE3" w:rsidRPr="00F22461"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000B17DF">
        <w:rPr>
          <w:rFonts w:ascii="Times New Roman" w:hAnsi="Times New Roman" w:cs="Times New Roman"/>
          <w:sz w:val="24"/>
          <w:szCs w:val="24"/>
          <w:lang w:val="en-GB"/>
        </w:rPr>
        <w:t xml:space="preserve"> this duration suitable for </w:t>
      </w:r>
      <w:r w:rsidR="00A02AF0">
        <w:rPr>
          <w:rFonts w:ascii="Times New Roman" w:hAnsi="Times New Roman" w:cs="Times New Roman"/>
          <w:sz w:val="24"/>
          <w:szCs w:val="24"/>
          <w:lang w:val="en-GB"/>
        </w:rPr>
        <w:t xml:space="preserve">the achievement of the objectives of </w:t>
      </w:r>
      <w:r w:rsidR="000B17DF">
        <w:rPr>
          <w:rFonts w:ascii="Times New Roman" w:hAnsi="Times New Roman" w:cs="Times New Roman"/>
          <w:sz w:val="24"/>
          <w:szCs w:val="24"/>
          <w:lang w:val="en-GB"/>
        </w:rPr>
        <w:t xml:space="preserve">the </w:t>
      </w:r>
      <w:r w:rsidR="000B17DF" w:rsidRPr="002D0BD4">
        <w:rPr>
          <w:rFonts w:ascii="Times New Roman" w:eastAsia="Times New Roman" w:hAnsi="Times New Roman" w:cs="Times New Roman"/>
          <w:sz w:val="24"/>
          <w:szCs w:val="24"/>
          <w:lang w:val="en-GB" w:eastAsia="zh-CN"/>
        </w:rPr>
        <w:t>second</w:t>
      </w:r>
      <w:r w:rsidR="000B17DF">
        <w:rPr>
          <w:rFonts w:ascii="Times New Roman" w:hAnsi="Times New Roman" w:cs="Times New Roman"/>
          <w:sz w:val="24"/>
          <w:szCs w:val="24"/>
          <w:lang w:val="en-GB"/>
        </w:rPr>
        <w:t xml:space="preserve"> cycle? </w:t>
      </w:r>
    </w:p>
    <w:p w14:paraId="18F0F394" w14:textId="01E9C3E1" w:rsidR="0089434E" w:rsidRPr="0089434E" w:rsidRDefault="00A02AF0" w:rsidP="0089434E">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Was the allocation of time to the individual phases of the second cycle optimal for the achievement of the objectives of </w:t>
      </w:r>
      <w:r w:rsidR="000B17DF">
        <w:rPr>
          <w:rFonts w:ascii="Times New Roman" w:hAnsi="Times New Roman" w:cs="Times New Roman"/>
          <w:sz w:val="24"/>
          <w:szCs w:val="24"/>
          <w:lang w:val="en-GB"/>
        </w:rPr>
        <w:t>the second cycle</w:t>
      </w:r>
      <w:r w:rsidR="00AE3459" w:rsidRPr="00F22461">
        <w:rPr>
          <w:rFonts w:ascii="Times New Roman" w:hAnsi="Times New Roman" w:cs="Times New Roman"/>
          <w:sz w:val="24"/>
          <w:szCs w:val="24"/>
          <w:lang w:val="en-GB"/>
        </w:rPr>
        <w:t>?</w:t>
      </w:r>
    </w:p>
    <w:p w14:paraId="6FF4F0D0" w14:textId="6B5A3874" w:rsidR="00594EEF" w:rsidRPr="00F22461" w:rsidRDefault="00AC6F0A"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The scope of the </w:t>
      </w:r>
      <w:r w:rsidRPr="0089434E">
        <w:rPr>
          <w:rFonts w:ascii="Times New Roman" w:eastAsia="Times New Roman" w:hAnsi="Times New Roman" w:cs="Times New Roman"/>
          <w:sz w:val="24"/>
          <w:szCs w:val="24"/>
          <w:lang w:val="en-GB" w:eastAsia="zh-CN"/>
        </w:rPr>
        <w:t>first</w:t>
      </w:r>
      <w:r w:rsidRPr="00F22461">
        <w:rPr>
          <w:rFonts w:ascii="Times New Roman" w:hAnsi="Times New Roman" w:cs="Times New Roman"/>
          <w:sz w:val="24"/>
          <w:szCs w:val="24"/>
          <w:lang w:val="en-GB"/>
        </w:rPr>
        <w:t xml:space="preserve"> cycle was to </w:t>
      </w:r>
      <w:r w:rsidRPr="002D0BD4">
        <w:rPr>
          <w:rFonts w:ascii="Times New Roman" w:eastAsia="Times New Roman" w:hAnsi="Times New Roman" w:cs="Times New Roman"/>
          <w:sz w:val="24"/>
          <w:szCs w:val="24"/>
          <w:lang w:val="en-GB" w:eastAsia="zh-CN"/>
        </w:rPr>
        <w:t>establish a baseline</w:t>
      </w:r>
      <w:r w:rsidR="00AC0E24">
        <w:rPr>
          <w:rFonts w:ascii="Times New Roman" w:eastAsia="Times New Roman" w:hAnsi="Times New Roman" w:cs="Times New Roman"/>
          <w:sz w:val="24"/>
          <w:szCs w:val="24"/>
          <w:lang w:val="en-GB" w:eastAsia="zh-CN"/>
        </w:rPr>
        <w:t xml:space="preserve"> concerning the state of the marine environment</w:t>
      </w:r>
      <w:r w:rsidRPr="002D0BD4">
        <w:rPr>
          <w:rFonts w:ascii="Times New Roman" w:eastAsia="Times New Roman" w:hAnsi="Times New Roman" w:cs="Times New Roman"/>
          <w:sz w:val="24"/>
          <w:szCs w:val="24"/>
          <w:lang w:val="en-GB" w:eastAsia="zh-CN"/>
        </w:rPr>
        <w:t>, while the</w:t>
      </w:r>
      <w:r w:rsidRPr="00F22461">
        <w:rPr>
          <w:rFonts w:ascii="Times New Roman" w:hAnsi="Times New Roman" w:cs="Times New Roman"/>
          <w:sz w:val="24"/>
          <w:szCs w:val="24"/>
          <w:lang w:val="en-GB"/>
        </w:rPr>
        <w:t xml:space="preserve"> scope of the second cycle </w:t>
      </w:r>
      <w:r w:rsidR="006E1404">
        <w:rPr>
          <w:rFonts w:ascii="Times New Roman" w:hAnsi="Times New Roman" w:cs="Times New Roman"/>
          <w:sz w:val="24"/>
          <w:szCs w:val="24"/>
          <w:lang w:val="en-GB"/>
        </w:rPr>
        <w:t xml:space="preserve">was </w:t>
      </w:r>
      <w:r w:rsidRPr="00F22461">
        <w:rPr>
          <w:rFonts w:ascii="Times New Roman" w:hAnsi="Times New Roman" w:cs="Times New Roman"/>
          <w:sz w:val="24"/>
          <w:szCs w:val="24"/>
          <w:lang w:val="en-GB"/>
        </w:rPr>
        <w:t>extended to evaluating trends and identifying gaps.</w:t>
      </w:r>
      <w:r w:rsidR="00594EEF" w:rsidRPr="00F22461">
        <w:rPr>
          <w:rFonts w:ascii="Times New Roman" w:hAnsi="Times New Roman" w:cs="Times New Roman"/>
          <w:sz w:val="24"/>
          <w:szCs w:val="24"/>
          <w:lang w:val="en-GB"/>
        </w:rPr>
        <w:t xml:space="preserve"> </w:t>
      </w:r>
    </w:p>
    <w:p w14:paraId="533D96CE" w14:textId="5EE74C9D" w:rsidR="00594EEF"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w:t>
      </w:r>
      <w:r w:rsidRPr="002D0BD4">
        <w:rPr>
          <w:rFonts w:ascii="Times New Roman" w:eastAsia="Times New Roman" w:hAnsi="Times New Roman" w:cs="Times New Roman"/>
          <w:sz w:val="24"/>
          <w:szCs w:val="24"/>
          <w:lang w:val="en-GB" w:eastAsia="zh-CN"/>
        </w:rPr>
        <w:t>find</w:t>
      </w:r>
      <w:r w:rsidRPr="00F22461">
        <w:rPr>
          <w:rFonts w:ascii="Times New Roman" w:hAnsi="Times New Roman" w:cs="Times New Roman"/>
          <w:sz w:val="24"/>
          <w:szCs w:val="24"/>
          <w:lang w:val="en-GB"/>
        </w:rPr>
        <w:t xml:space="preserve"> </w:t>
      </w:r>
      <w:r w:rsidR="00A02AF0" w:rsidRPr="00F22461">
        <w:rPr>
          <w:rFonts w:ascii="Times New Roman" w:hAnsi="Times New Roman" w:cs="Times New Roman"/>
          <w:sz w:val="24"/>
          <w:szCs w:val="24"/>
          <w:lang w:val="en-GB"/>
        </w:rPr>
        <w:t>th</w:t>
      </w:r>
      <w:r w:rsidR="00A02AF0">
        <w:rPr>
          <w:rFonts w:ascii="Times New Roman" w:hAnsi="Times New Roman" w:cs="Times New Roman"/>
          <w:sz w:val="24"/>
          <w:szCs w:val="24"/>
          <w:lang w:val="en-GB"/>
        </w:rPr>
        <w:t>e</w:t>
      </w:r>
      <w:r w:rsidR="00A02AF0" w:rsidRPr="00F22461">
        <w:rPr>
          <w:rFonts w:ascii="Times New Roman" w:hAnsi="Times New Roman" w:cs="Times New Roman"/>
          <w:sz w:val="24"/>
          <w:szCs w:val="24"/>
          <w:lang w:val="en-GB"/>
        </w:rPr>
        <w:t xml:space="preserve"> </w:t>
      </w:r>
      <w:r w:rsidR="00594EEF" w:rsidRPr="00F22461">
        <w:rPr>
          <w:rFonts w:ascii="Times New Roman" w:hAnsi="Times New Roman" w:cs="Times New Roman"/>
          <w:sz w:val="24"/>
          <w:szCs w:val="24"/>
          <w:lang w:val="en-GB"/>
        </w:rPr>
        <w:t>scope</w:t>
      </w:r>
      <w:r w:rsidR="00A02AF0">
        <w:rPr>
          <w:rFonts w:ascii="Times New Roman" w:hAnsi="Times New Roman" w:cs="Times New Roman"/>
          <w:sz w:val="24"/>
          <w:szCs w:val="24"/>
          <w:lang w:val="en-GB"/>
        </w:rPr>
        <w:t xml:space="preserve"> of the second cycle</w:t>
      </w:r>
      <w:r w:rsidR="00594EEF" w:rsidRPr="00F224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suitable </w:t>
      </w:r>
      <w:r w:rsidR="00A02AF0">
        <w:rPr>
          <w:rFonts w:ascii="Times New Roman" w:hAnsi="Times New Roman" w:cs="Times New Roman"/>
          <w:sz w:val="24"/>
          <w:szCs w:val="24"/>
          <w:lang w:val="en-GB"/>
        </w:rPr>
        <w:t xml:space="preserve">from the perspective of the overall objectives of the </w:t>
      </w:r>
      <w:r w:rsidR="00D9085C">
        <w:rPr>
          <w:rFonts w:ascii="Times New Roman" w:hAnsi="Times New Roman" w:cs="Times New Roman"/>
          <w:sz w:val="24"/>
          <w:szCs w:val="24"/>
          <w:lang w:val="en-GB"/>
        </w:rPr>
        <w:t>Regular Process</w:t>
      </w:r>
      <w:r w:rsidR="00594EEF" w:rsidRPr="00F22461">
        <w:rPr>
          <w:rFonts w:ascii="Times New Roman" w:hAnsi="Times New Roman" w:cs="Times New Roman"/>
          <w:sz w:val="24"/>
          <w:szCs w:val="24"/>
          <w:lang w:val="en-GB"/>
        </w:rPr>
        <w:t>?</w:t>
      </w:r>
    </w:p>
    <w:p w14:paraId="176B504D" w14:textId="6A7305CA" w:rsidR="0089434E" w:rsidRPr="000A04C0" w:rsidRDefault="00306496"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w:t>
      </w:r>
      <w:r w:rsidR="00A02AF0">
        <w:rPr>
          <w:rFonts w:ascii="Times New Roman" w:hAnsi="Times New Roman" w:cs="Times New Roman"/>
          <w:sz w:val="24"/>
          <w:szCs w:val="24"/>
          <w:lang w:val="en-GB"/>
        </w:rPr>
        <w:t xml:space="preserve">other aspects </w:t>
      </w:r>
      <w:r w:rsidRPr="002D0BD4">
        <w:rPr>
          <w:rFonts w:ascii="Times New Roman" w:eastAsia="Times New Roman" w:hAnsi="Times New Roman" w:cs="Times New Roman"/>
          <w:sz w:val="24"/>
          <w:szCs w:val="24"/>
          <w:lang w:val="en-GB" w:eastAsia="zh-CN"/>
        </w:rPr>
        <w:t>might</w:t>
      </w:r>
      <w:r>
        <w:rPr>
          <w:rFonts w:ascii="Times New Roman" w:hAnsi="Times New Roman" w:cs="Times New Roman"/>
          <w:sz w:val="24"/>
          <w:szCs w:val="24"/>
          <w:lang w:val="en-GB"/>
        </w:rPr>
        <w:t xml:space="preserve"> have also been </w:t>
      </w:r>
      <w:r w:rsidR="00A02AF0">
        <w:rPr>
          <w:rFonts w:ascii="Times New Roman" w:hAnsi="Times New Roman" w:cs="Times New Roman"/>
          <w:sz w:val="24"/>
          <w:szCs w:val="24"/>
          <w:lang w:val="en-GB"/>
        </w:rPr>
        <w:t>covered by</w:t>
      </w:r>
      <w:r>
        <w:rPr>
          <w:rFonts w:ascii="Times New Roman" w:hAnsi="Times New Roman" w:cs="Times New Roman"/>
          <w:sz w:val="24"/>
          <w:szCs w:val="24"/>
          <w:lang w:val="en-GB"/>
        </w:rPr>
        <w:t xml:space="preserve"> the scope of the second cycle?</w:t>
      </w:r>
    </w:p>
    <w:p w14:paraId="4C5B6BD1" w14:textId="416C0550" w:rsidR="00594EEF" w:rsidRPr="000A479E" w:rsidRDefault="00625E73"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594EEF" w:rsidRPr="000A479E">
        <w:rPr>
          <w:rFonts w:ascii="Times New Roman" w:hAnsi="Times New Roman" w:cs="Times New Roman"/>
          <w:sz w:val="24"/>
          <w:szCs w:val="24"/>
          <w:lang w:val="en-GB"/>
        </w:rPr>
        <w:t xml:space="preserve"> main outputs from the second cycle</w:t>
      </w:r>
      <w:r>
        <w:rPr>
          <w:rFonts w:ascii="Times New Roman" w:hAnsi="Times New Roman" w:cs="Times New Roman"/>
          <w:sz w:val="24"/>
          <w:szCs w:val="24"/>
          <w:lang w:val="en-GB"/>
        </w:rPr>
        <w:t xml:space="preserve"> include</w:t>
      </w:r>
      <w:r w:rsidR="00594EEF" w:rsidRPr="000A479E">
        <w:rPr>
          <w:rFonts w:ascii="Times New Roman" w:hAnsi="Times New Roman" w:cs="Times New Roman"/>
          <w:sz w:val="24"/>
          <w:szCs w:val="24"/>
          <w:lang w:val="en-GB"/>
        </w:rPr>
        <w:t xml:space="preserve">: the technical abstracts from the </w:t>
      </w:r>
      <w:r w:rsidR="00306496" w:rsidRPr="000A479E">
        <w:rPr>
          <w:rFonts w:ascii="Times New Roman" w:hAnsi="Times New Roman" w:cs="Times New Roman"/>
          <w:sz w:val="24"/>
          <w:szCs w:val="24"/>
          <w:lang w:val="en-GB"/>
        </w:rPr>
        <w:t>F</w:t>
      </w:r>
      <w:r w:rsidR="00594EEF" w:rsidRPr="000A479E">
        <w:rPr>
          <w:rFonts w:ascii="Times New Roman" w:hAnsi="Times New Roman" w:cs="Times New Roman"/>
          <w:sz w:val="24"/>
          <w:szCs w:val="24"/>
          <w:lang w:val="en-GB"/>
        </w:rPr>
        <w:t xml:space="preserve">irst </w:t>
      </w:r>
      <w:r w:rsidR="00306496" w:rsidRPr="000A479E">
        <w:rPr>
          <w:rFonts w:ascii="Times New Roman" w:hAnsi="Times New Roman" w:cs="Times New Roman"/>
          <w:sz w:val="24"/>
          <w:szCs w:val="24"/>
          <w:lang w:val="en-GB"/>
        </w:rPr>
        <w:t xml:space="preserve">Global Integrated </w:t>
      </w:r>
      <w:r w:rsidR="00306496" w:rsidRPr="0089434E">
        <w:rPr>
          <w:rFonts w:ascii="Times New Roman" w:eastAsia="Times New Roman" w:hAnsi="Times New Roman" w:cs="Times New Roman"/>
          <w:sz w:val="24"/>
          <w:szCs w:val="24"/>
          <w:lang w:val="en-GB" w:eastAsia="zh-CN"/>
        </w:rPr>
        <w:t>Marine</w:t>
      </w:r>
      <w:r w:rsidR="00594EEF" w:rsidRPr="000A479E">
        <w:rPr>
          <w:rFonts w:ascii="Times New Roman" w:hAnsi="Times New Roman" w:cs="Times New Roman"/>
          <w:sz w:val="24"/>
          <w:szCs w:val="24"/>
          <w:lang w:val="en-GB"/>
        </w:rPr>
        <w:t xml:space="preserve"> Assessment (</w:t>
      </w:r>
      <w:r w:rsidR="00FE7BBF" w:rsidRPr="00DE2E20">
        <w:rPr>
          <w:rFonts w:ascii="Times New Roman" w:hAnsi="Times New Roman" w:cs="Times New Roman"/>
          <w:sz w:val="24"/>
          <w:szCs w:val="24"/>
          <w:lang w:val="en-GB"/>
        </w:rPr>
        <w:t xml:space="preserve">First World </w:t>
      </w:r>
      <w:r w:rsidR="00FE7BBF" w:rsidRPr="002D0BD4">
        <w:rPr>
          <w:rFonts w:ascii="Times New Roman" w:eastAsia="Times New Roman" w:hAnsi="Times New Roman" w:cs="Times New Roman"/>
          <w:sz w:val="24"/>
          <w:szCs w:val="24"/>
          <w:lang w:val="en-GB" w:eastAsia="zh-CN"/>
        </w:rPr>
        <w:t>Ocean</w:t>
      </w:r>
      <w:r w:rsidR="00FE7BBF" w:rsidRPr="00DE2E20">
        <w:rPr>
          <w:rFonts w:ascii="Times New Roman" w:hAnsi="Times New Roman" w:cs="Times New Roman"/>
          <w:sz w:val="24"/>
          <w:szCs w:val="24"/>
          <w:lang w:val="en-GB"/>
        </w:rPr>
        <w:t xml:space="preserve"> Assessment</w:t>
      </w:r>
      <w:r w:rsidR="00FE7BBF">
        <w:rPr>
          <w:lang w:val="en-GB"/>
        </w:rPr>
        <w:t xml:space="preserve"> – </w:t>
      </w:r>
      <w:r w:rsidR="00594EEF" w:rsidRPr="000A479E">
        <w:rPr>
          <w:rFonts w:ascii="Times New Roman" w:hAnsi="Times New Roman" w:cs="Times New Roman"/>
          <w:sz w:val="24"/>
          <w:szCs w:val="24"/>
          <w:lang w:val="en-GB"/>
        </w:rPr>
        <w:t xml:space="preserve">WOA I) and the second </w:t>
      </w:r>
      <w:r w:rsidR="00306496" w:rsidRPr="000A479E">
        <w:rPr>
          <w:rFonts w:ascii="Times New Roman" w:hAnsi="Times New Roman" w:cs="Times New Roman"/>
          <w:sz w:val="24"/>
          <w:szCs w:val="24"/>
          <w:lang w:val="en-GB"/>
        </w:rPr>
        <w:t>w</w:t>
      </w:r>
      <w:r w:rsidR="00594EEF" w:rsidRPr="000A479E">
        <w:rPr>
          <w:rFonts w:ascii="Times New Roman" w:hAnsi="Times New Roman" w:cs="Times New Roman"/>
          <w:sz w:val="24"/>
          <w:szCs w:val="24"/>
          <w:lang w:val="en-GB"/>
        </w:rPr>
        <w:t xml:space="preserve">orld </w:t>
      </w:r>
      <w:r w:rsidR="00306496" w:rsidRPr="000A479E">
        <w:rPr>
          <w:rFonts w:ascii="Times New Roman" w:hAnsi="Times New Roman" w:cs="Times New Roman"/>
          <w:sz w:val="24"/>
          <w:szCs w:val="24"/>
          <w:lang w:val="en-GB"/>
        </w:rPr>
        <w:t>o</w:t>
      </w:r>
      <w:r w:rsidR="00594EEF" w:rsidRPr="000A479E">
        <w:rPr>
          <w:rFonts w:ascii="Times New Roman" w:hAnsi="Times New Roman" w:cs="Times New Roman"/>
          <w:sz w:val="24"/>
          <w:szCs w:val="24"/>
          <w:lang w:val="en-GB"/>
        </w:rPr>
        <w:t xml:space="preserve">cean </w:t>
      </w:r>
      <w:r w:rsidR="00306496" w:rsidRPr="000A479E">
        <w:rPr>
          <w:rFonts w:ascii="Times New Roman" w:hAnsi="Times New Roman" w:cs="Times New Roman"/>
          <w:sz w:val="24"/>
          <w:szCs w:val="24"/>
          <w:lang w:val="en-GB"/>
        </w:rPr>
        <w:t>a</w:t>
      </w:r>
      <w:r w:rsidR="00594EEF" w:rsidRPr="000A479E">
        <w:rPr>
          <w:rFonts w:ascii="Times New Roman" w:hAnsi="Times New Roman" w:cs="Times New Roman"/>
          <w:sz w:val="24"/>
          <w:szCs w:val="24"/>
          <w:lang w:val="en-GB"/>
        </w:rPr>
        <w:t xml:space="preserve">ssessment (WOA II). </w:t>
      </w:r>
    </w:p>
    <w:p w14:paraId="5CECF85F" w14:textId="6CB6FE7B" w:rsidR="00766A7E"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Pr="00F22461">
        <w:rPr>
          <w:rFonts w:ascii="Times New Roman" w:hAnsi="Times New Roman" w:cs="Times New Roman"/>
          <w:sz w:val="24"/>
          <w:szCs w:val="24"/>
          <w:lang w:val="en-GB"/>
        </w:rPr>
        <w:t xml:space="preserve"> </w:t>
      </w:r>
      <w:r w:rsidR="00A02AF0">
        <w:rPr>
          <w:rFonts w:ascii="Times New Roman" w:hAnsi="Times New Roman" w:cs="Times New Roman"/>
          <w:sz w:val="24"/>
          <w:szCs w:val="24"/>
          <w:lang w:val="en-GB"/>
        </w:rPr>
        <w:t>the technical abstracts</w:t>
      </w:r>
      <w:r w:rsidR="00111726" w:rsidRPr="00F22461">
        <w:rPr>
          <w:rFonts w:ascii="Times New Roman" w:hAnsi="Times New Roman" w:cs="Times New Roman"/>
          <w:sz w:val="24"/>
          <w:szCs w:val="24"/>
          <w:lang w:val="en-GB"/>
        </w:rPr>
        <w:t xml:space="preserve"> useful</w:t>
      </w:r>
      <w:r w:rsidR="00D3368B">
        <w:rPr>
          <w:rFonts w:ascii="Times New Roman" w:hAnsi="Times New Roman" w:cs="Times New Roman"/>
          <w:sz w:val="24"/>
          <w:szCs w:val="24"/>
          <w:lang w:val="en-GB"/>
        </w:rPr>
        <w:t xml:space="preserve"> and relevant</w:t>
      </w:r>
      <w:r w:rsidR="00111726" w:rsidRPr="00F22461">
        <w:rPr>
          <w:rFonts w:ascii="Times New Roman" w:hAnsi="Times New Roman" w:cs="Times New Roman"/>
          <w:sz w:val="24"/>
          <w:szCs w:val="24"/>
          <w:lang w:val="en-GB"/>
        </w:rPr>
        <w:t xml:space="preserve">? </w:t>
      </w:r>
    </w:p>
    <w:p w14:paraId="2F4841E5" w14:textId="434DAA3F" w:rsidR="00AC6C96" w:rsidRDefault="00D3368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not, what </w:t>
      </w:r>
      <w:r w:rsidR="00766A7E">
        <w:rPr>
          <w:rFonts w:ascii="Times New Roman" w:hAnsi="Times New Roman" w:cs="Times New Roman"/>
          <w:sz w:val="24"/>
          <w:szCs w:val="24"/>
          <w:lang w:val="en-GB"/>
        </w:rPr>
        <w:t xml:space="preserve">might have been </w:t>
      </w:r>
      <w:r w:rsidR="0089434E">
        <w:rPr>
          <w:rFonts w:ascii="Times New Roman" w:hAnsi="Times New Roman" w:cs="Times New Roman"/>
          <w:sz w:val="24"/>
          <w:szCs w:val="24"/>
          <w:lang w:val="en-GB"/>
        </w:rPr>
        <w:t>done</w:t>
      </w:r>
      <w:r w:rsidR="00766A7E">
        <w:rPr>
          <w:rFonts w:ascii="Times New Roman" w:hAnsi="Times New Roman" w:cs="Times New Roman"/>
          <w:sz w:val="24"/>
          <w:szCs w:val="24"/>
          <w:lang w:val="en-GB"/>
        </w:rPr>
        <w:t xml:space="preserve"> to make these outputs more useful</w:t>
      </w:r>
      <w:r w:rsidR="00691E0E">
        <w:rPr>
          <w:rFonts w:ascii="Times New Roman" w:hAnsi="Times New Roman" w:cs="Times New Roman"/>
          <w:sz w:val="24"/>
          <w:szCs w:val="24"/>
          <w:lang w:val="en-GB"/>
        </w:rPr>
        <w:t xml:space="preserve"> and relevant</w:t>
      </w:r>
      <w:r w:rsidR="00766A7E">
        <w:rPr>
          <w:rFonts w:ascii="Times New Roman" w:hAnsi="Times New Roman" w:cs="Times New Roman"/>
          <w:sz w:val="24"/>
          <w:szCs w:val="24"/>
          <w:lang w:val="en-GB"/>
        </w:rPr>
        <w:t>?</w:t>
      </w:r>
      <w:r w:rsidR="00DE2E20">
        <w:rPr>
          <w:rFonts w:ascii="Times New Roman" w:hAnsi="Times New Roman" w:cs="Times New Roman"/>
          <w:sz w:val="24"/>
          <w:szCs w:val="24"/>
          <w:lang w:val="en-GB"/>
        </w:rPr>
        <w:t xml:space="preserve"> For example, how could the format, scope and focus of these outputs have been improved?</w:t>
      </w:r>
    </w:p>
    <w:p w14:paraId="04B4D9A0" w14:textId="36D55EDD" w:rsidR="0089434E" w:rsidRDefault="00D3368B"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experience </w:t>
      </w:r>
      <w:r w:rsidR="00DC169F">
        <w:rPr>
          <w:rFonts w:ascii="Times New Roman" w:hAnsi="Times New Roman" w:cs="Times New Roman"/>
          <w:sz w:val="24"/>
          <w:szCs w:val="24"/>
          <w:lang w:val="en-GB"/>
        </w:rPr>
        <w:t>of</w:t>
      </w:r>
      <w:r w:rsidR="00D9085C">
        <w:rPr>
          <w:rFonts w:ascii="Times New Roman" w:hAnsi="Times New Roman" w:cs="Times New Roman"/>
          <w:sz w:val="24"/>
          <w:szCs w:val="24"/>
          <w:lang w:val="en-GB"/>
        </w:rPr>
        <w:t xml:space="preserve"> the second cycle</w:t>
      </w:r>
      <w:r>
        <w:rPr>
          <w:rFonts w:ascii="Times New Roman" w:hAnsi="Times New Roman" w:cs="Times New Roman"/>
          <w:sz w:val="24"/>
          <w:szCs w:val="24"/>
          <w:lang w:val="en-GB"/>
        </w:rPr>
        <w:t>, w</w:t>
      </w:r>
      <w:r w:rsidR="00AC6C96">
        <w:rPr>
          <w:rFonts w:ascii="Times New Roman" w:hAnsi="Times New Roman" w:cs="Times New Roman"/>
          <w:sz w:val="24"/>
          <w:szCs w:val="24"/>
          <w:lang w:val="en-GB"/>
        </w:rPr>
        <w:t xml:space="preserve">hat </w:t>
      </w:r>
      <w:r>
        <w:rPr>
          <w:rFonts w:ascii="Times New Roman" w:hAnsi="Times New Roman" w:cs="Times New Roman"/>
          <w:sz w:val="24"/>
          <w:szCs w:val="24"/>
          <w:lang w:val="en-GB"/>
        </w:rPr>
        <w:t>may be</w:t>
      </w:r>
      <w:r w:rsidR="00AC6C96">
        <w:rPr>
          <w:rFonts w:ascii="Times New Roman" w:hAnsi="Times New Roman" w:cs="Times New Roman"/>
          <w:sz w:val="24"/>
          <w:szCs w:val="24"/>
          <w:lang w:val="en-GB"/>
        </w:rPr>
        <w:t xml:space="preserve"> done to create </w:t>
      </w:r>
      <w:r w:rsidR="008F3F88" w:rsidRPr="00F22461">
        <w:rPr>
          <w:rFonts w:ascii="Times New Roman" w:hAnsi="Times New Roman" w:cs="Times New Roman"/>
          <w:sz w:val="24"/>
          <w:szCs w:val="24"/>
          <w:lang w:val="en-GB"/>
        </w:rPr>
        <w:t>more direct links</w:t>
      </w:r>
      <w:r w:rsidR="00AC6C96">
        <w:rPr>
          <w:rFonts w:ascii="Times New Roman" w:hAnsi="Times New Roman" w:cs="Times New Roman"/>
          <w:sz w:val="24"/>
          <w:szCs w:val="24"/>
          <w:lang w:val="en-GB"/>
        </w:rPr>
        <w:t xml:space="preserve"> between these outputs</w:t>
      </w:r>
      <w:r w:rsidR="008F3F88" w:rsidRPr="00F22461">
        <w:rPr>
          <w:rFonts w:ascii="Times New Roman" w:hAnsi="Times New Roman" w:cs="Times New Roman"/>
          <w:sz w:val="24"/>
          <w:szCs w:val="24"/>
          <w:lang w:val="en-GB"/>
        </w:rPr>
        <w:t xml:space="preserve"> to global, regional or </w:t>
      </w:r>
      <w:proofErr w:type="spellStart"/>
      <w:r w:rsidR="008F3F88" w:rsidRPr="00F22461">
        <w:rPr>
          <w:rFonts w:ascii="Times New Roman" w:hAnsi="Times New Roman" w:cs="Times New Roman"/>
          <w:sz w:val="24"/>
          <w:szCs w:val="24"/>
          <w:lang w:val="en-GB"/>
        </w:rPr>
        <w:t>subregional</w:t>
      </w:r>
      <w:proofErr w:type="spellEnd"/>
      <w:r w:rsidR="008F3F88" w:rsidRPr="00F22461">
        <w:rPr>
          <w:rFonts w:ascii="Times New Roman" w:hAnsi="Times New Roman" w:cs="Times New Roman"/>
          <w:sz w:val="24"/>
          <w:szCs w:val="24"/>
          <w:lang w:val="en-GB"/>
        </w:rPr>
        <w:t xml:space="preserve"> objectives, in particular the 2030 Agenda for Sustainable Development and the Sustainable Development Goals?</w:t>
      </w:r>
    </w:p>
    <w:p w14:paraId="22804DD3" w14:textId="77777777" w:rsidR="00ED4F51" w:rsidRPr="000A04C0" w:rsidRDefault="00ED4F51" w:rsidP="00ED4F51">
      <w:pPr>
        <w:pStyle w:val="ListParagraph"/>
        <w:spacing w:after="0" w:line="240" w:lineRule="auto"/>
        <w:jc w:val="both"/>
        <w:rPr>
          <w:rFonts w:ascii="Times New Roman" w:hAnsi="Times New Roman" w:cs="Times New Roman"/>
          <w:sz w:val="24"/>
          <w:szCs w:val="24"/>
          <w:lang w:val="en-GB"/>
        </w:rPr>
      </w:pPr>
    </w:p>
    <w:p w14:paraId="6C57BF63" w14:textId="07D9111E" w:rsidR="00823DE4" w:rsidRPr="00CE1582" w:rsidRDefault="00830C4E" w:rsidP="00CE1582">
      <w:pPr>
        <w:pStyle w:val="ListParagraph"/>
        <w:numPr>
          <w:ilvl w:val="0"/>
          <w:numId w:val="2"/>
        </w:numPr>
        <w:snapToGrid w:val="0"/>
        <w:spacing w:before="240"/>
        <w:jc w:val="both"/>
        <w:rPr>
          <w:rFonts w:ascii="Times New Roman" w:hAnsi="Times New Roman" w:cs="Times New Roman"/>
          <w:sz w:val="24"/>
          <w:szCs w:val="24"/>
          <w:lang w:val="en-GB"/>
        </w:rPr>
      </w:pPr>
      <w:r w:rsidRPr="0089434E">
        <w:rPr>
          <w:rFonts w:ascii="Times New Roman" w:hAnsi="Times New Roman" w:cs="Times New Roman"/>
          <w:sz w:val="24"/>
          <w:szCs w:val="24"/>
          <w:lang w:val="en-GB"/>
        </w:rPr>
        <w:t>In accordance with t</w:t>
      </w:r>
      <w:r w:rsidR="00823DE4" w:rsidRPr="0089434E">
        <w:rPr>
          <w:rFonts w:ascii="Times New Roman" w:hAnsi="Times New Roman" w:cs="Times New Roman"/>
          <w:sz w:val="24"/>
          <w:szCs w:val="24"/>
          <w:lang w:val="en-GB"/>
        </w:rPr>
        <w:t>he programme of work for the period 2017-2020</w:t>
      </w:r>
      <w:r w:rsidR="006E1404" w:rsidRPr="0089434E">
        <w:rPr>
          <w:rFonts w:ascii="Times New Roman" w:hAnsi="Times New Roman" w:cs="Times New Roman"/>
          <w:sz w:val="24"/>
          <w:szCs w:val="24"/>
          <w:lang w:val="en-GB"/>
        </w:rPr>
        <w:t xml:space="preserve"> of the second cycle</w:t>
      </w:r>
      <w:r w:rsidRPr="0089434E">
        <w:rPr>
          <w:rFonts w:ascii="Times New Roman" w:hAnsi="Times New Roman" w:cs="Times New Roman"/>
          <w:sz w:val="24"/>
          <w:szCs w:val="24"/>
          <w:lang w:val="en-GB"/>
        </w:rPr>
        <w:t>,</w:t>
      </w:r>
      <w:r w:rsidR="00823DE4" w:rsidRPr="0089434E">
        <w:rPr>
          <w:rFonts w:ascii="Times New Roman" w:hAnsi="Times New Roman" w:cs="Times New Roman"/>
          <w:sz w:val="24"/>
          <w:szCs w:val="24"/>
          <w:lang w:val="en-GB"/>
        </w:rPr>
        <w:t xml:space="preserve"> a number of </w:t>
      </w:r>
      <w:r w:rsidR="00823DE4" w:rsidRPr="0089434E">
        <w:rPr>
          <w:rFonts w:ascii="Times New Roman" w:eastAsia="Times New Roman" w:hAnsi="Times New Roman" w:cs="Times New Roman"/>
          <w:sz w:val="24"/>
          <w:szCs w:val="24"/>
          <w:lang w:val="en-GB" w:eastAsia="zh-CN"/>
        </w:rPr>
        <w:t>activities</w:t>
      </w:r>
      <w:r w:rsidR="00823DE4" w:rsidRPr="0089434E">
        <w:rPr>
          <w:rFonts w:ascii="Times New Roman" w:hAnsi="Times New Roman" w:cs="Times New Roman"/>
          <w:sz w:val="24"/>
          <w:szCs w:val="24"/>
          <w:lang w:val="en-GB"/>
        </w:rPr>
        <w:t xml:space="preserve"> </w:t>
      </w:r>
      <w:r w:rsidRPr="0089434E">
        <w:rPr>
          <w:rFonts w:ascii="Times New Roman" w:hAnsi="Times New Roman" w:cs="Times New Roman"/>
          <w:sz w:val="24"/>
          <w:szCs w:val="24"/>
          <w:lang w:val="en-GB"/>
        </w:rPr>
        <w:t xml:space="preserve">were carried out </w:t>
      </w:r>
      <w:r w:rsidR="00823DE4" w:rsidRPr="0089434E">
        <w:rPr>
          <w:rFonts w:ascii="Times New Roman" w:hAnsi="Times New Roman" w:cs="Times New Roman"/>
          <w:sz w:val="24"/>
          <w:szCs w:val="24"/>
          <w:lang w:val="en-GB"/>
        </w:rPr>
        <w:t>to make the second cycle operational</w:t>
      </w:r>
      <w:r w:rsidRPr="0089434E">
        <w:rPr>
          <w:rFonts w:ascii="Times New Roman" w:hAnsi="Times New Roman" w:cs="Times New Roman"/>
          <w:sz w:val="24"/>
          <w:szCs w:val="24"/>
          <w:lang w:val="en-GB"/>
        </w:rPr>
        <w:t>, including</w:t>
      </w:r>
      <w:r w:rsidR="00823DE4" w:rsidRPr="0089434E">
        <w:rPr>
          <w:rFonts w:ascii="Times New Roman" w:hAnsi="Times New Roman" w:cs="Times New Roman"/>
          <w:sz w:val="24"/>
          <w:szCs w:val="24"/>
          <w:lang w:val="en-GB"/>
        </w:rPr>
        <w:t xml:space="preserve"> activities relat</w:t>
      </w:r>
      <w:r w:rsidRPr="0089434E">
        <w:rPr>
          <w:rFonts w:ascii="Times New Roman" w:hAnsi="Times New Roman" w:cs="Times New Roman"/>
          <w:sz w:val="24"/>
          <w:szCs w:val="24"/>
          <w:lang w:val="en-GB"/>
        </w:rPr>
        <w:t>ing</w:t>
      </w:r>
      <w:r w:rsidR="00823DE4" w:rsidRPr="0089434E">
        <w:rPr>
          <w:rFonts w:ascii="Times New Roman" w:hAnsi="Times New Roman" w:cs="Times New Roman"/>
          <w:sz w:val="24"/>
          <w:szCs w:val="24"/>
          <w:lang w:val="en-GB"/>
        </w:rPr>
        <w:t xml:space="preserve"> to the achievement of the two outputs, </w:t>
      </w:r>
      <w:r w:rsidRPr="0089434E">
        <w:rPr>
          <w:rFonts w:ascii="Times New Roman" w:hAnsi="Times New Roman" w:cs="Times New Roman"/>
          <w:sz w:val="24"/>
          <w:szCs w:val="24"/>
          <w:lang w:val="en-GB"/>
        </w:rPr>
        <w:t xml:space="preserve">on </w:t>
      </w:r>
      <w:r w:rsidR="00823DE4" w:rsidRPr="0089434E">
        <w:rPr>
          <w:rFonts w:ascii="Times New Roman" w:hAnsi="Times New Roman" w:cs="Times New Roman"/>
          <w:sz w:val="24"/>
          <w:szCs w:val="24"/>
          <w:lang w:val="en-GB"/>
        </w:rPr>
        <w:t>outreach and awareness-raising</w:t>
      </w:r>
      <w:r w:rsidR="00B777DA" w:rsidRPr="0089434E">
        <w:rPr>
          <w:rFonts w:ascii="Times New Roman" w:hAnsi="Times New Roman" w:cs="Times New Roman"/>
          <w:sz w:val="24"/>
          <w:szCs w:val="24"/>
          <w:lang w:val="en-GB"/>
        </w:rPr>
        <w:t>,</w:t>
      </w:r>
      <w:r w:rsidR="00823DE4" w:rsidRPr="0089434E">
        <w:rPr>
          <w:rFonts w:ascii="Times New Roman" w:hAnsi="Times New Roman" w:cs="Times New Roman"/>
          <w:sz w:val="24"/>
          <w:szCs w:val="24"/>
          <w:lang w:val="en-GB"/>
        </w:rPr>
        <w:t xml:space="preserve"> and </w:t>
      </w:r>
      <w:r w:rsidRPr="0089434E">
        <w:rPr>
          <w:rFonts w:ascii="Times New Roman" w:hAnsi="Times New Roman" w:cs="Times New Roman"/>
          <w:sz w:val="24"/>
          <w:szCs w:val="24"/>
          <w:lang w:val="en-GB"/>
        </w:rPr>
        <w:t xml:space="preserve">relating </w:t>
      </w:r>
      <w:r w:rsidR="00823DE4" w:rsidRPr="0089434E">
        <w:rPr>
          <w:rFonts w:ascii="Times New Roman" w:hAnsi="Times New Roman" w:cs="Times New Roman"/>
          <w:sz w:val="24"/>
          <w:szCs w:val="24"/>
          <w:lang w:val="en-GB"/>
        </w:rPr>
        <w:t>to the achievement of capacity-building</w:t>
      </w:r>
      <w:r w:rsidR="00CE1582">
        <w:rPr>
          <w:rFonts w:ascii="Times New Roman" w:hAnsi="Times New Roman" w:cs="Times New Roman"/>
          <w:sz w:val="24"/>
          <w:szCs w:val="24"/>
          <w:lang w:val="en-GB"/>
        </w:rPr>
        <w:t xml:space="preserve">, such as the </w:t>
      </w:r>
      <w:r w:rsidR="00CE1582" w:rsidRPr="00CE1582">
        <w:rPr>
          <w:rFonts w:ascii="Times New Roman" w:hAnsi="Times New Roman" w:cs="Times New Roman"/>
          <w:sz w:val="24"/>
          <w:szCs w:val="24"/>
          <w:lang w:val="en-GB"/>
        </w:rPr>
        <w:t>maintenance of a capacity-building inventory</w:t>
      </w:r>
      <w:r w:rsidR="00CE1582">
        <w:rPr>
          <w:rFonts w:ascii="Times New Roman" w:hAnsi="Times New Roman" w:cs="Times New Roman"/>
          <w:sz w:val="24"/>
          <w:szCs w:val="24"/>
          <w:lang w:val="en-GB"/>
        </w:rPr>
        <w:t>, the</w:t>
      </w:r>
      <w:r w:rsidR="00CE1582" w:rsidRPr="00CE1582">
        <w:rPr>
          <w:rFonts w:ascii="Times New Roman" w:hAnsi="Times New Roman" w:cs="Times New Roman"/>
          <w:sz w:val="24"/>
          <w:szCs w:val="24"/>
          <w:lang w:val="en-GB"/>
        </w:rPr>
        <w:t xml:space="preserve"> holding of </w:t>
      </w:r>
      <w:r w:rsidR="00CE1582">
        <w:rPr>
          <w:rFonts w:ascii="Times New Roman" w:hAnsi="Times New Roman" w:cs="Times New Roman"/>
          <w:sz w:val="24"/>
          <w:szCs w:val="24"/>
          <w:lang w:val="en-GB"/>
        </w:rPr>
        <w:t xml:space="preserve">regional </w:t>
      </w:r>
      <w:r w:rsidR="00CE1582" w:rsidRPr="00CE1582">
        <w:rPr>
          <w:rFonts w:ascii="Times New Roman" w:hAnsi="Times New Roman" w:cs="Times New Roman"/>
          <w:sz w:val="24"/>
          <w:szCs w:val="24"/>
          <w:lang w:val="en-GB"/>
        </w:rPr>
        <w:t xml:space="preserve">workshops and their follow-up, </w:t>
      </w:r>
      <w:r w:rsidR="00CE1582">
        <w:rPr>
          <w:rFonts w:ascii="Times New Roman" w:hAnsi="Times New Roman" w:cs="Times New Roman"/>
          <w:sz w:val="24"/>
          <w:szCs w:val="24"/>
          <w:lang w:val="en-GB"/>
        </w:rPr>
        <w:t>and t</w:t>
      </w:r>
      <w:r w:rsidR="00CE1582" w:rsidRPr="00CE1582">
        <w:rPr>
          <w:rFonts w:ascii="Times New Roman" w:hAnsi="Times New Roman" w:cs="Times New Roman"/>
          <w:sz w:val="24"/>
          <w:szCs w:val="24"/>
          <w:lang w:val="en-GB"/>
        </w:rPr>
        <w:t xml:space="preserve">he holding of a </w:t>
      </w:r>
      <w:r w:rsidR="00CE1582" w:rsidRPr="0089434E">
        <w:rPr>
          <w:rFonts w:ascii="Times New Roman" w:eastAsia="Times New Roman" w:hAnsi="Times New Roman" w:cs="Times New Roman"/>
          <w:sz w:val="24"/>
          <w:szCs w:val="24"/>
          <w:lang w:val="en-GB" w:eastAsia="zh-CN"/>
        </w:rPr>
        <w:t>multi-stakeholder dialogue and capacity-building partnership event</w:t>
      </w:r>
      <w:r w:rsidR="00823DE4" w:rsidRPr="00CE1582">
        <w:rPr>
          <w:lang w:val="en-GB"/>
        </w:rPr>
        <w:t>.</w:t>
      </w:r>
    </w:p>
    <w:p w14:paraId="4477B347" w14:textId="32A51DE7" w:rsidR="00823DE4" w:rsidRPr="00F22461" w:rsidRDefault="00823DE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Which activities </w:t>
      </w:r>
      <w:r w:rsidR="00830C4E">
        <w:rPr>
          <w:rFonts w:ascii="Times New Roman" w:hAnsi="Times New Roman" w:cs="Times New Roman"/>
          <w:sz w:val="24"/>
          <w:szCs w:val="24"/>
          <w:lang w:val="en-GB"/>
        </w:rPr>
        <w:t>did you find</w:t>
      </w:r>
      <w:r w:rsidR="00830C4E" w:rsidRPr="00F22461">
        <w:rPr>
          <w:rFonts w:ascii="Times New Roman" w:hAnsi="Times New Roman" w:cs="Times New Roman"/>
          <w:sz w:val="24"/>
          <w:szCs w:val="24"/>
          <w:lang w:val="en-GB"/>
        </w:rPr>
        <w:t xml:space="preserve"> </w:t>
      </w:r>
      <w:r w:rsidRPr="00F22461">
        <w:rPr>
          <w:rFonts w:ascii="Times New Roman" w:hAnsi="Times New Roman" w:cs="Times New Roman"/>
          <w:sz w:val="24"/>
          <w:szCs w:val="24"/>
          <w:lang w:val="en-GB"/>
        </w:rPr>
        <w:t xml:space="preserve">most </w:t>
      </w:r>
      <w:r w:rsidR="00260E50">
        <w:rPr>
          <w:rFonts w:ascii="Times New Roman" w:hAnsi="Times New Roman" w:cs="Times New Roman"/>
          <w:sz w:val="24"/>
          <w:szCs w:val="24"/>
          <w:lang w:val="en-GB"/>
        </w:rPr>
        <w:t>useful and relevant</w:t>
      </w:r>
      <w:r w:rsidRPr="00F22461">
        <w:rPr>
          <w:rFonts w:ascii="Times New Roman" w:hAnsi="Times New Roman" w:cs="Times New Roman"/>
          <w:sz w:val="24"/>
          <w:szCs w:val="24"/>
          <w:lang w:val="en-GB"/>
        </w:rPr>
        <w:t>?</w:t>
      </w:r>
    </w:p>
    <w:p w14:paraId="3F259052" w14:textId="7BCEB8E7" w:rsidR="00823DE4" w:rsidRPr="004E0F7B" w:rsidRDefault="00260E50" w:rsidP="00260E50">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Are there any activities that </w:t>
      </w:r>
      <w:r>
        <w:rPr>
          <w:rFonts w:ascii="Times New Roman" w:hAnsi="Times New Roman" w:cs="Times New Roman"/>
          <w:sz w:val="24"/>
          <w:szCs w:val="24"/>
          <w:lang w:val="en-GB"/>
        </w:rPr>
        <w:t>may need to be reviewed with a view to better supporting the overall objectives of the Regular Process</w:t>
      </w:r>
      <w:r w:rsidRPr="00F22461">
        <w:rPr>
          <w:rFonts w:ascii="Times New Roman" w:hAnsi="Times New Roman" w:cs="Times New Roman"/>
          <w:sz w:val="24"/>
          <w:szCs w:val="24"/>
          <w:lang w:val="en-GB"/>
        </w:rPr>
        <w:t>?</w:t>
      </w:r>
    </w:p>
    <w:p w14:paraId="46BC4E26" w14:textId="05CB3058" w:rsidR="003F1D1A" w:rsidRPr="000A04C0" w:rsidRDefault="00823DE4"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Wh</w:t>
      </w:r>
      <w:r w:rsidR="00830C4E">
        <w:rPr>
          <w:rFonts w:ascii="Times New Roman" w:hAnsi="Times New Roman" w:cs="Times New Roman"/>
          <w:sz w:val="24"/>
          <w:szCs w:val="24"/>
          <w:lang w:val="en-GB"/>
        </w:rPr>
        <w:t>at other</w:t>
      </w:r>
      <w:r w:rsidRPr="00F22461">
        <w:rPr>
          <w:rFonts w:ascii="Times New Roman" w:hAnsi="Times New Roman" w:cs="Times New Roman"/>
          <w:sz w:val="24"/>
          <w:szCs w:val="24"/>
          <w:lang w:val="en-GB"/>
        </w:rPr>
        <w:t xml:space="preserve"> activities </w:t>
      </w:r>
      <w:r w:rsidR="002D1FBA">
        <w:rPr>
          <w:rFonts w:ascii="Times New Roman" w:hAnsi="Times New Roman" w:cs="Times New Roman"/>
          <w:sz w:val="24"/>
          <w:szCs w:val="24"/>
          <w:lang w:val="en-GB"/>
        </w:rPr>
        <w:t>might</w:t>
      </w:r>
      <w:r w:rsidR="00830C4E">
        <w:rPr>
          <w:rFonts w:ascii="Times New Roman" w:hAnsi="Times New Roman" w:cs="Times New Roman"/>
          <w:sz w:val="24"/>
          <w:szCs w:val="24"/>
          <w:lang w:val="en-GB"/>
        </w:rPr>
        <w:t xml:space="preserve"> have </w:t>
      </w:r>
      <w:r w:rsidR="008C19C9">
        <w:rPr>
          <w:rFonts w:ascii="Times New Roman" w:hAnsi="Times New Roman" w:cs="Times New Roman"/>
          <w:sz w:val="24"/>
          <w:szCs w:val="24"/>
          <w:lang w:val="en-GB"/>
        </w:rPr>
        <w:t xml:space="preserve">also </w:t>
      </w:r>
      <w:r w:rsidR="00830C4E">
        <w:rPr>
          <w:rFonts w:ascii="Times New Roman" w:hAnsi="Times New Roman" w:cs="Times New Roman"/>
          <w:sz w:val="24"/>
          <w:szCs w:val="24"/>
          <w:lang w:val="en-GB"/>
        </w:rPr>
        <w:t>been done to better support the second cycle</w:t>
      </w:r>
      <w:r w:rsidRPr="00F22461">
        <w:rPr>
          <w:rFonts w:ascii="Times New Roman" w:hAnsi="Times New Roman" w:cs="Times New Roman"/>
          <w:sz w:val="24"/>
          <w:szCs w:val="24"/>
          <w:lang w:val="en-GB"/>
        </w:rPr>
        <w:t>?</w:t>
      </w:r>
    </w:p>
    <w:p w14:paraId="4DE9CE6B" w14:textId="53658F11" w:rsidR="00F168B0" w:rsidRPr="0089434E" w:rsidRDefault="003F1D1A"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sidRPr="0089434E">
        <w:rPr>
          <w:rFonts w:ascii="Times New Roman" w:hAnsi="Times New Roman" w:cs="Times New Roman"/>
          <w:sz w:val="24"/>
          <w:szCs w:val="24"/>
          <w:lang w:val="en-GB"/>
        </w:rPr>
        <w:t xml:space="preserve">As the secretariat of the Regular Process, the Division for Ocean Affairs and the Law of the Sea of the Office of Legal Affairs </w:t>
      </w:r>
      <w:r w:rsidR="00CA091C" w:rsidRPr="0089434E">
        <w:rPr>
          <w:rFonts w:ascii="Times New Roman" w:hAnsi="Times New Roman" w:cs="Times New Roman"/>
          <w:sz w:val="24"/>
          <w:szCs w:val="24"/>
          <w:lang w:val="en-GB"/>
        </w:rPr>
        <w:t xml:space="preserve">(DOALOS) </w:t>
      </w:r>
      <w:r w:rsidRPr="0089434E">
        <w:rPr>
          <w:rFonts w:ascii="Times New Roman" w:hAnsi="Times New Roman" w:cs="Times New Roman"/>
          <w:sz w:val="24"/>
          <w:szCs w:val="24"/>
          <w:lang w:val="en-GB"/>
        </w:rPr>
        <w:t>performs a series of functions, as defined in the Annex to the programme of work for the period 2017-2020, to support the activities undertaken within the second cycle.</w:t>
      </w:r>
    </w:p>
    <w:p w14:paraId="29981741" w14:textId="44987F43" w:rsidR="008A2AB6" w:rsidRPr="00F22461" w:rsidRDefault="008A2AB6"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there any additional activities that </w:t>
      </w:r>
      <w:r w:rsidR="00D3368B">
        <w:rPr>
          <w:rFonts w:ascii="Times New Roman" w:hAnsi="Times New Roman" w:cs="Times New Roman"/>
          <w:sz w:val="24"/>
          <w:szCs w:val="24"/>
          <w:lang w:val="en-GB"/>
        </w:rPr>
        <w:t xml:space="preserve">could have been assigned to </w:t>
      </w:r>
      <w:r>
        <w:rPr>
          <w:rFonts w:ascii="Times New Roman" w:hAnsi="Times New Roman" w:cs="Times New Roman"/>
          <w:sz w:val="24"/>
          <w:szCs w:val="24"/>
          <w:lang w:val="en-GB"/>
        </w:rPr>
        <w:t>the secretariat to better support the second cycle?</w:t>
      </w:r>
    </w:p>
    <w:p w14:paraId="5D6C268F" w14:textId="04AECDAA" w:rsidR="009A3D1A" w:rsidRDefault="009A3D1A"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 xml:space="preserve">Are there any activities that </w:t>
      </w:r>
      <w:r w:rsidR="00D3368B">
        <w:rPr>
          <w:rFonts w:ascii="Times New Roman" w:hAnsi="Times New Roman" w:cs="Times New Roman"/>
          <w:sz w:val="24"/>
          <w:szCs w:val="24"/>
          <w:lang w:val="en-GB"/>
        </w:rPr>
        <w:t xml:space="preserve">may need to be reviewed with a view to better supporting the overall objectives of </w:t>
      </w:r>
      <w:r w:rsidR="00D9085C">
        <w:rPr>
          <w:rFonts w:ascii="Times New Roman" w:hAnsi="Times New Roman" w:cs="Times New Roman"/>
          <w:sz w:val="24"/>
          <w:szCs w:val="24"/>
          <w:lang w:val="en-GB"/>
        </w:rPr>
        <w:t>the Regular Process</w:t>
      </w:r>
      <w:r w:rsidRPr="00F22461">
        <w:rPr>
          <w:rFonts w:ascii="Times New Roman" w:hAnsi="Times New Roman" w:cs="Times New Roman"/>
          <w:sz w:val="24"/>
          <w:szCs w:val="24"/>
          <w:lang w:val="en-GB"/>
        </w:rPr>
        <w:t>?</w:t>
      </w:r>
    </w:p>
    <w:p w14:paraId="0D582DCC" w14:textId="1741BC7E" w:rsidR="00766A7E" w:rsidRPr="000A04C0" w:rsidRDefault="0089434E"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w:t>
      </w:r>
      <w:r w:rsidR="003779CE">
        <w:rPr>
          <w:rFonts w:ascii="Times New Roman" w:hAnsi="Times New Roman" w:cs="Times New Roman"/>
          <w:sz w:val="24"/>
          <w:szCs w:val="24"/>
          <w:lang w:val="en-GB"/>
        </w:rPr>
        <w:t xml:space="preserve">hen assessing the performance of the secretariat in supporting the second cycle, what feedback would you offer to assist </w:t>
      </w:r>
      <w:r w:rsidR="00754541">
        <w:rPr>
          <w:rFonts w:ascii="Times New Roman" w:hAnsi="Times New Roman" w:cs="Times New Roman"/>
          <w:sz w:val="24"/>
          <w:szCs w:val="24"/>
          <w:lang w:val="en-GB"/>
        </w:rPr>
        <w:t>it</w:t>
      </w:r>
      <w:r w:rsidR="003779CE">
        <w:rPr>
          <w:rFonts w:ascii="Times New Roman" w:hAnsi="Times New Roman" w:cs="Times New Roman"/>
          <w:sz w:val="24"/>
          <w:szCs w:val="24"/>
          <w:lang w:val="en-GB"/>
        </w:rPr>
        <w:t xml:space="preserve"> in further improving </w:t>
      </w:r>
      <w:r w:rsidR="00754541">
        <w:rPr>
          <w:rFonts w:ascii="Times New Roman" w:hAnsi="Times New Roman" w:cs="Times New Roman"/>
          <w:sz w:val="24"/>
          <w:szCs w:val="24"/>
          <w:lang w:val="en-GB"/>
        </w:rPr>
        <w:t xml:space="preserve">its </w:t>
      </w:r>
      <w:r w:rsidR="003779CE">
        <w:rPr>
          <w:rFonts w:ascii="Times New Roman" w:hAnsi="Times New Roman" w:cs="Times New Roman"/>
          <w:sz w:val="24"/>
          <w:szCs w:val="24"/>
          <w:lang w:val="en-GB"/>
        </w:rPr>
        <w:t>work</w:t>
      </w:r>
      <w:r w:rsidR="005E191D" w:rsidRPr="00F22461">
        <w:rPr>
          <w:rFonts w:ascii="Times New Roman" w:hAnsi="Times New Roman" w:cs="Times New Roman"/>
          <w:sz w:val="24"/>
          <w:szCs w:val="24"/>
          <w:lang w:val="en-GB"/>
        </w:rPr>
        <w:t>?</w:t>
      </w:r>
    </w:p>
    <w:p w14:paraId="73AEB189" w14:textId="7FDF7A32" w:rsidR="0023505D" w:rsidRPr="002D0BD4" w:rsidRDefault="00BD481C"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2D0BD4">
        <w:rPr>
          <w:rFonts w:ascii="Times New Roman" w:eastAsia="Times New Roman" w:hAnsi="Times New Roman" w:cs="Times New Roman"/>
          <w:sz w:val="24"/>
          <w:szCs w:val="24"/>
          <w:lang w:val="en-GB" w:eastAsia="zh-CN"/>
        </w:rPr>
        <w:t>The Guidance for Contributors noted that the Group of Experts woul</w:t>
      </w:r>
      <w:r w:rsidR="0023505D" w:rsidRPr="002D0BD4">
        <w:rPr>
          <w:rFonts w:ascii="Times New Roman" w:eastAsia="Times New Roman" w:hAnsi="Times New Roman" w:cs="Times New Roman"/>
          <w:sz w:val="24"/>
          <w:szCs w:val="24"/>
          <w:lang w:val="en-GB" w:eastAsia="zh-CN"/>
        </w:rPr>
        <w:t xml:space="preserve">d develop proposals for the scope and structure of the assessment(s) to be produced during the second cycle, as well as a </w:t>
      </w:r>
      <w:r w:rsidR="00DE2E20" w:rsidRPr="002D0BD4">
        <w:rPr>
          <w:rFonts w:ascii="Times New Roman" w:eastAsia="Times New Roman" w:hAnsi="Times New Roman" w:cs="Times New Roman"/>
          <w:sz w:val="24"/>
          <w:szCs w:val="24"/>
          <w:lang w:val="en-GB" w:eastAsia="zh-CN"/>
        </w:rPr>
        <w:t>t</w:t>
      </w:r>
      <w:r w:rsidR="00081F1A" w:rsidRPr="002D0BD4">
        <w:rPr>
          <w:rFonts w:ascii="Times New Roman" w:eastAsia="Times New Roman" w:hAnsi="Times New Roman" w:cs="Times New Roman"/>
          <w:sz w:val="24"/>
          <w:szCs w:val="24"/>
          <w:lang w:val="en-GB" w:eastAsia="zh-CN"/>
        </w:rPr>
        <w:t>imetable and implementation plan</w:t>
      </w:r>
      <w:r w:rsidRPr="002D0BD4">
        <w:rPr>
          <w:rFonts w:ascii="Times New Roman" w:eastAsia="Times New Roman" w:hAnsi="Times New Roman" w:cs="Times New Roman"/>
          <w:sz w:val="24"/>
          <w:szCs w:val="24"/>
          <w:lang w:val="en-GB" w:eastAsia="zh-CN"/>
        </w:rPr>
        <w:t xml:space="preserve"> for </w:t>
      </w:r>
      <w:r w:rsidR="0023505D" w:rsidRPr="002D0BD4">
        <w:rPr>
          <w:rFonts w:ascii="Times New Roman" w:eastAsia="Times New Roman" w:hAnsi="Times New Roman" w:cs="Times New Roman"/>
          <w:sz w:val="24"/>
          <w:szCs w:val="24"/>
          <w:lang w:val="en-GB" w:eastAsia="zh-CN"/>
        </w:rPr>
        <w:t>each. The General Assembly later decided that the Group of Experts should proceed on the basis of a single, comprehensive assessment. T</w:t>
      </w:r>
      <w:r w:rsidRPr="002D0BD4">
        <w:rPr>
          <w:rFonts w:ascii="Times New Roman" w:eastAsia="Times New Roman" w:hAnsi="Times New Roman" w:cs="Times New Roman"/>
          <w:sz w:val="24"/>
          <w:szCs w:val="24"/>
          <w:lang w:val="en-GB" w:eastAsia="zh-CN"/>
        </w:rPr>
        <w:t xml:space="preserve">he </w:t>
      </w:r>
      <w:r w:rsidR="0023505D" w:rsidRPr="002D0BD4">
        <w:rPr>
          <w:rFonts w:ascii="Times New Roman" w:eastAsia="Times New Roman" w:hAnsi="Times New Roman" w:cs="Times New Roman"/>
          <w:sz w:val="24"/>
          <w:szCs w:val="24"/>
          <w:lang w:val="en-GB" w:eastAsia="zh-CN"/>
        </w:rPr>
        <w:t xml:space="preserve">preliminary timetable and implementation plan for the </w:t>
      </w:r>
      <w:r w:rsidRPr="002D0BD4">
        <w:rPr>
          <w:rFonts w:ascii="Times New Roman" w:eastAsia="Times New Roman" w:hAnsi="Times New Roman" w:cs="Times New Roman"/>
          <w:sz w:val="24"/>
          <w:szCs w:val="24"/>
          <w:lang w:val="en-GB" w:eastAsia="zh-CN"/>
        </w:rPr>
        <w:t xml:space="preserve">production of </w:t>
      </w:r>
      <w:r w:rsidR="00062A93" w:rsidRPr="002D0BD4">
        <w:rPr>
          <w:rFonts w:ascii="Times New Roman" w:eastAsia="Times New Roman" w:hAnsi="Times New Roman" w:cs="Times New Roman"/>
          <w:sz w:val="24"/>
          <w:szCs w:val="24"/>
          <w:lang w:val="en-GB" w:eastAsia="zh-CN"/>
        </w:rPr>
        <w:t>WOA II</w:t>
      </w:r>
      <w:r w:rsidRPr="002D0BD4">
        <w:rPr>
          <w:rFonts w:ascii="Times New Roman" w:eastAsia="Times New Roman" w:hAnsi="Times New Roman" w:cs="Times New Roman"/>
          <w:sz w:val="24"/>
          <w:szCs w:val="24"/>
          <w:lang w:val="en-GB" w:eastAsia="zh-CN"/>
        </w:rPr>
        <w:t xml:space="preserve"> was adopted in March 2018</w:t>
      </w:r>
      <w:r w:rsidR="008E2F11" w:rsidRPr="002D0BD4">
        <w:rPr>
          <w:rFonts w:ascii="Times New Roman" w:eastAsia="Times New Roman" w:hAnsi="Times New Roman" w:cs="Times New Roman"/>
          <w:sz w:val="24"/>
          <w:szCs w:val="24"/>
          <w:lang w:val="en-GB" w:eastAsia="zh-CN"/>
        </w:rPr>
        <w:t>.</w:t>
      </w:r>
      <w:r w:rsidR="00CA091C" w:rsidRPr="002D0BD4">
        <w:rPr>
          <w:rFonts w:ascii="Times New Roman" w:eastAsia="Times New Roman" w:hAnsi="Times New Roman" w:cs="Times New Roman"/>
          <w:sz w:val="24"/>
          <w:szCs w:val="24"/>
          <w:lang w:val="en-GB" w:eastAsia="zh-CN"/>
        </w:rPr>
        <w:t xml:space="preserve"> </w:t>
      </w:r>
      <w:r w:rsidR="005912DA" w:rsidRPr="002D0BD4">
        <w:rPr>
          <w:rFonts w:ascii="Times New Roman" w:eastAsia="Times New Roman" w:hAnsi="Times New Roman" w:cs="Times New Roman"/>
          <w:sz w:val="24"/>
          <w:szCs w:val="24"/>
          <w:lang w:val="en-GB" w:eastAsia="zh-CN"/>
        </w:rPr>
        <w:t xml:space="preserve">This was </w:t>
      </w:r>
      <w:r w:rsidR="00CA091C" w:rsidRPr="002D0BD4">
        <w:rPr>
          <w:rFonts w:ascii="Times New Roman" w:eastAsia="Times New Roman" w:hAnsi="Times New Roman" w:cs="Times New Roman"/>
          <w:sz w:val="24"/>
          <w:szCs w:val="24"/>
          <w:lang w:val="en-GB" w:eastAsia="zh-CN"/>
        </w:rPr>
        <w:t xml:space="preserve">subsequently </w:t>
      </w:r>
      <w:r w:rsidR="0089434E">
        <w:rPr>
          <w:rFonts w:ascii="Times New Roman" w:eastAsia="Times New Roman" w:hAnsi="Times New Roman" w:cs="Times New Roman"/>
          <w:sz w:val="24"/>
          <w:szCs w:val="24"/>
          <w:lang w:val="en-GB" w:eastAsia="zh-CN"/>
        </w:rPr>
        <w:t>revised</w:t>
      </w:r>
      <w:r w:rsidR="00BF5813" w:rsidRPr="002D0BD4">
        <w:rPr>
          <w:rFonts w:ascii="Times New Roman" w:eastAsia="Times New Roman" w:hAnsi="Times New Roman" w:cs="Times New Roman"/>
          <w:sz w:val="24"/>
          <w:szCs w:val="24"/>
          <w:lang w:val="en-GB" w:eastAsia="zh-CN"/>
        </w:rPr>
        <w:t xml:space="preserve">, </w:t>
      </w:r>
      <w:r w:rsidR="00CA091C" w:rsidRPr="002D0BD4">
        <w:rPr>
          <w:rFonts w:ascii="Times New Roman" w:eastAsia="Times New Roman" w:hAnsi="Times New Roman" w:cs="Times New Roman"/>
          <w:sz w:val="24"/>
          <w:szCs w:val="24"/>
          <w:lang w:val="en-GB" w:eastAsia="zh-CN"/>
        </w:rPr>
        <w:t xml:space="preserve">in light of the progress being made, with the final version of the timetable and implementation plan </w:t>
      </w:r>
      <w:r w:rsidR="009C49B7" w:rsidRPr="002D0BD4">
        <w:rPr>
          <w:rFonts w:ascii="Times New Roman" w:eastAsia="Times New Roman" w:hAnsi="Times New Roman" w:cs="Times New Roman"/>
          <w:sz w:val="24"/>
          <w:szCs w:val="24"/>
          <w:lang w:val="en-GB" w:eastAsia="zh-CN"/>
        </w:rPr>
        <w:t>approved by the Bureau</w:t>
      </w:r>
      <w:r w:rsidR="00CA091C" w:rsidRPr="002D0BD4">
        <w:rPr>
          <w:rFonts w:ascii="Times New Roman" w:eastAsia="Times New Roman" w:hAnsi="Times New Roman" w:cs="Times New Roman"/>
          <w:sz w:val="24"/>
          <w:szCs w:val="24"/>
          <w:lang w:val="en-GB" w:eastAsia="zh-CN"/>
        </w:rPr>
        <w:t xml:space="preserve"> in November 2019</w:t>
      </w:r>
      <w:r w:rsidR="0023505D" w:rsidRPr="002D0BD4">
        <w:rPr>
          <w:rFonts w:ascii="Times New Roman" w:eastAsia="Times New Roman" w:hAnsi="Times New Roman" w:cs="Times New Roman"/>
          <w:sz w:val="24"/>
          <w:szCs w:val="24"/>
          <w:lang w:val="en-GB" w:eastAsia="zh-CN"/>
        </w:rPr>
        <w:t>.</w:t>
      </w:r>
    </w:p>
    <w:p w14:paraId="27ABF09E" w14:textId="759F0884" w:rsidR="00233D94" w:rsidRPr="00F22461"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00823DE4" w:rsidRPr="00F22461">
        <w:rPr>
          <w:rFonts w:ascii="Times New Roman" w:hAnsi="Times New Roman" w:cs="Times New Roman"/>
          <w:sz w:val="24"/>
          <w:szCs w:val="24"/>
          <w:lang w:val="en-GB"/>
        </w:rPr>
        <w:t xml:space="preserve"> the </w:t>
      </w:r>
      <w:r w:rsidR="00FA30F9">
        <w:rPr>
          <w:rFonts w:ascii="Times New Roman" w:hAnsi="Times New Roman" w:cs="Times New Roman"/>
          <w:sz w:val="24"/>
          <w:szCs w:val="24"/>
          <w:lang w:val="en-GB"/>
        </w:rPr>
        <w:t>t</w:t>
      </w:r>
      <w:r w:rsidR="00823DE4" w:rsidRPr="00F22461">
        <w:rPr>
          <w:rFonts w:ascii="Times New Roman" w:hAnsi="Times New Roman" w:cs="Times New Roman"/>
          <w:sz w:val="24"/>
          <w:szCs w:val="24"/>
          <w:lang w:val="en-GB"/>
        </w:rPr>
        <w:t xml:space="preserve">imetable and implementation plan </w:t>
      </w:r>
      <w:r w:rsidR="006221CD">
        <w:rPr>
          <w:rFonts w:ascii="Times New Roman" w:hAnsi="Times New Roman" w:cs="Times New Roman"/>
          <w:sz w:val="24"/>
          <w:szCs w:val="24"/>
          <w:lang w:val="en-GB"/>
        </w:rPr>
        <w:t>useful</w:t>
      </w:r>
      <w:r w:rsidR="00823DE4" w:rsidRPr="00F22461">
        <w:rPr>
          <w:rFonts w:ascii="Times New Roman" w:hAnsi="Times New Roman" w:cs="Times New Roman"/>
          <w:sz w:val="24"/>
          <w:szCs w:val="24"/>
          <w:lang w:val="en-GB"/>
        </w:rPr>
        <w:t xml:space="preserve">? </w:t>
      </w:r>
    </w:p>
    <w:p w14:paraId="0BDE5A0E" w14:textId="3612EF08" w:rsidR="00766A7E" w:rsidRPr="005D1AFA" w:rsidRDefault="00754541" w:rsidP="005D1AFA">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w:t>
      </w:r>
      <w:r w:rsidR="00FA30F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making </w:t>
      </w:r>
      <w:r w:rsidR="00FA30F9">
        <w:rPr>
          <w:rFonts w:ascii="Times New Roman" w:hAnsi="Times New Roman" w:cs="Times New Roman"/>
          <w:sz w:val="24"/>
          <w:szCs w:val="24"/>
          <w:lang w:val="en-GB"/>
        </w:rPr>
        <w:t>the timetable and implementation plan more useful</w:t>
      </w:r>
      <w:r w:rsidR="004A20EB" w:rsidRPr="00F22461">
        <w:rPr>
          <w:rFonts w:ascii="Times New Roman" w:hAnsi="Times New Roman" w:cs="Times New Roman"/>
          <w:sz w:val="24"/>
          <w:szCs w:val="24"/>
          <w:lang w:val="en-GB"/>
        </w:rPr>
        <w:t>?</w:t>
      </w:r>
    </w:p>
    <w:p w14:paraId="20308788" w14:textId="1EFAEAEB" w:rsidR="00550CC8" w:rsidRPr="002D0BD4" w:rsidRDefault="00550CC8"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2D0BD4">
        <w:rPr>
          <w:rFonts w:ascii="Times New Roman" w:eastAsia="Times New Roman" w:hAnsi="Times New Roman" w:cs="Times New Roman"/>
          <w:sz w:val="24"/>
          <w:szCs w:val="24"/>
          <w:lang w:val="en-GB" w:eastAsia="zh-CN"/>
        </w:rPr>
        <w:t xml:space="preserve">The Group of Experts was </w:t>
      </w:r>
      <w:r w:rsidR="006221CD" w:rsidRPr="002D0BD4">
        <w:rPr>
          <w:rFonts w:ascii="Times New Roman" w:eastAsia="Times New Roman" w:hAnsi="Times New Roman" w:cs="Times New Roman"/>
          <w:sz w:val="24"/>
          <w:szCs w:val="24"/>
          <w:lang w:val="en-GB" w:eastAsia="zh-CN"/>
        </w:rPr>
        <w:t xml:space="preserve">first </w:t>
      </w:r>
      <w:r w:rsidR="00625E73" w:rsidRPr="002D0BD4">
        <w:rPr>
          <w:rFonts w:ascii="Times New Roman" w:eastAsia="Times New Roman" w:hAnsi="Times New Roman" w:cs="Times New Roman"/>
          <w:sz w:val="24"/>
          <w:szCs w:val="24"/>
          <w:lang w:val="en-GB" w:eastAsia="zh-CN"/>
        </w:rPr>
        <w:t xml:space="preserve">requested </w:t>
      </w:r>
      <w:r w:rsidRPr="002D0BD4">
        <w:rPr>
          <w:rFonts w:ascii="Times New Roman" w:eastAsia="Times New Roman" w:hAnsi="Times New Roman" w:cs="Times New Roman"/>
          <w:sz w:val="24"/>
          <w:szCs w:val="24"/>
          <w:lang w:val="en-GB" w:eastAsia="zh-CN"/>
        </w:rPr>
        <w:t>to develop an outline of WOA II for adoption by the Ad Hoc Working Group of the Whole</w:t>
      </w:r>
      <w:r w:rsidR="006221CD" w:rsidRPr="002D0BD4">
        <w:rPr>
          <w:rFonts w:ascii="Times New Roman" w:eastAsia="Times New Roman" w:hAnsi="Times New Roman" w:cs="Times New Roman"/>
          <w:sz w:val="24"/>
          <w:szCs w:val="24"/>
          <w:lang w:val="en-GB" w:eastAsia="zh-CN"/>
        </w:rPr>
        <w:t xml:space="preserve"> and</w:t>
      </w:r>
      <w:r w:rsidRPr="002D0BD4">
        <w:rPr>
          <w:rFonts w:ascii="Times New Roman" w:eastAsia="Times New Roman" w:hAnsi="Times New Roman" w:cs="Times New Roman"/>
          <w:sz w:val="24"/>
          <w:szCs w:val="24"/>
          <w:lang w:val="en-GB" w:eastAsia="zh-CN"/>
        </w:rPr>
        <w:t xml:space="preserve"> later </w:t>
      </w:r>
      <w:r w:rsidR="0089434E">
        <w:rPr>
          <w:rFonts w:ascii="Times New Roman" w:eastAsia="Times New Roman" w:hAnsi="Times New Roman" w:cs="Times New Roman"/>
          <w:sz w:val="24"/>
          <w:szCs w:val="24"/>
          <w:lang w:val="en-GB" w:eastAsia="zh-CN"/>
        </w:rPr>
        <w:t xml:space="preserve">requested </w:t>
      </w:r>
      <w:r w:rsidRPr="002D0BD4">
        <w:rPr>
          <w:rFonts w:ascii="Times New Roman" w:eastAsia="Times New Roman" w:hAnsi="Times New Roman" w:cs="Times New Roman"/>
          <w:sz w:val="24"/>
          <w:szCs w:val="24"/>
          <w:lang w:val="en-GB" w:eastAsia="zh-CN"/>
        </w:rPr>
        <w:t xml:space="preserve">to </w:t>
      </w:r>
      <w:r w:rsidR="004B72B4" w:rsidRPr="002D0BD4">
        <w:rPr>
          <w:rFonts w:ascii="Times New Roman" w:eastAsia="Times New Roman" w:hAnsi="Times New Roman" w:cs="Times New Roman"/>
          <w:sz w:val="24"/>
          <w:szCs w:val="24"/>
          <w:lang w:val="en-GB" w:eastAsia="zh-CN"/>
        </w:rPr>
        <w:t>also provide</w:t>
      </w:r>
      <w:r w:rsidRPr="002D0BD4">
        <w:rPr>
          <w:rFonts w:ascii="Times New Roman" w:eastAsia="Times New Roman" w:hAnsi="Times New Roman" w:cs="Times New Roman"/>
          <w:sz w:val="24"/>
          <w:szCs w:val="24"/>
          <w:lang w:val="en-GB" w:eastAsia="zh-CN"/>
        </w:rPr>
        <w:t xml:space="preserve"> an annotated outline for WOA II.</w:t>
      </w:r>
      <w:r w:rsidR="00FA30F9" w:rsidRPr="002D0BD4">
        <w:rPr>
          <w:rFonts w:ascii="Times New Roman" w:eastAsia="Times New Roman" w:hAnsi="Times New Roman" w:cs="Times New Roman"/>
          <w:sz w:val="24"/>
          <w:szCs w:val="24"/>
          <w:lang w:val="en-GB" w:eastAsia="zh-CN"/>
        </w:rPr>
        <w:t xml:space="preserve"> During the discussions on the annotated outline, the Joint Coordinator of the Group of Experts </w:t>
      </w:r>
      <w:r w:rsidR="0089434E">
        <w:rPr>
          <w:rFonts w:ascii="Times New Roman" w:eastAsia="Times New Roman" w:hAnsi="Times New Roman" w:cs="Times New Roman"/>
          <w:sz w:val="24"/>
          <w:szCs w:val="24"/>
          <w:lang w:val="en-GB" w:eastAsia="zh-CN"/>
        </w:rPr>
        <w:t xml:space="preserve">noted that </w:t>
      </w:r>
      <w:r w:rsidR="00FA30F9" w:rsidRPr="002D0BD4">
        <w:rPr>
          <w:rFonts w:ascii="Times New Roman" w:eastAsia="Times New Roman" w:hAnsi="Times New Roman" w:cs="Times New Roman"/>
          <w:sz w:val="24"/>
          <w:szCs w:val="24"/>
          <w:lang w:val="en-GB" w:eastAsia="zh-CN"/>
        </w:rPr>
        <w:t>“the annotated outline required inputs from writing teams and could only be prepared once all the writing teams were approved” (A/73/373, para</w:t>
      </w:r>
      <w:r w:rsidR="0089434E">
        <w:rPr>
          <w:rFonts w:ascii="Times New Roman" w:eastAsia="Times New Roman" w:hAnsi="Times New Roman" w:cs="Times New Roman"/>
          <w:sz w:val="24"/>
          <w:szCs w:val="24"/>
          <w:lang w:val="en-GB" w:eastAsia="zh-CN"/>
        </w:rPr>
        <w:t>.</w:t>
      </w:r>
      <w:r w:rsidR="000A04C0">
        <w:rPr>
          <w:rFonts w:ascii="Times New Roman" w:eastAsia="Times New Roman" w:hAnsi="Times New Roman" w:cs="Times New Roman"/>
          <w:sz w:val="24"/>
          <w:szCs w:val="24"/>
          <w:lang w:val="en-GB" w:eastAsia="zh-CN"/>
        </w:rPr>
        <w:t xml:space="preserve"> </w:t>
      </w:r>
      <w:r w:rsidR="00FA30F9" w:rsidRPr="002D0BD4">
        <w:rPr>
          <w:rFonts w:ascii="Times New Roman" w:eastAsia="Times New Roman" w:hAnsi="Times New Roman" w:cs="Times New Roman"/>
          <w:sz w:val="24"/>
          <w:szCs w:val="24"/>
          <w:lang w:val="en-GB" w:eastAsia="zh-CN"/>
        </w:rPr>
        <w:t xml:space="preserve">11). For </w:t>
      </w:r>
      <w:r w:rsidR="00DE2E20" w:rsidRPr="002D0BD4">
        <w:rPr>
          <w:rFonts w:ascii="Times New Roman" w:eastAsia="Times New Roman" w:hAnsi="Times New Roman" w:cs="Times New Roman"/>
          <w:sz w:val="24"/>
          <w:szCs w:val="24"/>
          <w:lang w:val="en-GB" w:eastAsia="zh-CN"/>
        </w:rPr>
        <w:t>WOA II,</w:t>
      </w:r>
      <w:r w:rsidR="00FA30F9" w:rsidRPr="002D0BD4">
        <w:rPr>
          <w:rFonts w:ascii="Times New Roman" w:eastAsia="Times New Roman" w:hAnsi="Times New Roman" w:cs="Times New Roman"/>
          <w:sz w:val="24"/>
          <w:szCs w:val="24"/>
          <w:lang w:val="en-GB" w:eastAsia="zh-CN"/>
        </w:rPr>
        <w:t xml:space="preserve"> the last writing teams were approved in April 2020.</w:t>
      </w:r>
    </w:p>
    <w:p w14:paraId="1B30B215" w14:textId="7A10E7F0" w:rsidR="00550CC8" w:rsidRPr="00F22461"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006221CD">
        <w:rPr>
          <w:rFonts w:ascii="Times New Roman" w:hAnsi="Times New Roman" w:cs="Times New Roman"/>
          <w:sz w:val="24"/>
          <w:szCs w:val="24"/>
          <w:lang w:val="en-GB"/>
        </w:rPr>
        <w:t xml:space="preserve"> both the outline and the annotated outline useful</w:t>
      </w:r>
      <w:r w:rsidR="00550CC8" w:rsidRPr="00F22461">
        <w:rPr>
          <w:rFonts w:ascii="Times New Roman" w:hAnsi="Times New Roman" w:cs="Times New Roman"/>
          <w:sz w:val="24"/>
          <w:szCs w:val="24"/>
          <w:lang w:val="en-GB"/>
        </w:rPr>
        <w:t>?</w:t>
      </w:r>
    </w:p>
    <w:p w14:paraId="7A504D9E" w14:textId="6D49DC42" w:rsidR="002F623D" w:rsidRDefault="0075454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making </w:t>
      </w:r>
      <w:r w:rsidR="006221CD">
        <w:rPr>
          <w:rFonts w:ascii="Times New Roman" w:hAnsi="Times New Roman" w:cs="Times New Roman"/>
          <w:sz w:val="24"/>
          <w:szCs w:val="24"/>
          <w:lang w:val="en-GB"/>
        </w:rPr>
        <w:t xml:space="preserve">the outline </w:t>
      </w:r>
      <w:r w:rsidR="00FA30F9">
        <w:rPr>
          <w:rFonts w:ascii="Times New Roman" w:hAnsi="Times New Roman" w:cs="Times New Roman"/>
          <w:sz w:val="24"/>
          <w:szCs w:val="24"/>
          <w:lang w:val="en-GB"/>
        </w:rPr>
        <w:t xml:space="preserve">and the annotated outline </w:t>
      </w:r>
      <w:r w:rsidR="006221CD">
        <w:rPr>
          <w:rFonts w:ascii="Times New Roman" w:hAnsi="Times New Roman" w:cs="Times New Roman"/>
          <w:sz w:val="24"/>
          <w:szCs w:val="24"/>
          <w:lang w:val="en-GB"/>
        </w:rPr>
        <w:t>more useful?</w:t>
      </w:r>
      <w:r w:rsidR="00FA30F9" w:rsidRPr="008A3AAE" w:rsidDel="00FA30F9">
        <w:rPr>
          <w:rFonts w:ascii="Times New Roman" w:hAnsi="Times New Roman" w:cs="Times New Roman"/>
          <w:sz w:val="24"/>
          <w:szCs w:val="24"/>
          <w:lang w:val="en-GB"/>
        </w:rPr>
        <w:t xml:space="preserve"> </w:t>
      </w:r>
    </w:p>
    <w:p w14:paraId="506627DB" w14:textId="034FB9C9" w:rsidR="00F5423C" w:rsidRDefault="0075454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w:t>
      </w:r>
      <w:r w:rsidRPr="00F22461">
        <w:rPr>
          <w:rFonts w:ascii="Times New Roman" w:hAnsi="Times New Roman" w:cs="Times New Roman"/>
          <w:sz w:val="24"/>
          <w:szCs w:val="24"/>
          <w:lang w:val="en-GB"/>
        </w:rPr>
        <w:t>ensur</w:t>
      </w:r>
      <w:r>
        <w:rPr>
          <w:rFonts w:ascii="Times New Roman" w:hAnsi="Times New Roman" w:cs="Times New Roman"/>
          <w:sz w:val="24"/>
          <w:szCs w:val="24"/>
          <w:lang w:val="en-GB"/>
        </w:rPr>
        <w:t>ing</w:t>
      </w:r>
      <w:r w:rsidRPr="00F22461">
        <w:rPr>
          <w:rFonts w:ascii="Times New Roman" w:hAnsi="Times New Roman" w:cs="Times New Roman"/>
          <w:sz w:val="24"/>
          <w:szCs w:val="24"/>
          <w:lang w:val="en-GB"/>
        </w:rPr>
        <w:t xml:space="preserve"> </w:t>
      </w:r>
      <w:r w:rsidR="00FD59B4" w:rsidRPr="00F22461">
        <w:rPr>
          <w:rFonts w:ascii="Times New Roman" w:hAnsi="Times New Roman" w:cs="Times New Roman"/>
          <w:sz w:val="24"/>
          <w:szCs w:val="24"/>
          <w:lang w:val="en-GB"/>
        </w:rPr>
        <w:t xml:space="preserve">that writing teams are in place at an earlier stage, to facilitate the production of </w:t>
      </w:r>
      <w:r w:rsidR="00661C22">
        <w:rPr>
          <w:rFonts w:ascii="Times New Roman" w:hAnsi="Times New Roman" w:cs="Times New Roman"/>
          <w:sz w:val="24"/>
          <w:szCs w:val="24"/>
          <w:lang w:val="en-GB"/>
        </w:rPr>
        <w:t xml:space="preserve">the </w:t>
      </w:r>
      <w:r w:rsidR="00FD59B4" w:rsidRPr="00F22461">
        <w:rPr>
          <w:rFonts w:ascii="Times New Roman" w:hAnsi="Times New Roman" w:cs="Times New Roman"/>
          <w:sz w:val="24"/>
          <w:szCs w:val="24"/>
          <w:lang w:val="en-GB"/>
        </w:rPr>
        <w:t>annotated outline?</w:t>
      </w:r>
    </w:p>
    <w:p w14:paraId="7A6D7D0A" w14:textId="77777777" w:rsidR="0089434E" w:rsidRPr="0089434E" w:rsidRDefault="0089434E" w:rsidP="0089434E">
      <w:pPr>
        <w:pStyle w:val="ListParagraph"/>
        <w:spacing w:after="0" w:line="240" w:lineRule="auto"/>
        <w:jc w:val="both"/>
        <w:rPr>
          <w:rFonts w:ascii="Times New Roman" w:hAnsi="Times New Roman" w:cs="Times New Roman"/>
          <w:sz w:val="24"/>
          <w:szCs w:val="24"/>
          <w:lang w:val="en-GB"/>
        </w:rPr>
      </w:pPr>
    </w:p>
    <w:p w14:paraId="7F3536A3" w14:textId="1965EE0A" w:rsidR="008A2AB6" w:rsidRPr="0089434E" w:rsidRDefault="00A83047" w:rsidP="0089434E">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 xml:space="preserve">Review processes for the second </w:t>
      </w:r>
      <w:r w:rsidR="00FA30F9" w:rsidRPr="002D0BD4">
        <w:rPr>
          <w:rFonts w:eastAsia="SimSun"/>
          <w:b/>
          <w:bCs/>
          <w:i/>
          <w:iCs/>
          <w:sz w:val="28"/>
          <w:szCs w:val="28"/>
          <w:lang w:val="en-GB" w:eastAsia="en-GB"/>
        </w:rPr>
        <w:t>w</w:t>
      </w:r>
      <w:r w:rsidRPr="002D0BD4">
        <w:rPr>
          <w:rFonts w:eastAsia="SimSun"/>
          <w:b/>
          <w:bCs/>
          <w:i/>
          <w:iCs/>
          <w:sz w:val="28"/>
          <w:szCs w:val="28"/>
          <w:lang w:val="en-GB" w:eastAsia="en-GB"/>
        </w:rPr>
        <w:t xml:space="preserve">orld </w:t>
      </w:r>
      <w:r w:rsidR="00FA30F9" w:rsidRPr="002D0BD4">
        <w:rPr>
          <w:rFonts w:eastAsia="SimSun"/>
          <w:b/>
          <w:bCs/>
          <w:i/>
          <w:iCs/>
          <w:sz w:val="28"/>
          <w:szCs w:val="28"/>
          <w:lang w:val="en-GB" w:eastAsia="en-GB"/>
        </w:rPr>
        <w:t>o</w:t>
      </w:r>
      <w:r w:rsidRPr="002D0BD4">
        <w:rPr>
          <w:rFonts w:eastAsia="SimSun"/>
          <w:b/>
          <w:bCs/>
          <w:i/>
          <w:iCs/>
          <w:sz w:val="28"/>
          <w:szCs w:val="28"/>
          <w:lang w:val="en-GB" w:eastAsia="en-GB"/>
        </w:rPr>
        <w:t xml:space="preserve">cean </w:t>
      </w:r>
      <w:r w:rsidR="00FA30F9" w:rsidRPr="002D0BD4">
        <w:rPr>
          <w:rFonts w:eastAsia="SimSun"/>
          <w:b/>
          <w:bCs/>
          <w:i/>
          <w:iCs/>
          <w:sz w:val="28"/>
          <w:szCs w:val="28"/>
          <w:lang w:val="en-GB" w:eastAsia="en-GB"/>
        </w:rPr>
        <w:t>a</w:t>
      </w:r>
      <w:r w:rsidRPr="002D0BD4">
        <w:rPr>
          <w:rFonts w:eastAsia="SimSun"/>
          <w:b/>
          <w:bCs/>
          <w:i/>
          <w:iCs/>
          <w:sz w:val="28"/>
          <w:szCs w:val="28"/>
          <w:lang w:val="en-GB" w:eastAsia="en-GB"/>
        </w:rPr>
        <w:t>ssessment</w:t>
      </w:r>
      <w:r w:rsidR="00B629FC" w:rsidRPr="002D0BD4">
        <w:rPr>
          <w:rFonts w:eastAsia="SimSun"/>
          <w:b/>
          <w:bCs/>
          <w:i/>
          <w:iCs/>
          <w:sz w:val="28"/>
          <w:szCs w:val="28"/>
          <w:lang w:val="en-GB" w:eastAsia="en-GB"/>
        </w:rPr>
        <w:t xml:space="preserve"> (WOA II)</w:t>
      </w:r>
    </w:p>
    <w:p w14:paraId="56B28D55" w14:textId="24D41A14" w:rsidR="001961DB" w:rsidRPr="0089434E" w:rsidRDefault="001961DB"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The</w:t>
      </w:r>
      <w:r w:rsidR="00A358DB" w:rsidRPr="0089434E">
        <w:rPr>
          <w:rFonts w:ascii="Times New Roman" w:eastAsia="Times New Roman" w:hAnsi="Times New Roman" w:cs="Times New Roman"/>
          <w:sz w:val="24"/>
          <w:szCs w:val="24"/>
          <w:lang w:val="en-GB" w:eastAsia="zh-CN"/>
        </w:rPr>
        <w:t xml:space="preserve"> review process for </w:t>
      </w:r>
      <w:r w:rsidR="00562E5E" w:rsidRPr="0089434E">
        <w:rPr>
          <w:rFonts w:ascii="Times New Roman" w:eastAsia="Times New Roman" w:hAnsi="Times New Roman" w:cs="Times New Roman"/>
          <w:sz w:val="24"/>
          <w:szCs w:val="24"/>
          <w:lang w:val="en-GB" w:eastAsia="zh-CN"/>
        </w:rPr>
        <w:t>WOA II</w:t>
      </w:r>
      <w:r w:rsidR="00A358DB" w:rsidRPr="0089434E">
        <w:rPr>
          <w:rFonts w:ascii="Times New Roman" w:eastAsia="Times New Roman" w:hAnsi="Times New Roman" w:cs="Times New Roman"/>
          <w:sz w:val="24"/>
          <w:szCs w:val="24"/>
          <w:lang w:val="en-GB" w:eastAsia="zh-CN"/>
        </w:rPr>
        <w:t xml:space="preserve"> </w:t>
      </w:r>
      <w:r w:rsidR="00625E73" w:rsidRPr="0089434E">
        <w:rPr>
          <w:rFonts w:ascii="Times New Roman" w:eastAsia="Times New Roman" w:hAnsi="Times New Roman" w:cs="Times New Roman"/>
          <w:sz w:val="24"/>
          <w:szCs w:val="24"/>
          <w:lang w:val="en-GB" w:eastAsia="zh-CN"/>
        </w:rPr>
        <w:t xml:space="preserve">has </w:t>
      </w:r>
      <w:r w:rsidR="00A358DB" w:rsidRPr="0089434E">
        <w:rPr>
          <w:rFonts w:ascii="Times New Roman" w:eastAsia="Times New Roman" w:hAnsi="Times New Roman" w:cs="Times New Roman"/>
          <w:sz w:val="24"/>
          <w:szCs w:val="24"/>
          <w:lang w:val="en-GB" w:eastAsia="zh-CN"/>
        </w:rPr>
        <w:t xml:space="preserve">two stages: peer-review, completed by experts </w:t>
      </w:r>
      <w:r w:rsidR="00D775A6" w:rsidRPr="0089434E">
        <w:rPr>
          <w:rFonts w:ascii="Times New Roman" w:eastAsia="Times New Roman" w:hAnsi="Times New Roman" w:cs="Times New Roman"/>
          <w:sz w:val="24"/>
          <w:szCs w:val="24"/>
          <w:lang w:val="en-GB" w:eastAsia="zh-CN"/>
        </w:rPr>
        <w:t xml:space="preserve">drawn </w:t>
      </w:r>
      <w:r w:rsidR="00A358DB" w:rsidRPr="0089434E">
        <w:rPr>
          <w:rFonts w:ascii="Times New Roman" w:eastAsia="Times New Roman" w:hAnsi="Times New Roman" w:cs="Times New Roman"/>
          <w:sz w:val="24"/>
          <w:szCs w:val="24"/>
          <w:lang w:val="en-GB" w:eastAsia="zh-CN"/>
        </w:rPr>
        <w:t xml:space="preserve">from the Pool of Experts that did not take part in </w:t>
      </w:r>
      <w:r w:rsidR="008A3AAE" w:rsidRPr="0089434E">
        <w:rPr>
          <w:rFonts w:ascii="Times New Roman" w:eastAsia="Times New Roman" w:hAnsi="Times New Roman" w:cs="Times New Roman"/>
          <w:sz w:val="24"/>
          <w:szCs w:val="24"/>
          <w:lang w:val="en-GB" w:eastAsia="zh-CN"/>
        </w:rPr>
        <w:t xml:space="preserve">drafting </w:t>
      </w:r>
      <w:r w:rsidR="00A358DB" w:rsidRPr="0089434E">
        <w:rPr>
          <w:rFonts w:ascii="Times New Roman" w:eastAsia="Times New Roman" w:hAnsi="Times New Roman" w:cs="Times New Roman"/>
          <w:sz w:val="24"/>
          <w:szCs w:val="24"/>
          <w:lang w:val="en-GB" w:eastAsia="zh-CN"/>
        </w:rPr>
        <w:t xml:space="preserve">the chapters they </w:t>
      </w:r>
      <w:r w:rsidR="00D775A6" w:rsidRPr="0089434E">
        <w:rPr>
          <w:rFonts w:ascii="Times New Roman" w:eastAsia="Times New Roman" w:hAnsi="Times New Roman" w:cs="Times New Roman"/>
          <w:sz w:val="24"/>
          <w:szCs w:val="24"/>
          <w:lang w:val="en-GB" w:eastAsia="zh-CN"/>
        </w:rPr>
        <w:t>were reviewing</w:t>
      </w:r>
      <w:r w:rsidR="00625E73" w:rsidRPr="0089434E">
        <w:rPr>
          <w:rFonts w:ascii="Times New Roman" w:eastAsia="Times New Roman" w:hAnsi="Times New Roman" w:cs="Times New Roman"/>
          <w:sz w:val="24"/>
          <w:szCs w:val="24"/>
          <w:lang w:val="en-GB" w:eastAsia="zh-CN"/>
        </w:rPr>
        <w:t>;</w:t>
      </w:r>
      <w:r w:rsidR="00C515DA" w:rsidRPr="0089434E">
        <w:rPr>
          <w:rFonts w:ascii="Times New Roman" w:eastAsia="Times New Roman" w:hAnsi="Times New Roman" w:cs="Times New Roman"/>
          <w:sz w:val="24"/>
          <w:szCs w:val="24"/>
          <w:lang w:val="en-GB" w:eastAsia="zh-CN"/>
        </w:rPr>
        <w:t xml:space="preserve"> and review by States, where </w:t>
      </w:r>
      <w:r w:rsidR="008A3AAE" w:rsidRPr="0089434E">
        <w:rPr>
          <w:rFonts w:ascii="Times New Roman" w:eastAsia="Times New Roman" w:hAnsi="Times New Roman" w:cs="Times New Roman"/>
          <w:sz w:val="24"/>
          <w:szCs w:val="24"/>
          <w:lang w:val="en-GB" w:eastAsia="zh-CN"/>
        </w:rPr>
        <w:t xml:space="preserve">Member </w:t>
      </w:r>
      <w:r w:rsidR="00C515DA" w:rsidRPr="0089434E">
        <w:rPr>
          <w:rFonts w:ascii="Times New Roman" w:eastAsia="Times New Roman" w:hAnsi="Times New Roman" w:cs="Times New Roman"/>
          <w:sz w:val="24"/>
          <w:szCs w:val="24"/>
          <w:lang w:val="en-GB" w:eastAsia="zh-CN"/>
        </w:rPr>
        <w:t xml:space="preserve">States </w:t>
      </w:r>
      <w:r w:rsidR="008A3AAE" w:rsidRPr="0089434E">
        <w:rPr>
          <w:rFonts w:ascii="Times New Roman" w:eastAsia="Times New Roman" w:hAnsi="Times New Roman" w:cs="Times New Roman"/>
          <w:sz w:val="24"/>
          <w:szCs w:val="24"/>
          <w:lang w:val="en-GB" w:eastAsia="zh-CN"/>
        </w:rPr>
        <w:t xml:space="preserve">are invited to </w:t>
      </w:r>
      <w:r w:rsidR="00C515DA" w:rsidRPr="0089434E">
        <w:rPr>
          <w:rFonts w:ascii="Times New Roman" w:eastAsia="Times New Roman" w:hAnsi="Times New Roman" w:cs="Times New Roman"/>
          <w:sz w:val="24"/>
          <w:szCs w:val="24"/>
          <w:lang w:val="en-GB" w:eastAsia="zh-CN"/>
        </w:rPr>
        <w:t xml:space="preserve">review and provide comments on the first and second drafts of </w:t>
      </w:r>
      <w:r w:rsidR="008A3AAE" w:rsidRPr="0089434E">
        <w:rPr>
          <w:rFonts w:ascii="Times New Roman" w:eastAsia="Times New Roman" w:hAnsi="Times New Roman" w:cs="Times New Roman"/>
          <w:sz w:val="24"/>
          <w:szCs w:val="24"/>
          <w:lang w:val="en-GB" w:eastAsia="zh-CN"/>
        </w:rPr>
        <w:t>WOA II</w:t>
      </w:r>
      <w:r w:rsidR="00C515DA" w:rsidRPr="0089434E">
        <w:rPr>
          <w:rFonts w:ascii="Times New Roman" w:eastAsia="Times New Roman" w:hAnsi="Times New Roman" w:cs="Times New Roman"/>
          <w:sz w:val="24"/>
          <w:szCs w:val="24"/>
          <w:lang w:val="en-GB" w:eastAsia="zh-CN"/>
        </w:rPr>
        <w:t>.</w:t>
      </w:r>
      <w:r w:rsidR="00562E5E" w:rsidRPr="0089434E">
        <w:rPr>
          <w:rFonts w:ascii="Times New Roman" w:eastAsia="Times New Roman" w:hAnsi="Times New Roman" w:cs="Times New Roman"/>
          <w:sz w:val="24"/>
          <w:szCs w:val="24"/>
          <w:lang w:val="en-GB" w:eastAsia="zh-CN"/>
        </w:rPr>
        <w:t xml:space="preserve"> Non-member States and intergovernmental organizations </w:t>
      </w:r>
      <w:r w:rsidR="00625E73" w:rsidRPr="0089434E">
        <w:rPr>
          <w:rFonts w:ascii="Times New Roman" w:eastAsia="Times New Roman" w:hAnsi="Times New Roman" w:cs="Times New Roman"/>
          <w:sz w:val="24"/>
          <w:szCs w:val="24"/>
          <w:lang w:val="en-GB" w:eastAsia="zh-CN"/>
        </w:rPr>
        <w:t>have</w:t>
      </w:r>
      <w:r w:rsidR="00562E5E" w:rsidRPr="0089434E">
        <w:rPr>
          <w:rFonts w:ascii="Times New Roman" w:eastAsia="Times New Roman" w:hAnsi="Times New Roman" w:cs="Times New Roman"/>
          <w:sz w:val="24"/>
          <w:szCs w:val="24"/>
          <w:lang w:val="en-GB" w:eastAsia="zh-CN"/>
        </w:rPr>
        <w:t xml:space="preserve"> not </w:t>
      </w:r>
      <w:r w:rsidR="00625E73" w:rsidRPr="0089434E">
        <w:rPr>
          <w:rFonts w:ascii="Times New Roman" w:eastAsia="Times New Roman" w:hAnsi="Times New Roman" w:cs="Times New Roman"/>
          <w:sz w:val="24"/>
          <w:szCs w:val="24"/>
          <w:lang w:val="en-GB" w:eastAsia="zh-CN"/>
        </w:rPr>
        <w:t xml:space="preserve">been </w:t>
      </w:r>
      <w:r w:rsidR="00B629FC" w:rsidRPr="0089434E">
        <w:rPr>
          <w:rFonts w:ascii="Times New Roman" w:eastAsia="Times New Roman" w:hAnsi="Times New Roman" w:cs="Times New Roman"/>
          <w:sz w:val="24"/>
          <w:szCs w:val="24"/>
          <w:lang w:val="en-GB" w:eastAsia="zh-CN"/>
        </w:rPr>
        <w:t xml:space="preserve">invited to </w:t>
      </w:r>
      <w:r w:rsidR="00625E73" w:rsidRPr="0089434E">
        <w:rPr>
          <w:rFonts w:ascii="Times New Roman" w:eastAsia="Times New Roman" w:hAnsi="Times New Roman" w:cs="Times New Roman"/>
          <w:sz w:val="24"/>
          <w:szCs w:val="24"/>
          <w:lang w:val="en-GB" w:eastAsia="zh-CN"/>
        </w:rPr>
        <w:t>review the first and second drafts of</w:t>
      </w:r>
      <w:r w:rsidR="00B629FC" w:rsidRPr="0089434E">
        <w:rPr>
          <w:rFonts w:ascii="Times New Roman" w:eastAsia="Times New Roman" w:hAnsi="Times New Roman" w:cs="Times New Roman"/>
          <w:sz w:val="24"/>
          <w:szCs w:val="24"/>
          <w:lang w:val="en-GB" w:eastAsia="zh-CN"/>
        </w:rPr>
        <w:t xml:space="preserve"> WOA II. </w:t>
      </w:r>
    </w:p>
    <w:p w14:paraId="1FB4DB36" w14:textId="29FCB25F" w:rsidR="00D74F31" w:rsidRPr="00F22461"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00562E5E">
        <w:rPr>
          <w:rFonts w:ascii="Times New Roman" w:hAnsi="Times New Roman" w:cs="Times New Roman"/>
          <w:sz w:val="24"/>
          <w:szCs w:val="24"/>
        </w:rPr>
        <w:t xml:space="preserve"> this</w:t>
      </w:r>
      <w:r w:rsidR="00D74F31" w:rsidRPr="00F22461">
        <w:rPr>
          <w:rFonts w:ascii="Times New Roman" w:hAnsi="Times New Roman" w:cs="Times New Roman"/>
          <w:sz w:val="24"/>
          <w:szCs w:val="24"/>
          <w:lang w:val="en-GB"/>
        </w:rPr>
        <w:t xml:space="preserve"> two-stage review process </w:t>
      </w:r>
      <w:r w:rsidR="00562E5E">
        <w:rPr>
          <w:rFonts w:ascii="Times New Roman" w:hAnsi="Times New Roman" w:cs="Times New Roman"/>
          <w:sz w:val="24"/>
          <w:szCs w:val="24"/>
          <w:lang w:val="en-GB"/>
        </w:rPr>
        <w:t>useful</w:t>
      </w:r>
      <w:r w:rsidR="00354C91">
        <w:rPr>
          <w:rFonts w:ascii="Times New Roman" w:hAnsi="Times New Roman" w:cs="Times New Roman"/>
          <w:sz w:val="24"/>
          <w:szCs w:val="24"/>
          <w:lang w:val="en-GB"/>
        </w:rPr>
        <w:t xml:space="preserve"> and relevant</w:t>
      </w:r>
      <w:r w:rsidR="00D74F31" w:rsidRPr="00F22461">
        <w:rPr>
          <w:rFonts w:ascii="Times New Roman" w:hAnsi="Times New Roman" w:cs="Times New Roman"/>
          <w:sz w:val="24"/>
          <w:szCs w:val="24"/>
          <w:lang w:val="en-GB"/>
        </w:rPr>
        <w:t>?</w:t>
      </w:r>
    </w:p>
    <w:p w14:paraId="4757F5A1" w14:textId="7DC5C8E4" w:rsidR="00B629FC" w:rsidRPr="000A04C0" w:rsidRDefault="00D9085C"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 further improving the review process for the outputs of the Regular Process</w:t>
      </w:r>
      <w:r w:rsidR="002D1FBA">
        <w:rPr>
          <w:rFonts w:ascii="Times New Roman" w:hAnsi="Times New Roman" w:cs="Times New Roman"/>
          <w:sz w:val="24"/>
          <w:szCs w:val="24"/>
          <w:lang w:val="en-GB"/>
        </w:rPr>
        <w:t>?</w:t>
      </w:r>
    </w:p>
    <w:p w14:paraId="0EB3A28D" w14:textId="63829657" w:rsidR="00A83047" w:rsidRPr="00F22461" w:rsidRDefault="00096D20"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t>D</w:t>
      </w:r>
      <w:r w:rsidRPr="0089434E">
        <w:rPr>
          <w:rFonts w:ascii="Times New Roman" w:eastAsia="Times New Roman" w:hAnsi="Times New Roman" w:cs="Times New Roman"/>
          <w:sz w:val="24"/>
          <w:szCs w:val="24"/>
          <w:lang w:val="en-GB" w:eastAsia="zh-CN"/>
        </w:rPr>
        <w:t>edicated webpages were created for the process of review by States</w:t>
      </w:r>
      <w:r w:rsidR="00A300B9" w:rsidRPr="0089434E">
        <w:rPr>
          <w:rFonts w:ascii="Times New Roman" w:eastAsia="Times New Roman" w:hAnsi="Times New Roman" w:cs="Times New Roman"/>
          <w:sz w:val="24"/>
          <w:szCs w:val="24"/>
          <w:lang w:val="en-GB" w:eastAsia="zh-CN"/>
        </w:rPr>
        <w:t xml:space="preserve"> on the website of the Regular Process</w:t>
      </w:r>
      <w:r w:rsidR="006543C4" w:rsidRPr="0089434E">
        <w:rPr>
          <w:rFonts w:ascii="Times New Roman" w:eastAsia="Times New Roman" w:hAnsi="Times New Roman" w:cs="Times New Roman"/>
          <w:sz w:val="24"/>
          <w:szCs w:val="24"/>
          <w:lang w:val="en-GB" w:eastAsia="zh-CN"/>
        </w:rPr>
        <w:t>.</w:t>
      </w:r>
    </w:p>
    <w:p w14:paraId="79495E28" w14:textId="722F4D22" w:rsidR="00006947" w:rsidRPr="00F22461" w:rsidRDefault="005A70B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Pr="00F22461">
        <w:rPr>
          <w:rFonts w:ascii="Times New Roman" w:hAnsi="Times New Roman" w:cs="Times New Roman"/>
          <w:sz w:val="24"/>
          <w:szCs w:val="24"/>
          <w:lang w:val="en-GB"/>
        </w:rPr>
        <w:t xml:space="preserve"> </w:t>
      </w:r>
      <w:r w:rsidR="00006947" w:rsidRPr="00F22461">
        <w:rPr>
          <w:rFonts w:ascii="Times New Roman" w:hAnsi="Times New Roman" w:cs="Times New Roman"/>
          <w:sz w:val="24"/>
          <w:szCs w:val="24"/>
          <w:lang w:val="en-GB"/>
        </w:rPr>
        <w:t xml:space="preserve">these webpages </w:t>
      </w:r>
      <w:r w:rsidR="00062A93">
        <w:rPr>
          <w:rFonts w:ascii="Times New Roman" w:hAnsi="Times New Roman" w:cs="Times New Roman"/>
          <w:sz w:val="24"/>
          <w:szCs w:val="24"/>
          <w:lang w:val="en-GB"/>
        </w:rPr>
        <w:t>useful</w:t>
      </w:r>
      <w:r w:rsidR="00006947" w:rsidRPr="00F22461">
        <w:rPr>
          <w:rFonts w:ascii="Times New Roman" w:hAnsi="Times New Roman" w:cs="Times New Roman"/>
          <w:sz w:val="24"/>
          <w:szCs w:val="24"/>
          <w:lang w:val="en-GB"/>
        </w:rPr>
        <w:t xml:space="preserve">? </w:t>
      </w:r>
    </w:p>
    <w:p w14:paraId="5ED2E244" w14:textId="75A4CCC2" w:rsidR="00B629FC" w:rsidRDefault="00D9085C"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B629FC">
        <w:rPr>
          <w:rFonts w:ascii="Times New Roman" w:hAnsi="Times New Roman" w:cs="Times New Roman"/>
          <w:sz w:val="24"/>
          <w:szCs w:val="24"/>
          <w:lang w:val="en-GB"/>
        </w:rPr>
        <w:t xml:space="preserve"> to </w:t>
      </w:r>
      <w:r w:rsidR="00062A93">
        <w:rPr>
          <w:rFonts w:ascii="Times New Roman" w:hAnsi="Times New Roman" w:cs="Times New Roman"/>
          <w:sz w:val="24"/>
          <w:szCs w:val="24"/>
          <w:lang w:val="en-GB"/>
        </w:rPr>
        <w:t>mak</w:t>
      </w:r>
      <w:r>
        <w:rPr>
          <w:rFonts w:ascii="Times New Roman" w:hAnsi="Times New Roman" w:cs="Times New Roman"/>
          <w:sz w:val="24"/>
          <w:szCs w:val="24"/>
          <w:lang w:val="en-GB"/>
        </w:rPr>
        <w:t>ing</w:t>
      </w:r>
      <w:r w:rsidR="00B629FC">
        <w:rPr>
          <w:rFonts w:ascii="Times New Roman" w:hAnsi="Times New Roman" w:cs="Times New Roman"/>
          <w:sz w:val="24"/>
          <w:szCs w:val="24"/>
          <w:lang w:val="en-GB"/>
        </w:rPr>
        <w:t xml:space="preserve"> these webpages</w:t>
      </w:r>
      <w:r w:rsidR="00062A93">
        <w:rPr>
          <w:rFonts w:ascii="Times New Roman" w:hAnsi="Times New Roman" w:cs="Times New Roman"/>
          <w:sz w:val="24"/>
          <w:szCs w:val="24"/>
          <w:lang w:val="en-GB"/>
        </w:rPr>
        <w:t xml:space="preserve"> more useful</w:t>
      </w:r>
      <w:r w:rsidR="00006947" w:rsidRPr="00F22461">
        <w:rPr>
          <w:rFonts w:ascii="Times New Roman" w:hAnsi="Times New Roman" w:cs="Times New Roman"/>
          <w:sz w:val="24"/>
          <w:szCs w:val="24"/>
          <w:lang w:val="en-GB"/>
        </w:rPr>
        <w:t>?</w:t>
      </w:r>
    </w:p>
    <w:p w14:paraId="7262A834" w14:textId="77777777" w:rsidR="000A04C0" w:rsidRPr="000A04C0" w:rsidRDefault="000A04C0" w:rsidP="000A04C0">
      <w:pPr>
        <w:pStyle w:val="ListParagraph"/>
        <w:spacing w:after="0" w:line="240" w:lineRule="auto"/>
        <w:jc w:val="both"/>
        <w:rPr>
          <w:rFonts w:ascii="Times New Roman" w:hAnsi="Times New Roman" w:cs="Times New Roman"/>
          <w:sz w:val="24"/>
          <w:szCs w:val="24"/>
          <w:lang w:val="en-GB"/>
        </w:rPr>
      </w:pPr>
    </w:p>
    <w:p w14:paraId="7B0A0849" w14:textId="6284DF9A" w:rsidR="008A2AB6" w:rsidRPr="000A04C0" w:rsidRDefault="00081F1A" w:rsidP="000A04C0">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Ad Hoc Working Group of the Whole and its Bureau</w:t>
      </w:r>
    </w:p>
    <w:p w14:paraId="4310E7FE" w14:textId="7A32EC49" w:rsidR="004D36BB" w:rsidRPr="0089434E" w:rsidRDefault="00846798"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lastRenderedPageBreak/>
        <w:t>During the second cycle, t</w:t>
      </w:r>
      <w:r w:rsidR="002A7820" w:rsidRPr="0089434E">
        <w:rPr>
          <w:rFonts w:ascii="Times New Roman" w:eastAsia="Times New Roman" w:hAnsi="Times New Roman" w:cs="Times New Roman"/>
          <w:sz w:val="24"/>
          <w:szCs w:val="24"/>
          <w:lang w:val="en-GB" w:eastAsia="zh-CN"/>
        </w:rPr>
        <w:t xml:space="preserve">he </w:t>
      </w:r>
      <w:r w:rsidR="00B629FC" w:rsidRPr="0089434E">
        <w:rPr>
          <w:rFonts w:ascii="Times New Roman" w:eastAsia="Times New Roman" w:hAnsi="Times New Roman" w:cs="Times New Roman"/>
          <w:sz w:val="24"/>
          <w:szCs w:val="24"/>
          <w:lang w:val="en-GB" w:eastAsia="zh-CN"/>
        </w:rPr>
        <w:t xml:space="preserve">Ad Hoc </w:t>
      </w:r>
      <w:r w:rsidR="002A7820" w:rsidRPr="0089434E">
        <w:rPr>
          <w:rFonts w:ascii="Times New Roman" w:eastAsia="Times New Roman" w:hAnsi="Times New Roman" w:cs="Times New Roman"/>
          <w:sz w:val="24"/>
          <w:szCs w:val="24"/>
          <w:lang w:val="en-GB" w:eastAsia="zh-CN"/>
        </w:rPr>
        <w:t xml:space="preserve">Working Group </w:t>
      </w:r>
      <w:r w:rsidR="00B629FC" w:rsidRPr="0089434E">
        <w:rPr>
          <w:rFonts w:ascii="Times New Roman" w:eastAsia="Times New Roman" w:hAnsi="Times New Roman" w:cs="Times New Roman"/>
          <w:sz w:val="24"/>
          <w:szCs w:val="24"/>
          <w:lang w:val="en-GB" w:eastAsia="zh-CN"/>
        </w:rPr>
        <w:t>of the Whole has been meeting once a year, with additional meeting</w:t>
      </w:r>
      <w:r w:rsidR="00625E73" w:rsidRPr="0089434E">
        <w:rPr>
          <w:rFonts w:ascii="Times New Roman" w:eastAsia="Times New Roman" w:hAnsi="Times New Roman" w:cs="Times New Roman"/>
          <w:sz w:val="24"/>
          <w:szCs w:val="24"/>
          <w:lang w:val="en-GB" w:eastAsia="zh-CN"/>
        </w:rPr>
        <w:t>s</w:t>
      </w:r>
      <w:r w:rsidR="00B629FC" w:rsidRPr="0089434E">
        <w:rPr>
          <w:rFonts w:ascii="Times New Roman" w:eastAsia="Times New Roman" w:hAnsi="Times New Roman" w:cs="Times New Roman"/>
          <w:sz w:val="24"/>
          <w:szCs w:val="24"/>
          <w:lang w:val="en-GB" w:eastAsia="zh-CN"/>
        </w:rPr>
        <w:t xml:space="preserve"> as necessary</w:t>
      </w:r>
      <w:r w:rsidR="002A7820" w:rsidRPr="0089434E">
        <w:rPr>
          <w:rFonts w:ascii="Times New Roman" w:eastAsia="Times New Roman" w:hAnsi="Times New Roman" w:cs="Times New Roman"/>
          <w:sz w:val="24"/>
          <w:szCs w:val="24"/>
          <w:lang w:val="en-GB" w:eastAsia="zh-CN"/>
        </w:rPr>
        <w:t>.</w:t>
      </w:r>
      <w:r w:rsidR="002D1FBA" w:rsidRPr="0089434E">
        <w:rPr>
          <w:rFonts w:ascii="Times New Roman" w:eastAsia="Times New Roman" w:hAnsi="Times New Roman" w:cs="Times New Roman"/>
          <w:sz w:val="24"/>
          <w:szCs w:val="24"/>
          <w:lang w:val="en-GB" w:eastAsia="zh-CN"/>
        </w:rPr>
        <w:t xml:space="preserve"> Until the end of the second cycle, the Ad Hoc Working Group of the Whole will have held 8 meetings.</w:t>
      </w:r>
      <w:r w:rsidR="00487ACD" w:rsidRPr="0089434E">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An average of 50 Member States participated in these meetings, varying from 31 (</w:t>
      </w:r>
      <w:r w:rsidR="00625E73" w:rsidRPr="0089434E">
        <w:rPr>
          <w:rFonts w:ascii="Times New Roman" w:eastAsia="Times New Roman" w:hAnsi="Times New Roman" w:cs="Times New Roman"/>
          <w:sz w:val="24"/>
          <w:szCs w:val="24"/>
          <w:lang w:val="en-GB" w:eastAsia="zh-CN"/>
        </w:rPr>
        <w:t xml:space="preserve">the </w:t>
      </w:r>
      <w:r w:rsidRPr="0089434E">
        <w:rPr>
          <w:rFonts w:ascii="Times New Roman" w:eastAsia="Times New Roman" w:hAnsi="Times New Roman" w:cs="Times New Roman"/>
          <w:sz w:val="24"/>
          <w:szCs w:val="24"/>
          <w:lang w:val="en-GB" w:eastAsia="zh-CN"/>
        </w:rPr>
        <w:t>Ninth meeting) to 63 (</w:t>
      </w:r>
      <w:r w:rsidR="00625E73" w:rsidRPr="0089434E">
        <w:rPr>
          <w:rFonts w:ascii="Times New Roman" w:eastAsia="Times New Roman" w:hAnsi="Times New Roman" w:cs="Times New Roman"/>
          <w:sz w:val="24"/>
          <w:szCs w:val="24"/>
          <w:lang w:val="en-GB" w:eastAsia="zh-CN"/>
        </w:rPr>
        <w:t xml:space="preserve">the </w:t>
      </w:r>
      <w:r w:rsidRPr="0089434E">
        <w:rPr>
          <w:rFonts w:ascii="Times New Roman" w:eastAsia="Times New Roman" w:hAnsi="Times New Roman" w:cs="Times New Roman"/>
          <w:sz w:val="24"/>
          <w:szCs w:val="24"/>
          <w:lang w:val="en-GB" w:eastAsia="zh-CN"/>
        </w:rPr>
        <w:t>Seventh meeting) Member States participating. The length of these meetings has varied from two (most meetings) to five days (</w:t>
      </w:r>
      <w:r w:rsidR="002D1FBA" w:rsidRPr="0089434E">
        <w:rPr>
          <w:rFonts w:ascii="Times New Roman" w:eastAsia="Times New Roman" w:hAnsi="Times New Roman" w:cs="Times New Roman"/>
          <w:sz w:val="24"/>
          <w:szCs w:val="24"/>
          <w:lang w:val="en-GB" w:eastAsia="zh-CN"/>
        </w:rPr>
        <w:t xml:space="preserve">the </w:t>
      </w:r>
      <w:r w:rsidRPr="0089434E">
        <w:rPr>
          <w:rFonts w:ascii="Times New Roman" w:eastAsia="Times New Roman" w:hAnsi="Times New Roman" w:cs="Times New Roman"/>
          <w:sz w:val="24"/>
          <w:szCs w:val="24"/>
          <w:lang w:val="en-GB" w:eastAsia="zh-CN"/>
        </w:rPr>
        <w:t>Seventh meeting).</w:t>
      </w:r>
    </w:p>
    <w:p w14:paraId="1ADA0AFE" w14:textId="7335D0E3" w:rsidR="00B629FC" w:rsidRDefault="003F25A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Was </w:t>
      </w:r>
      <w:r w:rsidR="00487ACD">
        <w:rPr>
          <w:rFonts w:ascii="Times New Roman" w:hAnsi="Times New Roman" w:cs="Times New Roman"/>
          <w:sz w:val="24"/>
          <w:szCs w:val="24"/>
          <w:lang w:val="en-GB"/>
        </w:rPr>
        <w:t xml:space="preserve">the frequency of the meetings of the Ad Hoc Working Group of the Whole </w:t>
      </w:r>
      <w:r>
        <w:rPr>
          <w:rFonts w:ascii="Times New Roman" w:hAnsi="Times New Roman" w:cs="Times New Roman"/>
          <w:sz w:val="24"/>
          <w:szCs w:val="24"/>
          <w:lang w:val="en-GB"/>
        </w:rPr>
        <w:t>optimal for the achievement of the objectives of the second cycle</w:t>
      </w:r>
      <w:r w:rsidR="00487ACD">
        <w:rPr>
          <w:rFonts w:ascii="Times New Roman" w:hAnsi="Times New Roman" w:cs="Times New Roman"/>
          <w:sz w:val="24"/>
          <w:szCs w:val="24"/>
          <w:lang w:val="en-GB"/>
        </w:rPr>
        <w:t>?</w:t>
      </w:r>
    </w:p>
    <w:p w14:paraId="22A7854C" w14:textId="77777777" w:rsidR="003F25A1" w:rsidRDefault="003F25A1" w:rsidP="003F25A1">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What would have been the ideal length for a meeting of the Ad Hoc Working Group of the Whole?</w:t>
      </w:r>
    </w:p>
    <w:p w14:paraId="12DECDEF" w14:textId="171EC6D5" w:rsidR="00184DBC" w:rsidRDefault="003F25A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184DBC">
        <w:rPr>
          <w:rFonts w:ascii="Times New Roman" w:hAnsi="Times New Roman" w:cs="Times New Roman"/>
          <w:sz w:val="24"/>
          <w:szCs w:val="24"/>
          <w:lang w:val="en-GB"/>
        </w:rPr>
        <w:t xml:space="preserve"> to increas</w:t>
      </w:r>
      <w:r>
        <w:rPr>
          <w:rFonts w:ascii="Times New Roman" w:hAnsi="Times New Roman" w:cs="Times New Roman"/>
          <w:sz w:val="24"/>
          <w:szCs w:val="24"/>
          <w:lang w:val="en-GB"/>
        </w:rPr>
        <w:t>ing</w:t>
      </w:r>
      <w:r w:rsidR="00184DBC">
        <w:rPr>
          <w:rFonts w:ascii="Times New Roman" w:hAnsi="Times New Roman" w:cs="Times New Roman"/>
          <w:sz w:val="24"/>
          <w:szCs w:val="24"/>
          <w:lang w:val="en-GB"/>
        </w:rPr>
        <w:t xml:space="preserve"> participation in the meetings of the Ad Hoc Working Group of the Whole?</w:t>
      </w:r>
    </w:p>
    <w:p w14:paraId="09C4D53F" w14:textId="25048C22" w:rsidR="00062A93" w:rsidRPr="005D1AFA" w:rsidRDefault="003F25A1" w:rsidP="005D1AFA">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0A479E">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0A479E">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0A479E">
        <w:rPr>
          <w:rFonts w:ascii="Times New Roman" w:hAnsi="Times New Roman" w:cs="Times New Roman"/>
          <w:sz w:val="24"/>
          <w:szCs w:val="24"/>
          <w:lang w:val="en-GB"/>
        </w:rPr>
        <w:t xml:space="preserve"> the organization of the meetings of the Ad Hoc Working Group of the Whole?</w:t>
      </w:r>
    </w:p>
    <w:p w14:paraId="6295DAEE" w14:textId="27A40D04" w:rsidR="00153A20" w:rsidRPr="0089434E" w:rsidRDefault="004D06B5"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The Bureau of the Ad Hoc Working Group of the Whole consists of 15 members, with three members from each regional group. </w:t>
      </w:r>
      <w:r w:rsidR="005510AC" w:rsidRPr="0089434E">
        <w:rPr>
          <w:rFonts w:ascii="Times New Roman" w:eastAsia="Times New Roman" w:hAnsi="Times New Roman" w:cs="Times New Roman"/>
          <w:sz w:val="24"/>
          <w:szCs w:val="24"/>
          <w:lang w:val="en-GB" w:eastAsia="zh-CN"/>
        </w:rPr>
        <w:t xml:space="preserve">The </w:t>
      </w:r>
      <w:r w:rsidR="00155B3C" w:rsidRPr="0089434E">
        <w:rPr>
          <w:rFonts w:ascii="Times New Roman" w:eastAsia="Times New Roman" w:hAnsi="Times New Roman" w:cs="Times New Roman"/>
          <w:sz w:val="24"/>
          <w:szCs w:val="24"/>
          <w:lang w:val="en-GB" w:eastAsia="zh-CN"/>
        </w:rPr>
        <w:t xml:space="preserve">Bureau </w:t>
      </w:r>
      <w:r w:rsidR="005510AC" w:rsidRPr="0089434E">
        <w:rPr>
          <w:rFonts w:ascii="Times New Roman" w:eastAsia="Times New Roman" w:hAnsi="Times New Roman" w:cs="Times New Roman"/>
          <w:sz w:val="24"/>
          <w:szCs w:val="24"/>
          <w:lang w:val="en-GB" w:eastAsia="zh-CN"/>
        </w:rPr>
        <w:t>usually</w:t>
      </w:r>
      <w:r w:rsidR="002D37D9" w:rsidRPr="0089434E">
        <w:rPr>
          <w:rFonts w:ascii="Times New Roman" w:eastAsia="Times New Roman" w:hAnsi="Times New Roman" w:cs="Times New Roman"/>
          <w:sz w:val="24"/>
          <w:szCs w:val="24"/>
          <w:lang w:val="en-GB" w:eastAsia="zh-CN"/>
        </w:rPr>
        <w:t xml:space="preserve"> </w:t>
      </w:r>
      <w:r w:rsidR="005510AC" w:rsidRPr="0089434E">
        <w:rPr>
          <w:rFonts w:ascii="Times New Roman" w:eastAsia="Times New Roman" w:hAnsi="Times New Roman" w:cs="Times New Roman"/>
          <w:sz w:val="24"/>
          <w:szCs w:val="24"/>
          <w:lang w:val="en-GB" w:eastAsia="zh-CN"/>
        </w:rPr>
        <w:t>meets</w:t>
      </w:r>
      <w:r w:rsidR="00155B3C" w:rsidRPr="0089434E">
        <w:rPr>
          <w:rFonts w:ascii="Times New Roman" w:eastAsia="Times New Roman" w:hAnsi="Times New Roman" w:cs="Times New Roman"/>
          <w:sz w:val="24"/>
          <w:szCs w:val="24"/>
          <w:lang w:val="en-GB" w:eastAsia="zh-CN"/>
        </w:rPr>
        <w:t xml:space="preserve"> monthly </w:t>
      </w:r>
      <w:r w:rsidR="002D1FBA" w:rsidRPr="0089434E">
        <w:rPr>
          <w:rFonts w:ascii="Times New Roman" w:eastAsia="Times New Roman" w:hAnsi="Times New Roman" w:cs="Times New Roman"/>
          <w:sz w:val="24"/>
          <w:szCs w:val="24"/>
          <w:lang w:val="en-GB" w:eastAsia="zh-CN"/>
        </w:rPr>
        <w:t xml:space="preserve">to put into practice the decisions of the Ad Hoc Working Group of the Whole </w:t>
      </w:r>
      <w:r w:rsidR="000A04C0">
        <w:rPr>
          <w:rFonts w:ascii="Times New Roman" w:eastAsia="Times New Roman" w:hAnsi="Times New Roman" w:cs="Times New Roman"/>
          <w:sz w:val="24"/>
          <w:szCs w:val="24"/>
          <w:lang w:val="en-GB" w:eastAsia="zh-CN"/>
        </w:rPr>
        <w:t xml:space="preserve">and providing guidance </w:t>
      </w:r>
      <w:r w:rsidR="002D1FBA" w:rsidRPr="0089434E">
        <w:rPr>
          <w:rFonts w:ascii="Times New Roman" w:eastAsia="Times New Roman" w:hAnsi="Times New Roman" w:cs="Times New Roman"/>
          <w:sz w:val="24"/>
          <w:szCs w:val="24"/>
          <w:lang w:val="en-GB" w:eastAsia="zh-CN"/>
        </w:rPr>
        <w:t>during intersessional periods</w:t>
      </w:r>
      <w:r w:rsidR="00153A20" w:rsidRPr="0089434E">
        <w:rPr>
          <w:rFonts w:ascii="Times New Roman" w:eastAsia="Times New Roman" w:hAnsi="Times New Roman" w:cs="Times New Roman"/>
          <w:sz w:val="24"/>
          <w:szCs w:val="24"/>
          <w:lang w:val="en-GB" w:eastAsia="zh-CN"/>
        </w:rPr>
        <w:t>.</w:t>
      </w:r>
      <w:r w:rsidR="00F769AA" w:rsidRPr="0089434E">
        <w:rPr>
          <w:rFonts w:ascii="Times New Roman" w:eastAsia="Times New Roman" w:hAnsi="Times New Roman" w:cs="Times New Roman"/>
          <w:sz w:val="24"/>
          <w:szCs w:val="24"/>
          <w:lang w:val="en-GB" w:eastAsia="zh-CN"/>
        </w:rPr>
        <w:t xml:space="preserve"> </w:t>
      </w:r>
      <w:r w:rsidR="00271FDF" w:rsidRPr="0089434E">
        <w:rPr>
          <w:rFonts w:ascii="Times New Roman" w:eastAsia="Times New Roman" w:hAnsi="Times New Roman" w:cs="Times New Roman"/>
          <w:sz w:val="24"/>
          <w:szCs w:val="24"/>
          <w:lang w:val="en-GB" w:eastAsia="zh-CN"/>
        </w:rPr>
        <w:t>The Bureau also takes decisions by silence procedure between meetings</w:t>
      </w:r>
      <w:r w:rsidR="00CE7A94" w:rsidRPr="0089434E">
        <w:rPr>
          <w:rFonts w:ascii="Times New Roman" w:eastAsia="Times New Roman" w:hAnsi="Times New Roman" w:cs="Times New Roman"/>
          <w:sz w:val="24"/>
          <w:szCs w:val="24"/>
          <w:lang w:val="en-GB" w:eastAsia="zh-CN"/>
        </w:rPr>
        <w:t xml:space="preserve">, including in approving the </w:t>
      </w:r>
      <w:r w:rsidR="002D37D9" w:rsidRPr="0089434E">
        <w:rPr>
          <w:rFonts w:ascii="Times New Roman" w:eastAsia="Times New Roman" w:hAnsi="Times New Roman" w:cs="Times New Roman"/>
          <w:sz w:val="24"/>
          <w:szCs w:val="24"/>
          <w:lang w:val="en-GB" w:eastAsia="zh-CN"/>
        </w:rPr>
        <w:t xml:space="preserve">summary </w:t>
      </w:r>
      <w:r w:rsidR="00271FDF" w:rsidRPr="0089434E">
        <w:rPr>
          <w:rFonts w:ascii="Times New Roman" w:eastAsia="Times New Roman" w:hAnsi="Times New Roman" w:cs="Times New Roman"/>
          <w:sz w:val="24"/>
          <w:szCs w:val="24"/>
          <w:lang w:val="en-GB" w:eastAsia="zh-CN"/>
        </w:rPr>
        <w:t>record</w:t>
      </w:r>
      <w:r w:rsidR="002D37D9" w:rsidRPr="0089434E">
        <w:rPr>
          <w:rFonts w:ascii="Times New Roman" w:eastAsia="Times New Roman" w:hAnsi="Times New Roman" w:cs="Times New Roman"/>
          <w:sz w:val="24"/>
          <w:szCs w:val="24"/>
          <w:lang w:val="en-GB" w:eastAsia="zh-CN"/>
        </w:rPr>
        <w:t xml:space="preserve">s </w:t>
      </w:r>
      <w:r w:rsidR="00CE7A94" w:rsidRPr="0089434E">
        <w:rPr>
          <w:rFonts w:ascii="Times New Roman" w:eastAsia="Times New Roman" w:hAnsi="Times New Roman" w:cs="Times New Roman"/>
          <w:sz w:val="24"/>
          <w:szCs w:val="24"/>
          <w:lang w:val="en-GB" w:eastAsia="zh-CN"/>
        </w:rPr>
        <w:t>of</w:t>
      </w:r>
      <w:r w:rsidR="00271FDF" w:rsidRPr="0089434E">
        <w:rPr>
          <w:rFonts w:ascii="Times New Roman" w:eastAsia="Times New Roman" w:hAnsi="Times New Roman" w:cs="Times New Roman"/>
          <w:sz w:val="24"/>
          <w:szCs w:val="24"/>
          <w:lang w:val="en-GB" w:eastAsia="zh-CN"/>
        </w:rPr>
        <w:t xml:space="preserve"> the proceedings of </w:t>
      </w:r>
      <w:r w:rsidR="00CE7A94" w:rsidRPr="0089434E">
        <w:rPr>
          <w:rFonts w:ascii="Times New Roman" w:eastAsia="Times New Roman" w:hAnsi="Times New Roman" w:cs="Times New Roman"/>
          <w:sz w:val="24"/>
          <w:szCs w:val="24"/>
          <w:lang w:val="en-GB" w:eastAsia="zh-CN"/>
        </w:rPr>
        <w:t>its</w:t>
      </w:r>
      <w:r w:rsidR="00271FDF" w:rsidRPr="0089434E">
        <w:rPr>
          <w:rFonts w:ascii="Times New Roman" w:eastAsia="Times New Roman" w:hAnsi="Times New Roman" w:cs="Times New Roman"/>
          <w:sz w:val="24"/>
          <w:szCs w:val="24"/>
          <w:lang w:val="en-GB" w:eastAsia="zh-CN"/>
        </w:rPr>
        <w:t xml:space="preserve"> </w:t>
      </w:r>
      <w:r w:rsidR="002D37D9" w:rsidRPr="0089434E">
        <w:rPr>
          <w:rFonts w:ascii="Times New Roman" w:eastAsia="Times New Roman" w:hAnsi="Times New Roman" w:cs="Times New Roman"/>
          <w:sz w:val="24"/>
          <w:szCs w:val="24"/>
          <w:lang w:val="en-GB" w:eastAsia="zh-CN"/>
        </w:rPr>
        <w:t xml:space="preserve">meetings </w:t>
      </w:r>
      <w:r w:rsidR="00CE7A94" w:rsidRPr="0089434E">
        <w:rPr>
          <w:rFonts w:ascii="Times New Roman" w:eastAsia="Times New Roman" w:hAnsi="Times New Roman" w:cs="Times New Roman"/>
          <w:sz w:val="24"/>
          <w:szCs w:val="24"/>
          <w:lang w:val="en-GB" w:eastAsia="zh-CN"/>
        </w:rPr>
        <w:t xml:space="preserve">which are </w:t>
      </w:r>
      <w:r w:rsidR="002D37D9" w:rsidRPr="0089434E">
        <w:rPr>
          <w:rFonts w:ascii="Times New Roman" w:eastAsia="Times New Roman" w:hAnsi="Times New Roman" w:cs="Times New Roman"/>
          <w:sz w:val="24"/>
          <w:szCs w:val="24"/>
          <w:lang w:val="en-GB" w:eastAsia="zh-CN"/>
        </w:rPr>
        <w:t xml:space="preserve">only shared with the Bureau membership.  </w:t>
      </w:r>
      <w:r w:rsidR="00271FDF" w:rsidRPr="0089434E">
        <w:rPr>
          <w:rFonts w:ascii="Times New Roman" w:eastAsia="Times New Roman" w:hAnsi="Times New Roman" w:cs="Times New Roman"/>
          <w:sz w:val="24"/>
          <w:szCs w:val="24"/>
          <w:lang w:val="en-GB" w:eastAsia="zh-CN"/>
        </w:rPr>
        <w:t xml:space="preserve">  </w:t>
      </w:r>
    </w:p>
    <w:p w14:paraId="489CC593" w14:textId="77777777" w:rsidR="003F25A1" w:rsidRPr="00F22461" w:rsidRDefault="003F25A1" w:rsidP="003F25A1">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Was the</w:t>
      </w:r>
      <w:r w:rsidRPr="00F22461">
        <w:rPr>
          <w:rFonts w:ascii="Times New Roman" w:hAnsi="Times New Roman" w:cs="Times New Roman"/>
          <w:sz w:val="24"/>
          <w:szCs w:val="24"/>
          <w:lang w:val="en-GB"/>
        </w:rPr>
        <w:t xml:space="preserve"> frequency of the Bureau meetings </w:t>
      </w:r>
      <w:r>
        <w:rPr>
          <w:rFonts w:ascii="Times New Roman" w:hAnsi="Times New Roman" w:cs="Times New Roman"/>
          <w:sz w:val="24"/>
          <w:szCs w:val="24"/>
          <w:lang w:val="en-GB"/>
        </w:rPr>
        <w:t>optimal for its work during the second cycle</w:t>
      </w:r>
      <w:r w:rsidRPr="00F22461">
        <w:rPr>
          <w:rFonts w:ascii="Times New Roman" w:hAnsi="Times New Roman" w:cs="Times New Roman"/>
          <w:sz w:val="24"/>
          <w:szCs w:val="24"/>
          <w:lang w:val="en-GB"/>
        </w:rPr>
        <w:t>?</w:t>
      </w:r>
    </w:p>
    <w:p w14:paraId="0338A8C0" w14:textId="524ACEA9" w:rsidR="000A04C0" w:rsidRPr="000A04C0" w:rsidRDefault="003F25A1" w:rsidP="000A04C0">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 further improving the work</w:t>
      </w:r>
      <w:r w:rsidR="00CE7A94">
        <w:rPr>
          <w:rFonts w:ascii="Times New Roman" w:hAnsi="Times New Roman" w:cs="Times New Roman"/>
          <w:sz w:val="24"/>
          <w:szCs w:val="24"/>
          <w:lang w:val="en-GB"/>
        </w:rPr>
        <w:t xml:space="preserve"> of the Bureau?</w:t>
      </w:r>
    </w:p>
    <w:p w14:paraId="4251D37F" w14:textId="77777777" w:rsidR="000A04C0" w:rsidRPr="000A04C0" w:rsidRDefault="000A04C0" w:rsidP="000A04C0">
      <w:pPr>
        <w:pStyle w:val="ListParagraph"/>
        <w:spacing w:after="0" w:line="240" w:lineRule="auto"/>
        <w:jc w:val="both"/>
        <w:rPr>
          <w:rFonts w:ascii="Times New Roman" w:hAnsi="Times New Roman" w:cs="Times New Roman"/>
          <w:sz w:val="24"/>
          <w:szCs w:val="24"/>
          <w:lang w:val="en-GB"/>
        </w:rPr>
      </w:pPr>
    </w:p>
    <w:p w14:paraId="65E6DACB" w14:textId="45A658E1" w:rsidR="00F5423C" w:rsidRPr="000A04C0" w:rsidRDefault="00081F1A" w:rsidP="000A04C0">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Group of Experts</w:t>
      </w:r>
    </w:p>
    <w:p w14:paraId="1E077B44" w14:textId="5F21E980" w:rsidR="00081F1A" w:rsidRPr="0089434E" w:rsidRDefault="00F77DB6"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The General Assembly, in paragraph 287 of its resolution 70/235</w:t>
      </w:r>
      <w:r w:rsidR="0052331C"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 xml:space="preserve"> requested the Secretary-General to invite the Chairs of the regional groups to constitute a </w:t>
      </w:r>
      <w:r w:rsidR="0052331C" w:rsidRPr="0089434E">
        <w:rPr>
          <w:rFonts w:ascii="Times New Roman" w:eastAsia="Times New Roman" w:hAnsi="Times New Roman" w:cs="Times New Roman"/>
          <w:sz w:val="24"/>
          <w:szCs w:val="24"/>
          <w:lang w:val="en-GB" w:eastAsia="zh-CN"/>
        </w:rPr>
        <w:t xml:space="preserve">group </w:t>
      </w:r>
      <w:r w:rsidRPr="0089434E">
        <w:rPr>
          <w:rFonts w:ascii="Times New Roman" w:eastAsia="Times New Roman" w:hAnsi="Times New Roman" w:cs="Times New Roman"/>
          <w:sz w:val="24"/>
          <w:szCs w:val="24"/>
          <w:lang w:val="en-GB" w:eastAsia="zh-CN"/>
        </w:rPr>
        <w:t xml:space="preserve">of </w:t>
      </w:r>
      <w:r w:rsidR="0052331C" w:rsidRPr="0089434E">
        <w:rPr>
          <w:rFonts w:ascii="Times New Roman" w:eastAsia="Times New Roman" w:hAnsi="Times New Roman" w:cs="Times New Roman"/>
          <w:sz w:val="24"/>
          <w:szCs w:val="24"/>
          <w:lang w:val="en-GB" w:eastAsia="zh-CN"/>
        </w:rPr>
        <w:t>experts</w:t>
      </w:r>
      <w:r w:rsidR="005510AC" w:rsidRPr="0089434E">
        <w:rPr>
          <w:rFonts w:ascii="Times New Roman" w:eastAsia="Times New Roman" w:hAnsi="Times New Roman" w:cs="Times New Roman"/>
          <w:sz w:val="24"/>
          <w:szCs w:val="24"/>
          <w:lang w:val="en-GB" w:eastAsia="zh-CN"/>
        </w:rPr>
        <w:t>,</w:t>
      </w:r>
      <w:r w:rsidR="0052331C" w:rsidRPr="0089434E">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ensuring adequate expertise and geographical distribution, comprising a maximum of 25 experts, with no more than five experts per regional group.</w:t>
      </w:r>
      <w:r w:rsidR="001762B0" w:rsidRPr="0089434E">
        <w:rPr>
          <w:rFonts w:ascii="Times New Roman" w:eastAsia="Times New Roman" w:hAnsi="Times New Roman" w:cs="Times New Roman"/>
          <w:sz w:val="24"/>
          <w:szCs w:val="24"/>
          <w:lang w:val="en-GB" w:eastAsia="zh-CN"/>
        </w:rPr>
        <w:t xml:space="preserve"> </w:t>
      </w:r>
      <w:r w:rsidR="00D100C8" w:rsidRPr="0089434E">
        <w:rPr>
          <w:rFonts w:ascii="Times New Roman" w:eastAsia="Times New Roman" w:hAnsi="Times New Roman" w:cs="Times New Roman"/>
          <w:sz w:val="24"/>
          <w:szCs w:val="24"/>
          <w:lang w:val="en-GB" w:eastAsia="zh-CN"/>
        </w:rPr>
        <w:t xml:space="preserve">Currently, the </w:t>
      </w:r>
      <w:r w:rsidR="009943AD" w:rsidRPr="0089434E">
        <w:rPr>
          <w:rFonts w:ascii="Times New Roman" w:eastAsia="Times New Roman" w:hAnsi="Times New Roman" w:cs="Times New Roman"/>
          <w:sz w:val="24"/>
          <w:szCs w:val="24"/>
          <w:lang w:val="en-GB" w:eastAsia="zh-CN"/>
        </w:rPr>
        <w:t xml:space="preserve">Group of Experts consists of </w:t>
      </w:r>
      <w:r w:rsidR="0055142B" w:rsidRPr="0089434E">
        <w:rPr>
          <w:rFonts w:ascii="Times New Roman" w:eastAsia="Times New Roman" w:hAnsi="Times New Roman" w:cs="Times New Roman"/>
          <w:sz w:val="24"/>
          <w:szCs w:val="24"/>
          <w:lang w:val="en-GB" w:eastAsia="zh-CN"/>
        </w:rPr>
        <w:t>19 members</w:t>
      </w:r>
      <w:r w:rsidR="005510AC" w:rsidRPr="0089434E">
        <w:rPr>
          <w:rFonts w:ascii="Times New Roman" w:eastAsia="Times New Roman" w:hAnsi="Times New Roman" w:cs="Times New Roman"/>
          <w:sz w:val="24"/>
          <w:szCs w:val="24"/>
          <w:lang w:val="en-GB" w:eastAsia="zh-CN"/>
        </w:rPr>
        <w:t>:</w:t>
      </w:r>
      <w:r w:rsidR="005A7866" w:rsidRPr="0089434E">
        <w:rPr>
          <w:rFonts w:ascii="Times New Roman" w:eastAsia="Times New Roman" w:hAnsi="Times New Roman" w:cs="Times New Roman"/>
          <w:sz w:val="24"/>
          <w:szCs w:val="24"/>
          <w:lang w:val="en-GB" w:eastAsia="zh-CN"/>
        </w:rPr>
        <w:t xml:space="preserve"> </w:t>
      </w:r>
      <w:r w:rsidR="005510AC" w:rsidRPr="0089434E">
        <w:rPr>
          <w:rFonts w:ascii="Times New Roman" w:eastAsia="Times New Roman" w:hAnsi="Times New Roman" w:cs="Times New Roman"/>
          <w:sz w:val="24"/>
          <w:szCs w:val="24"/>
          <w:lang w:val="en-GB" w:eastAsia="zh-CN"/>
        </w:rPr>
        <w:t xml:space="preserve">five each from the </w:t>
      </w:r>
      <w:r w:rsidR="009D6908" w:rsidRPr="0089434E">
        <w:rPr>
          <w:rFonts w:ascii="Times New Roman" w:eastAsia="Times New Roman" w:hAnsi="Times New Roman" w:cs="Times New Roman"/>
          <w:sz w:val="24"/>
          <w:szCs w:val="24"/>
          <w:lang w:val="en-GB" w:eastAsia="zh-CN"/>
        </w:rPr>
        <w:t xml:space="preserve">African </w:t>
      </w:r>
      <w:r w:rsidR="00846857" w:rsidRPr="0089434E">
        <w:rPr>
          <w:rFonts w:ascii="Times New Roman" w:eastAsia="Times New Roman" w:hAnsi="Times New Roman" w:cs="Times New Roman"/>
          <w:sz w:val="24"/>
          <w:szCs w:val="24"/>
          <w:lang w:val="en-GB" w:eastAsia="zh-CN"/>
        </w:rPr>
        <w:t>Group</w:t>
      </w:r>
      <w:r w:rsidR="009D6908" w:rsidRPr="0089434E">
        <w:rPr>
          <w:rFonts w:ascii="Times New Roman" w:eastAsia="Times New Roman" w:hAnsi="Times New Roman" w:cs="Times New Roman"/>
          <w:sz w:val="24"/>
          <w:szCs w:val="24"/>
          <w:lang w:val="en-GB" w:eastAsia="zh-CN"/>
        </w:rPr>
        <w:t xml:space="preserve">, </w:t>
      </w:r>
      <w:r w:rsidR="005510AC" w:rsidRPr="0089434E">
        <w:rPr>
          <w:rFonts w:ascii="Times New Roman" w:eastAsia="Times New Roman" w:hAnsi="Times New Roman" w:cs="Times New Roman"/>
          <w:sz w:val="24"/>
          <w:szCs w:val="24"/>
          <w:lang w:val="en-GB" w:eastAsia="zh-CN"/>
        </w:rPr>
        <w:t xml:space="preserve">the </w:t>
      </w:r>
      <w:r w:rsidR="00BE2D4E" w:rsidRPr="0089434E">
        <w:rPr>
          <w:rFonts w:ascii="Times New Roman" w:eastAsia="Times New Roman" w:hAnsi="Times New Roman" w:cs="Times New Roman"/>
          <w:sz w:val="24"/>
          <w:szCs w:val="24"/>
          <w:lang w:val="en-GB" w:eastAsia="zh-CN"/>
        </w:rPr>
        <w:t>Asia-P</w:t>
      </w:r>
      <w:r w:rsidR="00054041" w:rsidRPr="0089434E">
        <w:rPr>
          <w:rFonts w:ascii="Times New Roman" w:eastAsia="Times New Roman" w:hAnsi="Times New Roman" w:cs="Times New Roman"/>
          <w:sz w:val="24"/>
          <w:szCs w:val="24"/>
          <w:lang w:val="en-GB" w:eastAsia="zh-CN"/>
        </w:rPr>
        <w:t xml:space="preserve">acific </w:t>
      </w:r>
      <w:r w:rsidR="00846857" w:rsidRPr="0089434E">
        <w:rPr>
          <w:rFonts w:ascii="Times New Roman" w:eastAsia="Times New Roman" w:hAnsi="Times New Roman" w:cs="Times New Roman"/>
          <w:sz w:val="24"/>
          <w:szCs w:val="24"/>
          <w:lang w:val="en-GB" w:eastAsia="zh-CN"/>
        </w:rPr>
        <w:t>Group</w:t>
      </w:r>
      <w:r w:rsidR="005510AC" w:rsidRPr="0089434E">
        <w:rPr>
          <w:rFonts w:ascii="Times New Roman" w:eastAsia="Times New Roman" w:hAnsi="Times New Roman" w:cs="Times New Roman"/>
          <w:sz w:val="24"/>
          <w:szCs w:val="24"/>
          <w:lang w:val="en-GB" w:eastAsia="zh-CN"/>
        </w:rPr>
        <w:t xml:space="preserve"> and the</w:t>
      </w:r>
      <w:r w:rsidR="00054041" w:rsidRPr="0089434E">
        <w:rPr>
          <w:rFonts w:ascii="Times New Roman" w:eastAsia="Times New Roman" w:hAnsi="Times New Roman" w:cs="Times New Roman"/>
          <w:sz w:val="24"/>
          <w:szCs w:val="24"/>
          <w:lang w:val="en-GB" w:eastAsia="zh-CN"/>
        </w:rPr>
        <w:t xml:space="preserve"> </w:t>
      </w:r>
      <w:r w:rsidR="009D6908" w:rsidRPr="0089434E">
        <w:rPr>
          <w:rFonts w:ascii="Times New Roman" w:eastAsia="Times New Roman" w:hAnsi="Times New Roman" w:cs="Times New Roman"/>
          <w:sz w:val="24"/>
          <w:szCs w:val="24"/>
          <w:lang w:val="en-GB" w:eastAsia="zh-CN"/>
        </w:rPr>
        <w:t>Western European and Other</w:t>
      </w:r>
      <w:r w:rsidR="0082084B" w:rsidRPr="0089434E">
        <w:rPr>
          <w:rFonts w:ascii="Times New Roman" w:eastAsia="Times New Roman" w:hAnsi="Times New Roman" w:cs="Times New Roman"/>
          <w:sz w:val="24"/>
          <w:szCs w:val="24"/>
          <w:lang w:val="en-GB" w:eastAsia="zh-CN"/>
        </w:rPr>
        <w:t>s</w:t>
      </w:r>
      <w:r w:rsidR="009D6908" w:rsidRPr="0089434E">
        <w:rPr>
          <w:rFonts w:ascii="Times New Roman" w:eastAsia="Times New Roman" w:hAnsi="Times New Roman" w:cs="Times New Roman"/>
          <w:sz w:val="24"/>
          <w:szCs w:val="24"/>
          <w:lang w:val="en-GB" w:eastAsia="zh-CN"/>
        </w:rPr>
        <w:t xml:space="preserve"> </w:t>
      </w:r>
      <w:r w:rsidR="00846857" w:rsidRPr="0089434E">
        <w:rPr>
          <w:rFonts w:ascii="Times New Roman" w:eastAsia="Times New Roman" w:hAnsi="Times New Roman" w:cs="Times New Roman"/>
          <w:sz w:val="24"/>
          <w:szCs w:val="24"/>
          <w:lang w:val="en-GB" w:eastAsia="zh-CN"/>
        </w:rPr>
        <w:t>Group</w:t>
      </w:r>
      <w:r w:rsidR="005A7866" w:rsidRPr="0089434E">
        <w:rPr>
          <w:rFonts w:ascii="Times New Roman" w:eastAsia="Times New Roman" w:hAnsi="Times New Roman" w:cs="Times New Roman"/>
          <w:sz w:val="24"/>
          <w:szCs w:val="24"/>
          <w:lang w:val="en-GB" w:eastAsia="zh-CN"/>
        </w:rPr>
        <w:t xml:space="preserve">, </w:t>
      </w:r>
      <w:r w:rsidR="005510AC" w:rsidRPr="0089434E">
        <w:rPr>
          <w:rFonts w:ascii="Times New Roman" w:eastAsia="Times New Roman" w:hAnsi="Times New Roman" w:cs="Times New Roman"/>
          <w:sz w:val="24"/>
          <w:szCs w:val="24"/>
          <w:lang w:val="en-GB" w:eastAsia="zh-CN"/>
        </w:rPr>
        <w:t>three from the</w:t>
      </w:r>
      <w:r w:rsidR="009D6908" w:rsidRPr="0089434E">
        <w:rPr>
          <w:rFonts w:ascii="Times New Roman" w:eastAsia="Times New Roman" w:hAnsi="Times New Roman" w:cs="Times New Roman"/>
          <w:sz w:val="24"/>
          <w:szCs w:val="24"/>
          <w:lang w:val="en-GB" w:eastAsia="zh-CN"/>
        </w:rPr>
        <w:t xml:space="preserve"> Eastern European </w:t>
      </w:r>
      <w:r w:rsidR="00846857" w:rsidRPr="0089434E">
        <w:rPr>
          <w:rFonts w:ascii="Times New Roman" w:eastAsia="Times New Roman" w:hAnsi="Times New Roman" w:cs="Times New Roman"/>
          <w:sz w:val="24"/>
          <w:szCs w:val="24"/>
          <w:lang w:val="en-GB" w:eastAsia="zh-CN"/>
        </w:rPr>
        <w:t>Grou</w:t>
      </w:r>
      <w:r w:rsidR="005510AC" w:rsidRPr="0089434E">
        <w:rPr>
          <w:rFonts w:ascii="Times New Roman" w:eastAsia="Times New Roman" w:hAnsi="Times New Roman" w:cs="Times New Roman"/>
          <w:sz w:val="24"/>
          <w:szCs w:val="24"/>
          <w:lang w:val="en-GB" w:eastAsia="zh-CN"/>
        </w:rPr>
        <w:t>p</w:t>
      </w:r>
      <w:r w:rsidR="00552E33" w:rsidRPr="0089434E">
        <w:rPr>
          <w:rFonts w:ascii="Times New Roman" w:eastAsia="Times New Roman" w:hAnsi="Times New Roman" w:cs="Times New Roman"/>
          <w:sz w:val="24"/>
          <w:szCs w:val="24"/>
          <w:lang w:val="en-GB" w:eastAsia="zh-CN"/>
        </w:rPr>
        <w:t xml:space="preserve">, and one </w:t>
      </w:r>
      <w:r w:rsidR="005510AC" w:rsidRPr="0089434E">
        <w:rPr>
          <w:rFonts w:ascii="Times New Roman" w:eastAsia="Times New Roman" w:hAnsi="Times New Roman" w:cs="Times New Roman"/>
          <w:sz w:val="24"/>
          <w:szCs w:val="24"/>
          <w:lang w:val="en-GB" w:eastAsia="zh-CN"/>
        </w:rPr>
        <w:t xml:space="preserve">from the </w:t>
      </w:r>
      <w:r w:rsidR="009D6908" w:rsidRPr="0089434E">
        <w:rPr>
          <w:rFonts w:ascii="Times New Roman" w:eastAsia="Times New Roman" w:hAnsi="Times New Roman" w:cs="Times New Roman"/>
          <w:sz w:val="24"/>
          <w:szCs w:val="24"/>
          <w:lang w:val="en-GB" w:eastAsia="zh-CN"/>
        </w:rPr>
        <w:t xml:space="preserve">Latin American and Caribbean </w:t>
      </w:r>
      <w:r w:rsidR="00846857" w:rsidRPr="0089434E">
        <w:rPr>
          <w:rFonts w:ascii="Times New Roman" w:eastAsia="Times New Roman" w:hAnsi="Times New Roman" w:cs="Times New Roman"/>
          <w:sz w:val="24"/>
          <w:szCs w:val="24"/>
          <w:lang w:val="en-GB" w:eastAsia="zh-CN"/>
        </w:rPr>
        <w:t>Group</w:t>
      </w:r>
      <w:r w:rsidR="005510AC" w:rsidRPr="0089434E">
        <w:rPr>
          <w:rFonts w:ascii="Times New Roman" w:eastAsia="Times New Roman" w:hAnsi="Times New Roman" w:cs="Times New Roman"/>
          <w:sz w:val="24"/>
          <w:szCs w:val="24"/>
          <w:lang w:val="en-GB" w:eastAsia="zh-CN"/>
        </w:rPr>
        <w:t xml:space="preserve">; </w:t>
      </w:r>
      <w:r w:rsidR="00786EF2" w:rsidRPr="0089434E">
        <w:rPr>
          <w:rFonts w:ascii="Times New Roman" w:eastAsia="Times New Roman" w:hAnsi="Times New Roman" w:cs="Times New Roman"/>
          <w:sz w:val="24"/>
          <w:szCs w:val="24"/>
          <w:lang w:val="en-GB" w:eastAsia="zh-CN"/>
        </w:rPr>
        <w:t>12</w:t>
      </w:r>
      <w:r w:rsidR="0052331C" w:rsidRPr="0089434E">
        <w:rPr>
          <w:rFonts w:ascii="Times New Roman" w:eastAsia="Times New Roman" w:hAnsi="Times New Roman" w:cs="Times New Roman"/>
          <w:sz w:val="24"/>
          <w:szCs w:val="24"/>
          <w:lang w:val="en-GB" w:eastAsia="zh-CN"/>
        </w:rPr>
        <w:t xml:space="preserve"> </w:t>
      </w:r>
      <w:r w:rsidR="00625E73" w:rsidRPr="0089434E">
        <w:rPr>
          <w:rFonts w:ascii="Times New Roman" w:eastAsia="Times New Roman" w:hAnsi="Times New Roman" w:cs="Times New Roman"/>
          <w:sz w:val="24"/>
          <w:szCs w:val="24"/>
          <w:lang w:val="en-GB" w:eastAsia="zh-CN"/>
        </w:rPr>
        <w:t xml:space="preserve">members </w:t>
      </w:r>
      <w:r w:rsidR="0052331C" w:rsidRPr="0089434E">
        <w:rPr>
          <w:rFonts w:ascii="Times New Roman" w:eastAsia="Times New Roman" w:hAnsi="Times New Roman" w:cs="Times New Roman"/>
          <w:sz w:val="24"/>
          <w:szCs w:val="24"/>
          <w:lang w:val="en-GB" w:eastAsia="zh-CN"/>
        </w:rPr>
        <w:t xml:space="preserve">are men and </w:t>
      </w:r>
      <w:r w:rsidR="00625E73" w:rsidRPr="0089434E">
        <w:rPr>
          <w:rFonts w:ascii="Times New Roman" w:eastAsia="Times New Roman" w:hAnsi="Times New Roman" w:cs="Times New Roman"/>
          <w:sz w:val="24"/>
          <w:szCs w:val="24"/>
          <w:lang w:val="en-GB" w:eastAsia="zh-CN"/>
        </w:rPr>
        <w:t>seven</w:t>
      </w:r>
      <w:r w:rsidR="0052331C" w:rsidRPr="0089434E">
        <w:rPr>
          <w:rFonts w:ascii="Times New Roman" w:eastAsia="Times New Roman" w:hAnsi="Times New Roman" w:cs="Times New Roman"/>
          <w:sz w:val="24"/>
          <w:szCs w:val="24"/>
          <w:lang w:val="en-GB" w:eastAsia="zh-CN"/>
        </w:rPr>
        <w:t xml:space="preserve"> are women.</w:t>
      </w:r>
      <w:r w:rsidR="00167618" w:rsidRPr="0089434E">
        <w:rPr>
          <w:rFonts w:ascii="Times New Roman" w:eastAsia="Times New Roman" w:hAnsi="Times New Roman" w:cs="Times New Roman"/>
          <w:sz w:val="24"/>
          <w:szCs w:val="24"/>
          <w:lang w:val="en-GB" w:eastAsia="zh-CN"/>
        </w:rPr>
        <w:t xml:space="preserve"> The Group of Experts is led by two Joint Coordinators, one from a developed country and one from a developing country, elected by the Group of Experts. In the second cycle, an advisor to the Joint Coordinators was also appointed by the Group of Experts </w:t>
      </w:r>
      <w:r w:rsidR="00625E73" w:rsidRPr="0089434E">
        <w:rPr>
          <w:rFonts w:ascii="Times New Roman" w:eastAsia="Times New Roman" w:hAnsi="Times New Roman" w:cs="Times New Roman"/>
          <w:sz w:val="24"/>
          <w:szCs w:val="24"/>
          <w:lang w:val="en-GB" w:eastAsia="zh-CN"/>
        </w:rPr>
        <w:t xml:space="preserve">which was considered necessary in view of </w:t>
      </w:r>
      <w:r w:rsidR="000A04C0">
        <w:rPr>
          <w:rFonts w:ascii="Times New Roman" w:eastAsia="Times New Roman" w:hAnsi="Times New Roman" w:cs="Times New Roman"/>
          <w:sz w:val="24"/>
          <w:szCs w:val="24"/>
          <w:lang w:val="en-GB" w:eastAsia="zh-CN"/>
        </w:rPr>
        <w:t>its</w:t>
      </w:r>
      <w:r w:rsidR="00625E73" w:rsidRPr="0089434E">
        <w:rPr>
          <w:rFonts w:ascii="Times New Roman" w:eastAsia="Times New Roman" w:hAnsi="Times New Roman" w:cs="Times New Roman"/>
          <w:sz w:val="24"/>
          <w:szCs w:val="24"/>
          <w:lang w:val="en-GB" w:eastAsia="zh-CN"/>
        </w:rPr>
        <w:t xml:space="preserve"> workload</w:t>
      </w:r>
      <w:r w:rsidR="00167618" w:rsidRPr="0089434E">
        <w:rPr>
          <w:rFonts w:ascii="Times New Roman" w:eastAsia="Times New Roman" w:hAnsi="Times New Roman" w:cs="Times New Roman"/>
          <w:sz w:val="24"/>
          <w:szCs w:val="24"/>
          <w:lang w:val="en-GB" w:eastAsia="zh-CN"/>
        </w:rPr>
        <w:t>.</w:t>
      </w:r>
    </w:p>
    <w:p w14:paraId="1B61B12E" w14:textId="6986197F" w:rsidR="008B1F2D" w:rsidRPr="005510AC" w:rsidRDefault="0052331C"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Was the constitution and composition of the Group of the Experts suitable for its work during the second cycle?</w:t>
      </w:r>
    </w:p>
    <w:p w14:paraId="551F5DA9" w14:textId="62B42C3A" w:rsidR="00786EF2" w:rsidRDefault="003F25A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786EF2">
        <w:rPr>
          <w:rFonts w:ascii="Times New Roman" w:hAnsi="Times New Roman" w:cs="Times New Roman"/>
          <w:sz w:val="24"/>
          <w:szCs w:val="24"/>
          <w:lang w:val="en-GB"/>
        </w:rPr>
        <w:t xml:space="preserve"> to ensur</w:t>
      </w:r>
      <w:r>
        <w:rPr>
          <w:rFonts w:ascii="Times New Roman" w:hAnsi="Times New Roman" w:cs="Times New Roman"/>
          <w:sz w:val="24"/>
          <w:szCs w:val="24"/>
          <w:lang w:val="en-GB"/>
        </w:rPr>
        <w:t>ing</w:t>
      </w:r>
      <w:r w:rsidR="00786EF2">
        <w:rPr>
          <w:rFonts w:ascii="Times New Roman" w:hAnsi="Times New Roman" w:cs="Times New Roman"/>
          <w:sz w:val="24"/>
          <w:szCs w:val="24"/>
          <w:lang w:val="en-GB"/>
        </w:rPr>
        <w:t xml:space="preserve"> </w:t>
      </w:r>
      <w:r w:rsidR="00AC0E24">
        <w:rPr>
          <w:rFonts w:ascii="Times New Roman" w:hAnsi="Times New Roman" w:cs="Times New Roman"/>
          <w:sz w:val="24"/>
          <w:szCs w:val="24"/>
          <w:lang w:val="en-GB"/>
        </w:rPr>
        <w:t xml:space="preserve">more </w:t>
      </w:r>
      <w:r w:rsidR="00786EF2">
        <w:rPr>
          <w:rFonts w:ascii="Times New Roman" w:hAnsi="Times New Roman" w:cs="Times New Roman"/>
          <w:sz w:val="24"/>
          <w:szCs w:val="24"/>
          <w:lang w:val="en-GB"/>
        </w:rPr>
        <w:t>adequate expertise and geographical distribution in the Group of Experts</w:t>
      </w:r>
      <w:r w:rsidR="00786EF2" w:rsidRPr="00F22461">
        <w:rPr>
          <w:rFonts w:ascii="Times New Roman" w:hAnsi="Times New Roman" w:cs="Times New Roman"/>
          <w:sz w:val="24"/>
          <w:szCs w:val="24"/>
          <w:lang w:val="en-GB"/>
        </w:rPr>
        <w:t>?</w:t>
      </w:r>
    </w:p>
    <w:p w14:paraId="1C103117" w14:textId="4185EA35" w:rsidR="0052331C" w:rsidRDefault="003F25A1"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750468" w:rsidRPr="00F22461">
        <w:rPr>
          <w:rFonts w:ascii="Times New Roman" w:hAnsi="Times New Roman" w:cs="Times New Roman"/>
          <w:sz w:val="24"/>
          <w:szCs w:val="24"/>
          <w:lang w:val="en-GB"/>
        </w:rPr>
        <w:t xml:space="preserve"> to </w:t>
      </w:r>
      <w:r w:rsidR="0052331C">
        <w:rPr>
          <w:rFonts w:ascii="Times New Roman" w:hAnsi="Times New Roman" w:cs="Times New Roman"/>
          <w:sz w:val="24"/>
          <w:szCs w:val="24"/>
          <w:lang w:val="en-GB"/>
        </w:rPr>
        <w:t>achiev</w:t>
      </w:r>
      <w:r>
        <w:rPr>
          <w:rFonts w:ascii="Times New Roman" w:hAnsi="Times New Roman" w:cs="Times New Roman"/>
          <w:sz w:val="24"/>
          <w:szCs w:val="24"/>
          <w:lang w:val="en-GB"/>
        </w:rPr>
        <w:t>ing</w:t>
      </w:r>
      <w:r w:rsidR="0052331C" w:rsidRPr="00F22461">
        <w:rPr>
          <w:rFonts w:ascii="Times New Roman" w:hAnsi="Times New Roman" w:cs="Times New Roman"/>
          <w:sz w:val="24"/>
          <w:szCs w:val="24"/>
          <w:lang w:val="en-GB"/>
        </w:rPr>
        <w:t xml:space="preserve"> </w:t>
      </w:r>
      <w:r w:rsidR="0052331C">
        <w:rPr>
          <w:rFonts w:ascii="Times New Roman" w:hAnsi="Times New Roman" w:cs="Times New Roman"/>
          <w:sz w:val="24"/>
          <w:szCs w:val="24"/>
          <w:lang w:val="en-GB"/>
        </w:rPr>
        <w:t>gender balance</w:t>
      </w:r>
      <w:r w:rsidR="00750468" w:rsidRPr="00F22461">
        <w:rPr>
          <w:rFonts w:ascii="Times New Roman" w:hAnsi="Times New Roman" w:cs="Times New Roman"/>
          <w:sz w:val="24"/>
          <w:szCs w:val="24"/>
          <w:lang w:val="en-GB"/>
        </w:rPr>
        <w:t xml:space="preserve"> in the composition of the </w:t>
      </w:r>
      <w:r w:rsidR="008B1F2D" w:rsidRPr="00F22461">
        <w:rPr>
          <w:rFonts w:ascii="Times New Roman" w:hAnsi="Times New Roman" w:cs="Times New Roman"/>
          <w:sz w:val="24"/>
          <w:szCs w:val="24"/>
          <w:lang w:val="en-GB"/>
        </w:rPr>
        <w:t>Group of Experts?</w:t>
      </w:r>
    </w:p>
    <w:p w14:paraId="364108DA" w14:textId="6363ED41" w:rsidR="00A357E8" w:rsidRPr="005D1AFA" w:rsidRDefault="00691E0E" w:rsidP="005D1AFA">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Could you provide any suggestions with a view</w:t>
      </w:r>
      <w:r w:rsidR="00167618">
        <w:rPr>
          <w:rFonts w:ascii="Times New Roman" w:hAnsi="Times New Roman" w:cs="Times New Roman"/>
          <w:sz w:val="24"/>
          <w:szCs w:val="24"/>
          <w:lang w:val="en-GB"/>
        </w:rPr>
        <w:t xml:space="preserve"> to </w:t>
      </w:r>
      <w:r w:rsidR="008C19C9">
        <w:rPr>
          <w:rFonts w:ascii="Times New Roman" w:hAnsi="Times New Roman" w:cs="Times New Roman"/>
          <w:sz w:val="24"/>
          <w:szCs w:val="24"/>
          <w:lang w:val="en-GB"/>
        </w:rPr>
        <w:t xml:space="preserve">further </w:t>
      </w:r>
      <w:r w:rsidR="00167618">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167618">
        <w:rPr>
          <w:rFonts w:ascii="Times New Roman" w:hAnsi="Times New Roman" w:cs="Times New Roman"/>
          <w:sz w:val="24"/>
          <w:szCs w:val="24"/>
          <w:lang w:val="en-GB"/>
        </w:rPr>
        <w:t xml:space="preserve"> the constitution and composition of the Group of Experts?</w:t>
      </w:r>
    </w:p>
    <w:p w14:paraId="0B367691" w14:textId="7D72868D" w:rsidR="00A357E8" w:rsidRPr="0089434E" w:rsidRDefault="00A357E8"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A database was developed on the website of the Regular Process to provide detailed information on the expertise of the members of the Group of Experts. The information in this database was maintained by the members of the Group of Experts, but not all experts have provided their information.</w:t>
      </w:r>
    </w:p>
    <w:p w14:paraId="436F513F" w14:textId="2DA0D4E5" w:rsidR="00A357E8" w:rsidRPr="00F22461" w:rsidRDefault="00A357E8"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this database useful</w:t>
      </w:r>
      <w:r w:rsidRPr="00F22461">
        <w:rPr>
          <w:rFonts w:ascii="Times New Roman" w:hAnsi="Times New Roman" w:cs="Times New Roman"/>
          <w:sz w:val="24"/>
          <w:szCs w:val="24"/>
          <w:lang w:val="en-GB"/>
        </w:rPr>
        <w:t>?</w:t>
      </w:r>
    </w:p>
    <w:p w14:paraId="0CD6B4F5" w14:textId="71AF06D7" w:rsidR="005D1AFA" w:rsidRPr="00ED4F51" w:rsidRDefault="008C19C9" w:rsidP="00ED4F51">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 further</w:t>
      </w:r>
      <w:r w:rsidR="005D1AFA">
        <w:rPr>
          <w:rFonts w:ascii="Times New Roman" w:hAnsi="Times New Roman" w:cs="Times New Roman"/>
          <w:sz w:val="24"/>
          <w:szCs w:val="24"/>
          <w:lang w:val="en-GB"/>
        </w:rPr>
        <w:t xml:space="preserve"> improv</w:t>
      </w:r>
      <w:r>
        <w:rPr>
          <w:rFonts w:ascii="Times New Roman" w:hAnsi="Times New Roman" w:cs="Times New Roman"/>
          <w:sz w:val="24"/>
          <w:szCs w:val="24"/>
          <w:lang w:val="en-GB"/>
        </w:rPr>
        <w:t>ing</w:t>
      </w:r>
      <w:r w:rsidR="005D1AFA">
        <w:rPr>
          <w:rFonts w:ascii="Times New Roman" w:hAnsi="Times New Roman" w:cs="Times New Roman"/>
          <w:sz w:val="24"/>
          <w:szCs w:val="24"/>
          <w:lang w:val="en-GB"/>
        </w:rPr>
        <w:t xml:space="preserve"> this database</w:t>
      </w:r>
      <w:r w:rsidR="00A357E8" w:rsidRPr="00F22461">
        <w:rPr>
          <w:rFonts w:ascii="Times New Roman" w:hAnsi="Times New Roman" w:cs="Times New Roman"/>
          <w:sz w:val="24"/>
          <w:szCs w:val="24"/>
          <w:lang w:val="en-GB"/>
        </w:rPr>
        <w:t>?</w:t>
      </w:r>
    </w:p>
    <w:p w14:paraId="24C443B1" w14:textId="4A36FB4C" w:rsidR="00A357E8" w:rsidRPr="0089434E" w:rsidRDefault="00A357E8"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Communication between members of the Group of Experts has primarily taken place via e-mail and teleconferences. While Unite Connections and Microsoft SharePoint were used </w:t>
      </w:r>
      <w:r w:rsidR="0082084B" w:rsidRPr="0089434E">
        <w:rPr>
          <w:rFonts w:ascii="Times New Roman" w:eastAsia="Times New Roman" w:hAnsi="Times New Roman" w:cs="Times New Roman"/>
          <w:sz w:val="24"/>
          <w:szCs w:val="24"/>
          <w:lang w:val="en-GB" w:eastAsia="zh-CN"/>
        </w:rPr>
        <w:t xml:space="preserve">successively </w:t>
      </w:r>
      <w:r w:rsidRPr="0089434E">
        <w:rPr>
          <w:rFonts w:ascii="Times New Roman" w:eastAsia="Times New Roman" w:hAnsi="Times New Roman" w:cs="Times New Roman"/>
          <w:sz w:val="24"/>
          <w:szCs w:val="24"/>
          <w:lang w:val="en-GB" w:eastAsia="zh-CN"/>
        </w:rPr>
        <w:t>in the second cycle to provide a platform for all members of the Group of Experts to connect and work jointly on documents, not all members of the Group of Experts were able to use these platforms due to technical limitations.</w:t>
      </w:r>
    </w:p>
    <w:p w14:paraId="12B4CB57" w14:textId="24427B5D" w:rsidR="00F5423C" w:rsidRPr="005D1AFA" w:rsidRDefault="008C19C9" w:rsidP="002D0BD4">
      <w:pPr>
        <w:pStyle w:val="ListParagraph"/>
        <w:numPr>
          <w:ilvl w:val="0"/>
          <w:numId w:val="1"/>
        </w:numPr>
        <w:spacing w:after="0" w:line="240" w:lineRule="auto"/>
        <w:ind w:left="720"/>
        <w:jc w:val="both"/>
        <w:rPr>
          <w:lang w:val="en-GB"/>
        </w:rPr>
      </w:pPr>
      <w:r>
        <w:rPr>
          <w:rFonts w:ascii="Times New Roman" w:hAnsi="Times New Roman" w:cs="Times New Roman"/>
          <w:sz w:val="24"/>
          <w:szCs w:val="24"/>
          <w:lang w:val="en-GB"/>
        </w:rPr>
        <w:t xml:space="preserve">Could you provide any suggestions with a view </w:t>
      </w:r>
      <w:r w:rsidR="00A357E8">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further </w:t>
      </w:r>
      <w:r w:rsidR="00A357E8">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A357E8">
        <w:rPr>
          <w:rFonts w:ascii="Times New Roman" w:hAnsi="Times New Roman" w:cs="Times New Roman"/>
          <w:sz w:val="24"/>
          <w:szCs w:val="24"/>
          <w:lang w:val="en-GB"/>
        </w:rPr>
        <w:t xml:space="preserve"> the</w:t>
      </w:r>
      <w:r w:rsidR="00A357E8" w:rsidRPr="00F22461">
        <w:rPr>
          <w:rFonts w:ascii="Times New Roman" w:hAnsi="Times New Roman" w:cs="Times New Roman"/>
          <w:sz w:val="24"/>
          <w:szCs w:val="24"/>
          <w:lang w:val="en-GB"/>
        </w:rPr>
        <w:t xml:space="preserve"> communication between members of the Group of Experts?</w:t>
      </w:r>
    </w:p>
    <w:p w14:paraId="6C96C465" w14:textId="77777777" w:rsidR="005D1AFA" w:rsidRPr="005D1AFA" w:rsidRDefault="005D1AFA" w:rsidP="005D1AFA">
      <w:pPr>
        <w:pStyle w:val="ListParagraph"/>
        <w:spacing w:after="0" w:line="240" w:lineRule="auto"/>
        <w:jc w:val="both"/>
        <w:rPr>
          <w:lang w:val="en-GB"/>
        </w:rPr>
      </w:pPr>
    </w:p>
    <w:p w14:paraId="6743C107" w14:textId="6EF94AE7" w:rsidR="00F5423C" w:rsidRPr="005D1AFA" w:rsidRDefault="00081F1A" w:rsidP="005D1AFA">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Pool of Experts</w:t>
      </w:r>
    </w:p>
    <w:p w14:paraId="200D87B2" w14:textId="4696F2ED" w:rsidR="009A4F31" w:rsidRPr="0089434E" w:rsidRDefault="009A4F31"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The period </w:t>
      </w:r>
      <w:r w:rsidR="005510AC" w:rsidRPr="0089434E">
        <w:rPr>
          <w:rFonts w:ascii="Times New Roman" w:eastAsia="Times New Roman" w:hAnsi="Times New Roman" w:cs="Times New Roman"/>
          <w:sz w:val="24"/>
          <w:szCs w:val="24"/>
          <w:lang w:val="en-GB" w:eastAsia="zh-CN"/>
        </w:rPr>
        <w:t>for</w:t>
      </w:r>
      <w:r w:rsidRPr="0089434E">
        <w:rPr>
          <w:rFonts w:ascii="Times New Roman" w:eastAsia="Times New Roman" w:hAnsi="Times New Roman" w:cs="Times New Roman"/>
          <w:sz w:val="24"/>
          <w:szCs w:val="24"/>
          <w:lang w:val="en-GB" w:eastAsia="zh-CN"/>
        </w:rPr>
        <w:t xml:space="preserve"> States to nominate and intergovernmental organizations to recommend experts for appointment to the Pool of Experts was originally </w:t>
      </w:r>
      <w:r w:rsidR="00D91FA8" w:rsidRPr="0089434E">
        <w:rPr>
          <w:rFonts w:ascii="Times New Roman" w:eastAsia="Times New Roman" w:hAnsi="Times New Roman" w:cs="Times New Roman"/>
          <w:sz w:val="24"/>
          <w:szCs w:val="24"/>
          <w:lang w:val="en-GB" w:eastAsia="zh-CN"/>
        </w:rPr>
        <w:t>intended</w:t>
      </w:r>
      <w:r w:rsidRPr="0089434E">
        <w:rPr>
          <w:rFonts w:ascii="Times New Roman" w:eastAsia="Times New Roman" w:hAnsi="Times New Roman" w:cs="Times New Roman"/>
          <w:sz w:val="24"/>
          <w:szCs w:val="24"/>
          <w:lang w:val="en-GB" w:eastAsia="zh-CN"/>
        </w:rPr>
        <w:t xml:space="preserve"> to </w:t>
      </w:r>
      <w:r w:rsidR="00D91FA8" w:rsidRPr="0089434E">
        <w:rPr>
          <w:rFonts w:ascii="Times New Roman" w:eastAsia="Times New Roman" w:hAnsi="Times New Roman" w:cs="Times New Roman"/>
          <w:sz w:val="24"/>
          <w:szCs w:val="24"/>
          <w:lang w:val="en-GB" w:eastAsia="zh-CN"/>
        </w:rPr>
        <w:t>have an end date</w:t>
      </w:r>
      <w:r w:rsidRPr="0089434E">
        <w:rPr>
          <w:rFonts w:ascii="Times New Roman" w:eastAsia="Times New Roman" w:hAnsi="Times New Roman" w:cs="Times New Roman"/>
          <w:sz w:val="24"/>
          <w:szCs w:val="24"/>
          <w:lang w:val="en-GB" w:eastAsia="zh-CN"/>
        </w:rPr>
        <w:t>.</w:t>
      </w:r>
      <w:r w:rsidR="00B33C79" w:rsidRPr="0089434E">
        <w:rPr>
          <w:rFonts w:ascii="Times New Roman" w:eastAsia="Times New Roman" w:hAnsi="Times New Roman" w:cs="Times New Roman"/>
          <w:sz w:val="24"/>
          <w:szCs w:val="24"/>
          <w:lang w:val="en-GB" w:eastAsia="zh-CN"/>
        </w:rPr>
        <w:t xml:space="preserve"> </w:t>
      </w:r>
      <w:r w:rsidR="00D91FA8" w:rsidRPr="0089434E">
        <w:rPr>
          <w:rFonts w:ascii="Times New Roman" w:eastAsia="Times New Roman" w:hAnsi="Times New Roman" w:cs="Times New Roman"/>
          <w:sz w:val="24"/>
          <w:szCs w:val="24"/>
          <w:lang w:val="en-GB" w:eastAsia="zh-CN"/>
        </w:rPr>
        <w:t xml:space="preserve">However, </w:t>
      </w:r>
      <w:r w:rsidR="005510AC" w:rsidRPr="0089434E">
        <w:rPr>
          <w:rFonts w:ascii="Times New Roman" w:eastAsia="Times New Roman" w:hAnsi="Times New Roman" w:cs="Times New Roman"/>
          <w:sz w:val="24"/>
          <w:szCs w:val="24"/>
          <w:lang w:val="en-GB" w:eastAsia="zh-CN"/>
        </w:rPr>
        <w:t>gaps</w:t>
      </w:r>
      <w:r w:rsidR="00D91FA8" w:rsidRPr="0089434E">
        <w:rPr>
          <w:rFonts w:ascii="Times New Roman" w:eastAsia="Times New Roman" w:hAnsi="Times New Roman" w:cs="Times New Roman"/>
          <w:sz w:val="24"/>
          <w:szCs w:val="24"/>
          <w:lang w:val="en-GB" w:eastAsia="zh-CN"/>
        </w:rPr>
        <w:t xml:space="preserve"> in needed expertise </w:t>
      </w:r>
      <w:r w:rsidR="001E336B" w:rsidRPr="0089434E">
        <w:rPr>
          <w:rFonts w:ascii="Times New Roman" w:eastAsia="Times New Roman" w:hAnsi="Times New Roman" w:cs="Times New Roman"/>
          <w:sz w:val="24"/>
          <w:szCs w:val="24"/>
          <w:lang w:val="en-GB" w:eastAsia="zh-CN"/>
        </w:rPr>
        <w:t xml:space="preserve">in the Pool of Experts </w:t>
      </w:r>
      <w:r w:rsidR="00D91FA8" w:rsidRPr="0089434E">
        <w:rPr>
          <w:rFonts w:ascii="Times New Roman" w:eastAsia="Times New Roman" w:hAnsi="Times New Roman" w:cs="Times New Roman"/>
          <w:sz w:val="24"/>
          <w:szCs w:val="24"/>
          <w:lang w:val="en-GB" w:eastAsia="zh-CN"/>
        </w:rPr>
        <w:t>persist throughout the second cycle</w:t>
      </w:r>
      <w:r w:rsidR="001E336B" w:rsidRPr="0089434E">
        <w:rPr>
          <w:rFonts w:ascii="Times New Roman" w:eastAsia="Times New Roman" w:hAnsi="Times New Roman" w:cs="Times New Roman"/>
          <w:sz w:val="24"/>
          <w:szCs w:val="24"/>
          <w:lang w:val="en-GB" w:eastAsia="zh-CN"/>
        </w:rPr>
        <w:t>. In its document on Gaps in expertise in the Pool of Experts, the Joint Coordinators of the Group of Experts noted the need for additional experts from specific regions for a number of chapters</w:t>
      </w:r>
      <w:r w:rsidR="0082084B" w:rsidRPr="0089434E">
        <w:rPr>
          <w:rFonts w:ascii="Times New Roman" w:eastAsia="Times New Roman" w:hAnsi="Times New Roman" w:cs="Times New Roman"/>
          <w:sz w:val="24"/>
          <w:szCs w:val="24"/>
          <w:lang w:val="en-GB" w:eastAsia="zh-CN"/>
        </w:rPr>
        <w:t xml:space="preserve"> or</w:t>
      </w:r>
      <w:r w:rsidR="005510AC" w:rsidRPr="0089434E">
        <w:rPr>
          <w:rFonts w:ascii="Times New Roman" w:eastAsia="Times New Roman" w:hAnsi="Times New Roman" w:cs="Times New Roman"/>
          <w:sz w:val="24"/>
          <w:szCs w:val="24"/>
          <w:lang w:val="en-GB" w:eastAsia="zh-CN"/>
        </w:rPr>
        <w:t xml:space="preserve"> </w:t>
      </w:r>
      <w:r w:rsidR="00632728" w:rsidRPr="0089434E">
        <w:rPr>
          <w:rFonts w:ascii="Times New Roman" w:eastAsia="Times New Roman" w:hAnsi="Times New Roman" w:cs="Times New Roman"/>
          <w:sz w:val="24"/>
          <w:szCs w:val="24"/>
          <w:lang w:val="en-GB" w:eastAsia="zh-CN"/>
        </w:rPr>
        <w:t>topics</w:t>
      </w:r>
      <w:r w:rsidR="001E336B" w:rsidRPr="0089434E">
        <w:rPr>
          <w:rFonts w:ascii="Times New Roman" w:eastAsia="Times New Roman" w:hAnsi="Times New Roman" w:cs="Times New Roman"/>
          <w:sz w:val="24"/>
          <w:szCs w:val="24"/>
          <w:lang w:val="en-GB" w:eastAsia="zh-CN"/>
        </w:rPr>
        <w:t xml:space="preserve">. Experts for the North and South Pacific regions and the Indian Ocean were the most </w:t>
      </w:r>
      <w:r w:rsidR="00632728" w:rsidRPr="0089434E">
        <w:rPr>
          <w:rFonts w:ascii="Times New Roman" w:eastAsia="Times New Roman" w:hAnsi="Times New Roman" w:cs="Times New Roman"/>
          <w:sz w:val="24"/>
          <w:szCs w:val="24"/>
          <w:lang w:val="en-GB" w:eastAsia="zh-CN"/>
        </w:rPr>
        <w:t>in demand</w:t>
      </w:r>
      <w:r w:rsidR="001E336B" w:rsidRPr="0089434E">
        <w:rPr>
          <w:rFonts w:ascii="Times New Roman" w:eastAsia="Times New Roman" w:hAnsi="Times New Roman" w:cs="Times New Roman"/>
          <w:sz w:val="24"/>
          <w:szCs w:val="24"/>
          <w:lang w:val="en-GB" w:eastAsia="zh-CN"/>
        </w:rPr>
        <w:t>. The Joint Coordinators of the Group of Experts also noted that more expertise was needed related to gender studies and to socioeconomic aspects. Due to the persisting gaps in expertise</w:t>
      </w:r>
      <w:r w:rsidR="00D91FA8" w:rsidRPr="0089434E">
        <w:rPr>
          <w:rFonts w:ascii="Times New Roman" w:eastAsia="Times New Roman" w:hAnsi="Times New Roman" w:cs="Times New Roman"/>
          <w:sz w:val="24"/>
          <w:szCs w:val="24"/>
          <w:lang w:val="en-GB" w:eastAsia="zh-CN"/>
        </w:rPr>
        <w:t xml:space="preserve">, </w:t>
      </w:r>
      <w:r w:rsidR="008B19B2" w:rsidRPr="0089434E">
        <w:rPr>
          <w:rFonts w:ascii="Times New Roman" w:eastAsia="Times New Roman" w:hAnsi="Times New Roman" w:cs="Times New Roman"/>
          <w:sz w:val="24"/>
          <w:szCs w:val="24"/>
          <w:lang w:val="en-GB" w:eastAsia="zh-CN"/>
        </w:rPr>
        <w:t>several</w:t>
      </w:r>
      <w:r w:rsidR="00D91FA8" w:rsidRPr="0089434E">
        <w:rPr>
          <w:rFonts w:ascii="Times New Roman" w:eastAsia="Times New Roman" w:hAnsi="Times New Roman" w:cs="Times New Roman"/>
          <w:sz w:val="24"/>
          <w:szCs w:val="24"/>
          <w:lang w:val="en-GB" w:eastAsia="zh-CN"/>
        </w:rPr>
        <w:t xml:space="preserve"> c</w:t>
      </w:r>
      <w:r w:rsidR="008B19B2" w:rsidRPr="0089434E">
        <w:rPr>
          <w:rFonts w:ascii="Times New Roman" w:eastAsia="Times New Roman" w:hAnsi="Times New Roman" w:cs="Times New Roman"/>
          <w:sz w:val="24"/>
          <w:szCs w:val="24"/>
          <w:lang w:val="en-GB" w:eastAsia="zh-CN"/>
        </w:rPr>
        <w:t xml:space="preserve">alls </w:t>
      </w:r>
      <w:r w:rsidR="001E336B" w:rsidRPr="0089434E">
        <w:rPr>
          <w:rFonts w:ascii="Times New Roman" w:eastAsia="Times New Roman" w:hAnsi="Times New Roman" w:cs="Times New Roman"/>
          <w:sz w:val="24"/>
          <w:szCs w:val="24"/>
          <w:lang w:val="en-GB" w:eastAsia="zh-CN"/>
        </w:rPr>
        <w:t xml:space="preserve">were sent </w:t>
      </w:r>
      <w:r w:rsidR="008B19B2" w:rsidRPr="0089434E">
        <w:rPr>
          <w:rFonts w:ascii="Times New Roman" w:eastAsia="Times New Roman" w:hAnsi="Times New Roman" w:cs="Times New Roman"/>
          <w:sz w:val="24"/>
          <w:szCs w:val="24"/>
          <w:lang w:val="en-GB" w:eastAsia="zh-CN"/>
        </w:rPr>
        <w:t xml:space="preserve">for </w:t>
      </w:r>
      <w:r w:rsidR="001E336B" w:rsidRPr="0089434E">
        <w:rPr>
          <w:rFonts w:ascii="Times New Roman" w:eastAsia="Times New Roman" w:hAnsi="Times New Roman" w:cs="Times New Roman"/>
          <w:sz w:val="24"/>
          <w:szCs w:val="24"/>
          <w:lang w:val="en-GB" w:eastAsia="zh-CN"/>
        </w:rPr>
        <w:t>States to nominate and intergovernmental organizations to recommend experts for appointment to the Pool of Experts</w:t>
      </w:r>
      <w:r w:rsidR="00B47884" w:rsidRPr="0089434E">
        <w:rPr>
          <w:rFonts w:ascii="Times New Roman" w:eastAsia="Times New Roman" w:hAnsi="Times New Roman" w:cs="Times New Roman"/>
          <w:sz w:val="24"/>
          <w:szCs w:val="24"/>
          <w:lang w:val="en-GB" w:eastAsia="zh-CN"/>
        </w:rPr>
        <w:t>.</w:t>
      </w:r>
    </w:p>
    <w:p w14:paraId="25C7447E" w14:textId="3B6A7554" w:rsidR="00081F1A" w:rsidRPr="00F22461"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w:t>
      </w:r>
      <w:r w:rsidR="001E336B">
        <w:rPr>
          <w:rFonts w:ascii="Times New Roman" w:hAnsi="Times New Roman" w:cs="Times New Roman"/>
          <w:sz w:val="24"/>
          <w:szCs w:val="24"/>
          <w:lang w:val="en-GB"/>
        </w:rPr>
        <w:t>o ensur</w:t>
      </w:r>
      <w:r>
        <w:rPr>
          <w:rFonts w:ascii="Times New Roman" w:hAnsi="Times New Roman" w:cs="Times New Roman"/>
          <w:sz w:val="24"/>
          <w:szCs w:val="24"/>
          <w:lang w:val="en-GB"/>
        </w:rPr>
        <w:t>ing</w:t>
      </w:r>
      <w:r w:rsidR="001E336B">
        <w:rPr>
          <w:rFonts w:ascii="Times New Roman" w:hAnsi="Times New Roman" w:cs="Times New Roman"/>
          <w:sz w:val="24"/>
          <w:szCs w:val="24"/>
          <w:lang w:val="en-GB"/>
        </w:rPr>
        <w:t xml:space="preserve"> adequate expertise in the Pool of Experts</w:t>
      </w:r>
      <w:r w:rsidR="00035148" w:rsidRPr="00F22461">
        <w:rPr>
          <w:rFonts w:ascii="Times New Roman" w:hAnsi="Times New Roman" w:cs="Times New Roman"/>
          <w:sz w:val="24"/>
          <w:szCs w:val="24"/>
          <w:lang w:val="en-GB"/>
        </w:rPr>
        <w:t>?</w:t>
      </w:r>
    </w:p>
    <w:p w14:paraId="5354A2C8" w14:textId="7FA282B1" w:rsidR="005A70B0" w:rsidRPr="005D1AFA"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462DC1" w:rsidRPr="00F22461">
        <w:rPr>
          <w:rFonts w:ascii="Times New Roman" w:hAnsi="Times New Roman" w:cs="Times New Roman"/>
          <w:sz w:val="24"/>
          <w:szCs w:val="24"/>
          <w:lang w:val="en-GB"/>
        </w:rPr>
        <w:t xml:space="preserve"> to ensur</w:t>
      </w:r>
      <w:r>
        <w:rPr>
          <w:rFonts w:ascii="Times New Roman" w:hAnsi="Times New Roman" w:cs="Times New Roman"/>
          <w:sz w:val="24"/>
          <w:szCs w:val="24"/>
          <w:lang w:val="en-GB"/>
        </w:rPr>
        <w:t>ing</w:t>
      </w:r>
      <w:r w:rsidR="00462DC1" w:rsidRPr="00F22461">
        <w:rPr>
          <w:rFonts w:ascii="Times New Roman" w:hAnsi="Times New Roman" w:cs="Times New Roman"/>
          <w:sz w:val="24"/>
          <w:szCs w:val="24"/>
          <w:lang w:val="en-GB"/>
        </w:rPr>
        <w:t xml:space="preserve"> that </w:t>
      </w:r>
      <w:r w:rsidR="001E336B">
        <w:rPr>
          <w:rFonts w:ascii="Times New Roman" w:hAnsi="Times New Roman" w:cs="Times New Roman"/>
          <w:sz w:val="24"/>
          <w:szCs w:val="24"/>
          <w:lang w:val="en-GB"/>
        </w:rPr>
        <w:t xml:space="preserve">any </w:t>
      </w:r>
      <w:r w:rsidR="00462DC1" w:rsidRPr="00F22461">
        <w:rPr>
          <w:rFonts w:ascii="Times New Roman" w:hAnsi="Times New Roman" w:cs="Times New Roman"/>
          <w:sz w:val="24"/>
          <w:szCs w:val="24"/>
          <w:lang w:val="en-GB"/>
        </w:rPr>
        <w:t>gaps in expertise</w:t>
      </w:r>
      <w:r w:rsidR="001E336B" w:rsidRPr="00F22461">
        <w:rPr>
          <w:rFonts w:ascii="Times New Roman" w:hAnsi="Times New Roman" w:cs="Times New Roman"/>
          <w:sz w:val="24"/>
          <w:szCs w:val="24"/>
          <w:lang w:val="en-GB"/>
        </w:rPr>
        <w:t xml:space="preserve"> </w:t>
      </w:r>
      <w:r w:rsidR="00BE0FBB">
        <w:rPr>
          <w:rFonts w:ascii="Times New Roman" w:hAnsi="Times New Roman" w:cs="Times New Roman"/>
          <w:sz w:val="24"/>
          <w:szCs w:val="24"/>
          <w:lang w:val="en-GB"/>
        </w:rPr>
        <w:t>are</w:t>
      </w:r>
      <w:r w:rsidR="005419AF">
        <w:rPr>
          <w:rFonts w:ascii="Times New Roman" w:hAnsi="Times New Roman" w:cs="Times New Roman"/>
          <w:sz w:val="24"/>
          <w:szCs w:val="24"/>
          <w:lang w:val="en-GB"/>
        </w:rPr>
        <w:t xml:space="preserve"> </w:t>
      </w:r>
      <w:r w:rsidR="00462DC1" w:rsidRPr="00F22461">
        <w:rPr>
          <w:rFonts w:ascii="Times New Roman" w:hAnsi="Times New Roman" w:cs="Times New Roman"/>
          <w:sz w:val="24"/>
          <w:szCs w:val="24"/>
          <w:lang w:val="en-GB"/>
        </w:rPr>
        <w:t xml:space="preserve">filled at an early stage of the </w:t>
      </w:r>
      <w:r w:rsidR="005419AF">
        <w:rPr>
          <w:rFonts w:ascii="Times New Roman" w:hAnsi="Times New Roman" w:cs="Times New Roman"/>
          <w:sz w:val="24"/>
          <w:szCs w:val="24"/>
          <w:lang w:val="en-GB"/>
        </w:rPr>
        <w:t>second</w:t>
      </w:r>
      <w:r w:rsidR="005419AF" w:rsidRPr="00F22461">
        <w:rPr>
          <w:rFonts w:ascii="Times New Roman" w:hAnsi="Times New Roman" w:cs="Times New Roman"/>
          <w:sz w:val="24"/>
          <w:szCs w:val="24"/>
          <w:lang w:val="en-GB"/>
        </w:rPr>
        <w:t xml:space="preserve"> </w:t>
      </w:r>
      <w:r w:rsidR="00462DC1" w:rsidRPr="00F22461">
        <w:rPr>
          <w:rFonts w:ascii="Times New Roman" w:hAnsi="Times New Roman" w:cs="Times New Roman"/>
          <w:sz w:val="24"/>
          <w:szCs w:val="24"/>
          <w:lang w:val="en-GB"/>
        </w:rPr>
        <w:t>cycle?</w:t>
      </w:r>
    </w:p>
    <w:p w14:paraId="2F957B40" w14:textId="69511020" w:rsidR="005B2A4D" w:rsidRPr="0089434E" w:rsidRDefault="005419AF"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As of 4 May 2020, there are 790 experts in the Pool of Experts</w:t>
      </w:r>
      <w:r w:rsidR="00CB718B" w:rsidRPr="0089434E">
        <w:rPr>
          <w:rFonts w:ascii="Times New Roman" w:eastAsia="Times New Roman" w:hAnsi="Times New Roman" w:cs="Times New Roman"/>
          <w:sz w:val="24"/>
          <w:szCs w:val="24"/>
          <w:lang w:val="en-GB" w:eastAsia="zh-CN"/>
        </w:rPr>
        <w:t>: 87 experts from the African Group, 128 from the Asia-Pacific Group, 19 from the Eastern European Group, 133 from the Latin American and Caribbean Group, and 423 from the Western European and Others Group.</w:t>
      </w:r>
      <w:r w:rsidR="00795A76" w:rsidRPr="0089434E">
        <w:rPr>
          <w:rFonts w:ascii="Times New Roman" w:eastAsia="Times New Roman" w:hAnsi="Times New Roman" w:cs="Times New Roman"/>
          <w:sz w:val="24"/>
          <w:szCs w:val="24"/>
          <w:lang w:val="en-GB" w:eastAsia="zh-CN"/>
        </w:rPr>
        <w:t xml:space="preserve"> </w:t>
      </w:r>
      <w:r w:rsidR="00461245" w:rsidRPr="0089434E">
        <w:rPr>
          <w:rFonts w:ascii="Times New Roman" w:eastAsia="Times New Roman" w:hAnsi="Times New Roman" w:cs="Times New Roman"/>
          <w:sz w:val="24"/>
          <w:szCs w:val="24"/>
          <w:lang w:val="en-GB" w:eastAsia="zh-CN"/>
        </w:rPr>
        <w:t>Of all experts, 553 are men and 237 women</w:t>
      </w:r>
      <w:r w:rsidR="005D1AFA">
        <w:rPr>
          <w:rFonts w:ascii="Times New Roman" w:eastAsia="Times New Roman" w:hAnsi="Times New Roman" w:cs="Times New Roman"/>
          <w:sz w:val="24"/>
          <w:szCs w:val="24"/>
          <w:lang w:val="en-GB" w:eastAsia="zh-CN"/>
        </w:rPr>
        <w:t>.</w:t>
      </w:r>
    </w:p>
    <w:p w14:paraId="1BDBE4B7" w14:textId="77593E40" w:rsidR="005A70B0"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2D614A">
        <w:rPr>
          <w:rFonts w:ascii="Times New Roman" w:hAnsi="Times New Roman" w:cs="Times New Roman"/>
          <w:sz w:val="24"/>
          <w:szCs w:val="24"/>
          <w:lang w:val="en-GB"/>
        </w:rPr>
        <w:t xml:space="preserve"> to improv</w:t>
      </w:r>
      <w:r>
        <w:rPr>
          <w:rFonts w:ascii="Times New Roman" w:hAnsi="Times New Roman" w:cs="Times New Roman"/>
          <w:sz w:val="24"/>
          <w:szCs w:val="24"/>
          <w:lang w:val="en-GB"/>
        </w:rPr>
        <w:t>ing</w:t>
      </w:r>
      <w:r w:rsidR="002D614A">
        <w:rPr>
          <w:rFonts w:ascii="Times New Roman" w:hAnsi="Times New Roman" w:cs="Times New Roman"/>
          <w:sz w:val="24"/>
          <w:szCs w:val="24"/>
          <w:lang w:val="en-GB"/>
        </w:rPr>
        <w:t xml:space="preserve"> the geographical distribution in the Pool of Experts</w:t>
      </w:r>
      <w:r w:rsidR="005A57AD" w:rsidRPr="00F22461">
        <w:rPr>
          <w:rFonts w:ascii="Times New Roman" w:hAnsi="Times New Roman" w:cs="Times New Roman"/>
          <w:sz w:val="24"/>
          <w:szCs w:val="24"/>
          <w:lang w:val="en-GB"/>
        </w:rPr>
        <w:t>?</w:t>
      </w:r>
    </w:p>
    <w:p w14:paraId="38F0749A" w14:textId="26B45B8B" w:rsidR="005A70B0" w:rsidRPr="005D1AFA"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2D614A">
        <w:rPr>
          <w:rFonts w:ascii="Times New Roman" w:hAnsi="Times New Roman" w:cs="Times New Roman"/>
          <w:sz w:val="24"/>
          <w:szCs w:val="24"/>
          <w:lang w:val="en-GB"/>
        </w:rPr>
        <w:t xml:space="preserve"> to achiev</w:t>
      </w:r>
      <w:r>
        <w:rPr>
          <w:rFonts w:ascii="Times New Roman" w:hAnsi="Times New Roman" w:cs="Times New Roman"/>
          <w:sz w:val="24"/>
          <w:szCs w:val="24"/>
          <w:lang w:val="en-GB"/>
        </w:rPr>
        <w:t>ing</w:t>
      </w:r>
      <w:r w:rsidR="002D614A">
        <w:rPr>
          <w:rFonts w:ascii="Times New Roman" w:hAnsi="Times New Roman" w:cs="Times New Roman"/>
          <w:sz w:val="24"/>
          <w:szCs w:val="24"/>
          <w:lang w:val="en-GB"/>
        </w:rPr>
        <w:t xml:space="preserve"> gender balance in the Pool of Experts?</w:t>
      </w:r>
    </w:p>
    <w:p w14:paraId="213A6ED5" w14:textId="47BD15F8" w:rsidR="006C7C3C" w:rsidRPr="0089434E" w:rsidRDefault="006C7C3C"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the second cycle, </w:t>
      </w:r>
      <w:r w:rsidR="002D614A" w:rsidRPr="0089434E">
        <w:rPr>
          <w:rFonts w:ascii="Times New Roman" w:eastAsia="Times New Roman" w:hAnsi="Times New Roman" w:cs="Times New Roman"/>
          <w:sz w:val="24"/>
          <w:szCs w:val="24"/>
          <w:lang w:val="en-GB" w:eastAsia="zh-CN"/>
        </w:rPr>
        <w:t xml:space="preserve">appointment </w:t>
      </w:r>
      <w:r w:rsidR="007A2BB6" w:rsidRPr="0089434E">
        <w:rPr>
          <w:rFonts w:ascii="Times New Roman" w:eastAsia="Times New Roman" w:hAnsi="Times New Roman" w:cs="Times New Roman"/>
          <w:sz w:val="24"/>
          <w:szCs w:val="24"/>
          <w:lang w:val="en-GB" w:eastAsia="zh-CN"/>
        </w:rPr>
        <w:t xml:space="preserve">of experts </w:t>
      </w:r>
      <w:r w:rsidR="002D614A" w:rsidRPr="0089434E">
        <w:rPr>
          <w:rFonts w:ascii="Times New Roman" w:eastAsia="Times New Roman" w:hAnsi="Times New Roman" w:cs="Times New Roman"/>
          <w:sz w:val="24"/>
          <w:szCs w:val="24"/>
          <w:lang w:val="en-GB" w:eastAsia="zh-CN"/>
        </w:rPr>
        <w:t>to the Pool of Experts</w:t>
      </w:r>
      <w:r w:rsidR="007A2BB6" w:rsidRPr="0089434E">
        <w:rPr>
          <w:rFonts w:ascii="Times New Roman" w:eastAsia="Times New Roman" w:hAnsi="Times New Roman" w:cs="Times New Roman"/>
          <w:sz w:val="24"/>
          <w:szCs w:val="24"/>
          <w:lang w:val="en-GB" w:eastAsia="zh-CN"/>
        </w:rPr>
        <w:t xml:space="preserve"> were based on nomination by States or recommendation by intergovernmental organizations</w:t>
      </w:r>
      <w:r w:rsidR="005D1AFA">
        <w:rPr>
          <w:rFonts w:ascii="Times New Roman" w:eastAsia="Times New Roman" w:hAnsi="Times New Roman" w:cs="Times New Roman"/>
          <w:sz w:val="24"/>
          <w:szCs w:val="24"/>
          <w:lang w:val="en-GB" w:eastAsia="zh-CN"/>
        </w:rPr>
        <w:t xml:space="preserve"> and</w:t>
      </w:r>
      <w:r w:rsidR="007A2BB6" w:rsidRPr="0089434E">
        <w:rPr>
          <w:rFonts w:ascii="Times New Roman" w:eastAsia="Times New Roman" w:hAnsi="Times New Roman" w:cs="Times New Roman"/>
          <w:sz w:val="24"/>
          <w:szCs w:val="24"/>
          <w:lang w:val="en-GB" w:eastAsia="zh-CN"/>
        </w:rPr>
        <w:t xml:space="preserve"> </w:t>
      </w:r>
      <w:r w:rsidR="00AF688F" w:rsidRPr="0089434E">
        <w:rPr>
          <w:rFonts w:ascii="Times New Roman" w:eastAsia="Times New Roman" w:hAnsi="Times New Roman" w:cs="Times New Roman"/>
          <w:sz w:val="24"/>
          <w:szCs w:val="24"/>
          <w:lang w:val="en-GB" w:eastAsia="zh-CN"/>
        </w:rPr>
        <w:t xml:space="preserve">in accordance with the </w:t>
      </w:r>
      <w:r w:rsidR="00AF688F" w:rsidRPr="0089434E">
        <w:rPr>
          <w:rFonts w:ascii="Times New Roman" w:eastAsia="Times New Roman" w:hAnsi="Times New Roman" w:cs="Times New Roman"/>
          <w:sz w:val="24"/>
          <w:szCs w:val="24"/>
          <w:lang w:val="en-GB" w:eastAsia="zh-CN"/>
        </w:rPr>
        <w:lastRenderedPageBreak/>
        <w:t>approved mechanism</w:t>
      </w:r>
      <w:r w:rsidR="007A2BB6" w:rsidRPr="0089434E">
        <w:rPr>
          <w:rFonts w:ascii="Times New Roman" w:eastAsia="Times New Roman" w:hAnsi="Times New Roman" w:cs="Times New Roman"/>
          <w:sz w:val="24"/>
          <w:szCs w:val="24"/>
          <w:lang w:val="en-GB" w:eastAsia="zh-CN"/>
        </w:rPr>
        <w:t>.</w:t>
      </w:r>
      <w:r w:rsidR="00AF688F" w:rsidRPr="0089434E">
        <w:rPr>
          <w:rFonts w:ascii="Times New Roman" w:eastAsia="Times New Roman" w:hAnsi="Times New Roman" w:cs="Times New Roman"/>
          <w:sz w:val="24"/>
          <w:szCs w:val="24"/>
          <w:lang w:val="en-GB" w:eastAsia="zh-CN"/>
        </w:rPr>
        <w:t xml:space="preserve"> </w:t>
      </w:r>
      <w:r w:rsidR="00A809EB" w:rsidRPr="0089434E">
        <w:rPr>
          <w:rFonts w:ascii="Times New Roman" w:eastAsia="Times New Roman" w:hAnsi="Times New Roman" w:cs="Times New Roman"/>
          <w:sz w:val="24"/>
          <w:szCs w:val="24"/>
          <w:lang w:val="en-GB" w:eastAsia="zh-CN"/>
        </w:rPr>
        <w:t xml:space="preserve">In </w:t>
      </w:r>
      <w:r w:rsidRPr="0089434E">
        <w:rPr>
          <w:rFonts w:ascii="Times New Roman" w:eastAsia="Times New Roman" w:hAnsi="Times New Roman" w:cs="Times New Roman"/>
          <w:sz w:val="24"/>
          <w:szCs w:val="24"/>
          <w:lang w:val="en-GB" w:eastAsia="zh-CN"/>
        </w:rPr>
        <w:t xml:space="preserve">cases where the secretariat received </w:t>
      </w:r>
      <w:r w:rsidR="002F3DF4"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self-nominations</w:t>
      </w:r>
      <w:r w:rsidR="002F3DF4"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 xml:space="preserve"> from experts interested in being part of the Pool of Experts for the second cycle, </w:t>
      </w:r>
      <w:r w:rsidR="00A809EB" w:rsidRPr="0089434E">
        <w:rPr>
          <w:rFonts w:ascii="Times New Roman" w:eastAsia="Times New Roman" w:hAnsi="Times New Roman" w:cs="Times New Roman"/>
          <w:sz w:val="24"/>
          <w:szCs w:val="24"/>
          <w:lang w:val="en-GB" w:eastAsia="zh-CN"/>
        </w:rPr>
        <w:t>or</w:t>
      </w:r>
      <w:r w:rsidRPr="0089434E">
        <w:rPr>
          <w:rFonts w:ascii="Times New Roman" w:eastAsia="Times New Roman" w:hAnsi="Times New Roman" w:cs="Times New Roman"/>
          <w:sz w:val="24"/>
          <w:szCs w:val="24"/>
          <w:lang w:val="en-GB" w:eastAsia="zh-CN"/>
        </w:rPr>
        <w:t xml:space="preserve"> where the Group of Experts requested the assistance of the secretariat to </w:t>
      </w:r>
      <w:r w:rsidR="00A809EB" w:rsidRPr="0089434E">
        <w:rPr>
          <w:rFonts w:ascii="Times New Roman" w:eastAsia="Times New Roman" w:hAnsi="Times New Roman" w:cs="Times New Roman"/>
          <w:sz w:val="24"/>
          <w:szCs w:val="24"/>
          <w:lang w:val="en-GB" w:eastAsia="zh-CN"/>
        </w:rPr>
        <w:t xml:space="preserve">identify </w:t>
      </w:r>
      <w:r w:rsidRPr="0089434E">
        <w:rPr>
          <w:rFonts w:ascii="Times New Roman" w:eastAsia="Times New Roman" w:hAnsi="Times New Roman" w:cs="Times New Roman"/>
          <w:sz w:val="24"/>
          <w:szCs w:val="24"/>
          <w:lang w:val="en-GB" w:eastAsia="zh-CN"/>
        </w:rPr>
        <w:t xml:space="preserve">potential experts to </w:t>
      </w:r>
      <w:r w:rsidR="007A2BB6" w:rsidRPr="0089434E">
        <w:rPr>
          <w:rFonts w:ascii="Times New Roman" w:eastAsia="Times New Roman" w:hAnsi="Times New Roman" w:cs="Times New Roman"/>
          <w:sz w:val="24"/>
          <w:szCs w:val="24"/>
          <w:lang w:val="en-GB" w:eastAsia="zh-CN"/>
        </w:rPr>
        <w:t xml:space="preserve">be members of </w:t>
      </w:r>
      <w:r w:rsidRPr="0089434E">
        <w:rPr>
          <w:rFonts w:ascii="Times New Roman" w:eastAsia="Times New Roman" w:hAnsi="Times New Roman" w:cs="Times New Roman"/>
          <w:sz w:val="24"/>
          <w:szCs w:val="24"/>
          <w:lang w:val="en-GB" w:eastAsia="zh-CN"/>
        </w:rPr>
        <w:t>writing team</w:t>
      </w:r>
      <w:r w:rsidR="007A2BB6" w:rsidRPr="0089434E">
        <w:rPr>
          <w:rFonts w:ascii="Times New Roman" w:eastAsia="Times New Roman" w:hAnsi="Times New Roman" w:cs="Times New Roman"/>
          <w:sz w:val="24"/>
          <w:szCs w:val="24"/>
          <w:lang w:val="en-GB" w:eastAsia="zh-CN"/>
        </w:rPr>
        <w:t>s</w:t>
      </w:r>
      <w:r w:rsidRPr="0089434E">
        <w:rPr>
          <w:rFonts w:ascii="Times New Roman" w:eastAsia="Times New Roman" w:hAnsi="Times New Roman" w:cs="Times New Roman"/>
          <w:sz w:val="24"/>
          <w:szCs w:val="24"/>
          <w:lang w:val="en-GB" w:eastAsia="zh-CN"/>
        </w:rPr>
        <w:t xml:space="preserve">, the </w:t>
      </w:r>
      <w:r w:rsidR="00A809EB" w:rsidRPr="0089434E">
        <w:rPr>
          <w:rFonts w:ascii="Times New Roman" w:eastAsia="Times New Roman" w:hAnsi="Times New Roman" w:cs="Times New Roman"/>
          <w:sz w:val="24"/>
          <w:szCs w:val="24"/>
          <w:lang w:val="en-GB" w:eastAsia="zh-CN"/>
        </w:rPr>
        <w:t xml:space="preserve">information </w:t>
      </w:r>
      <w:r w:rsidRPr="0089434E">
        <w:rPr>
          <w:rFonts w:ascii="Times New Roman" w:eastAsia="Times New Roman" w:hAnsi="Times New Roman" w:cs="Times New Roman"/>
          <w:sz w:val="24"/>
          <w:szCs w:val="24"/>
          <w:lang w:val="en-GB" w:eastAsia="zh-CN"/>
        </w:rPr>
        <w:t xml:space="preserve">of </w:t>
      </w:r>
      <w:r w:rsidR="007A129A" w:rsidRPr="0089434E">
        <w:rPr>
          <w:rFonts w:ascii="Times New Roman" w:eastAsia="Times New Roman" w:hAnsi="Times New Roman" w:cs="Times New Roman"/>
          <w:sz w:val="24"/>
          <w:szCs w:val="24"/>
          <w:lang w:val="en-GB" w:eastAsia="zh-CN"/>
        </w:rPr>
        <w:t xml:space="preserve">such </w:t>
      </w:r>
      <w:r w:rsidRPr="0089434E">
        <w:rPr>
          <w:rFonts w:ascii="Times New Roman" w:eastAsia="Times New Roman" w:hAnsi="Times New Roman" w:cs="Times New Roman"/>
          <w:sz w:val="24"/>
          <w:szCs w:val="24"/>
          <w:lang w:val="en-GB" w:eastAsia="zh-CN"/>
        </w:rPr>
        <w:t>experts were shared with the State</w:t>
      </w:r>
      <w:r w:rsidR="007A2BB6" w:rsidRPr="0089434E">
        <w:rPr>
          <w:rFonts w:ascii="Times New Roman" w:eastAsia="Times New Roman" w:hAnsi="Times New Roman" w:cs="Times New Roman"/>
          <w:sz w:val="24"/>
          <w:szCs w:val="24"/>
          <w:lang w:val="en-GB" w:eastAsia="zh-CN"/>
        </w:rPr>
        <w:t>s</w:t>
      </w:r>
      <w:r w:rsidRPr="0089434E">
        <w:rPr>
          <w:rFonts w:ascii="Times New Roman" w:eastAsia="Times New Roman" w:hAnsi="Times New Roman" w:cs="Times New Roman"/>
          <w:sz w:val="24"/>
          <w:szCs w:val="24"/>
          <w:lang w:val="en-GB" w:eastAsia="zh-CN"/>
        </w:rPr>
        <w:t xml:space="preserve"> of nationalit</w:t>
      </w:r>
      <w:r w:rsidR="007A2BB6" w:rsidRPr="0089434E">
        <w:rPr>
          <w:rFonts w:ascii="Times New Roman" w:eastAsia="Times New Roman" w:hAnsi="Times New Roman" w:cs="Times New Roman"/>
          <w:sz w:val="24"/>
          <w:szCs w:val="24"/>
          <w:lang w:val="en-GB" w:eastAsia="zh-CN"/>
        </w:rPr>
        <w:t>ies</w:t>
      </w:r>
      <w:r w:rsidRPr="0089434E">
        <w:rPr>
          <w:rFonts w:ascii="Times New Roman" w:eastAsia="Times New Roman" w:hAnsi="Times New Roman" w:cs="Times New Roman"/>
          <w:sz w:val="24"/>
          <w:szCs w:val="24"/>
          <w:lang w:val="en-GB" w:eastAsia="zh-CN"/>
        </w:rPr>
        <w:t xml:space="preserve"> </w:t>
      </w:r>
      <w:r w:rsidR="007A129A" w:rsidRPr="0089434E">
        <w:rPr>
          <w:rFonts w:ascii="Times New Roman" w:eastAsia="Times New Roman" w:hAnsi="Times New Roman" w:cs="Times New Roman"/>
          <w:sz w:val="24"/>
          <w:szCs w:val="24"/>
          <w:lang w:val="en-GB" w:eastAsia="zh-CN"/>
        </w:rPr>
        <w:t xml:space="preserve">for </w:t>
      </w:r>
      <w:r w:rsidR="00A809EB" w:rsidRPr="0089434E">
        <w:rPr>
          <w:rFonts w:ascii="Times New Roman" w:eastAsia="Times New Roman" w:hAnsi="Times New Roman" w:cs="Times New Roman"/>
          <w:sz w:val="24"/>
          <w:szCs w:val="24"/>
          <w:lang w:val="en-GB" w:eastAsia="zh-CN"/>
        </w:rPr>
        <w:t xml:space="preserve">their </w:t>
      </w:r>
      <w:r w:rsidR="007A129A" w:rsidRPr="0089434E">
        <w:rPr>
          <w:rFonts w:ascii="Times New Roman" w:eastAsia="Times New Roman" w:hAnsi="Times New Roman" w:cs="Times New Roman"/>
          <w:sz w:val="24"/>
          <w:szCs w:val="24"/>
          <w:lang w:val="en-GB" w:eastAsia="zh-CN"/>
        </w:rPr>
        <w:t>consideration</w:t>
      </w:r>
      <w:r w:rsidR="007A2BB6" w:rsidRPr="0089434E">
        <w:rPr>
          <w:rFonts w:ascii="Times New Roman" w:eastAsia="Times New Roman" w:hAnsi="Times New Roman" w:cs="Times New Roman"/>
          <w:sz w:val="24"/>
          <w:szCs w:val="24"/>
          <w:lang w:val="en-GB" w:eastAsia="zh-CN"/>
        </w:rPr>
        <w:t xml:space="preserve"> of nomination</w:t>
      </w:r>
      <w:r w:rsidR="007A129A" w:rsidRPr="0089434E">
        <w:rPr>
          <w:rFonts w:ascii="Times New Roman" w:eastAsia="Times New Roman" w:hAnsi="Times New Roman" w:cs="Times New Roman"/>
          <w:sz w:val="24"/>
          <w:szCs w:val="24"/>
          <w:lang w:val="en-GB" w:eastAsia="zh-CN"/>
        </w:rPr>
        <w:t>.</w:t>
      </w:r>
      <w:r w:rsidR="00A809EB" w:rsidRPr="0089434E">
        <w:rPr>
          <w:rFonts w:ascii="Times New Roman" w:eastAsia="Times New Roman" w:hAnsi="Times New Roman" w:cs="Times New Roman"/>
          <w:sz w:val="24"/>
          <w:szCs w:val="24"/>
          <w:lang w:val="en-GB" w:eastAsia="zh-CN"/>
        </w:rPr>
        <w:t xml:space="preserve"> </w:t>
      </w:r>
    </w:p>
    <w:p w14:paraId="38B67FDA" w14:textId="588D0DD4" w:rsidR="002F3DF4" w:rsidRPr="00F22461" w:rsidRDefault="007A2BB6"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 mechanism for the appointment of experts to the Pool of Experts suitable and adequate</w:t>
      </w:r>
      <w:r w:rsidR="002F3DF4" w:rsidRPr="00F22461">
        <w:rPr>
          <w:rFonts w:ascii="Times New Roman" w:hAnsi="Times New Roman" w:cs="Times New Roman"/>
          <w:sz w:val="24"/>
          <w:szCs w:val="24"/>
          <w:lang w:val="en-GB"/>
        </w:rPr>
        <w:t>?</w:t>
      </w:r>
    </w:p>
    <w:p w14:paraId="18E73D10" w14:textId="612EB4E0" w:rsidR="005A70B0" w:rsidRPr="005D1AFA"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7A2BB6">
        <w:rPr>
          <w:rFonts w:ascii="Times New Roman" w:hAnsi="Times New Roman" w:cs="Times New Roman"/>
          <w:sz w:val="24"/>
          <w:szCs w:val="24"/>
          <w:lang w:val="en-GB"/>
        </w:rPr>
        <w:t xml:space="preserve"> to </w:t>
      </w:r>
      <w:r w:rsidR="00691E0E">
        <w:rPr>
          <w:rFonts w:ascii="Times New Roman" w:hAnsi="Times New Roman" w:cs="Times New Roman"/>
          <w:sz w:val="24"/>
          <w:szCs w:val="24"/>
          <w:lang w:val="en-GB"/>
        </w:rPr>
        <w:t xml:space="preserve">further </w:t>
      </w:r>
      <w:r w:rsidR="007A2BB6">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7A2BB6">
        <w:rPr>
          <w:rFonts w:ascii="Times New Roman" w:hAnsi="Times New Roman" w:cs="Times New Roman"/>
          <w:sz w:val="24"/>
          <w:szCs w:val="24"/>
          <w:lang w:val="en-GB"/>
        </w:rPr>
        <w:t xml:space="preserve"> the mechanism for the appointment of experts to the Pool of Experts</w:t>
      </w:r>
      <w:r w:rsidR="00BA6F3A" w:rsidRPr="00F22461">
        <w:rPr>
          <w:rFonts w:ascii="Times New Roman" w:hAnsi="Times New Roman" w:cs="Times New Roman"/>
          <w:sz w:val="24"/>
          <w:szCs w:val="24"/>
          <w:lang w:val="en-GB"/>
        </w:rPr>
        <w:t>?</w:t>
      </w:r>
    </w:p>
    <w:p w14:paraId="0AC9BE12" w14:textId="615DFA08" w:rsidR="00B95928" w:rsidRPr="0089434E" w:rsidRDefault="00E96CD4"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the second cycle, the nomination of an expert to the Pool of Experts was to be accompanied by a Personal History Form </w:t>
      </w:r>
      <w:r w:rsidR="00EB7655" w:rsidRPr="0089434E">
        <w:rPr>
          <w:rFonts w:ascii="Times New Roman" w:eastAsia="Times New Roman" w:hAnsi="Times New Roman" w:cs="Times New Roman"/>
          <w:sz w:val="24"/>
          <w:szCs w:val="24"/>
          <w:lang w:val="en-GB" w:eastAsia="zh-CN"/>
        </w:rPr>
        <w:t xml:space="preserve">(PHF) </w:t>
      </w:r>
      <w:r w:rsidRPr="0089434E">
        <w:rPr>
          <w:rFonts w:ascii="Times New Roman" w:eastAsia="Times New Roman" w:hAnsi="Times New Roman" w:cs="Times New Roman"/>
          <w:sz w:val="24"/>
          <w:szCs w:val="24"/>
          <w:lang w:val="en-GB" w:eastAsia="zh-CN"/>
        </w:rPr>
        <w:t xml:space="preserve">and the </w:t>
      </w:r>
      <w:r w:rsidR="00E24E42" w:rsidRPr="0089434E">
        <w:rPr>
          <w:rFonts w:ascii="Times New Roman" w:eastAsia="Times New Roman" w:hAnsi="Times New Roman" w:cs="Times New Roman"/>
          <w:sz w:val="24"/>
          <w:szCs w:val="24"/>
          <w:lang w:val="en-GB" w:eastAsia="zh-CN"/>
        </w:rPr>
        <w:t>curriculum vitae (</w:t>
      </w:r>
      <w:r w:rsidRPr="0089434E">
        <w:rPr>
          <w:rFonts w:ascii="Times New Roman" w:eastAsia="Times New Roman" w:hAnsi="Times New Roman" w:cs="Times New Roman"/>
          <w:sz w:val="24"/>
          <w:szCs w:val="24"/>
          <w:lang w:val="en-GB" w:eastAsia="zh-CN"/>
        </w:rPr>
        <w:t>CV</w:t>
      </w:r>
      <w:r w:rsidR="00E24E42"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 xml:space="preserve"> of the expert</w:t>
      </w:r>
      <w:r w:rsidR="00E24E42" w:rsidRPr="0089434E">
        <w:rPr>
          <w:rFonts w:ascii="Times New Roman" w:eastAsia="Times New Roman" w:hAnsi="Times New Roman" w:cs="Times New Roman"/>
          <w:sz w:val="24"/>
          <w:szCs w:val="24"/>
          <w:lang w:val="en-GB" w:eastAsia="zh-CN"/>
        </w:rPr>
        <w:t xml:space="preserve">. In the PHF, </w:t>
      </w:r>
      <w:r w:rsidR="002A164D" w:rsidRPr="0089434E">
        <w:rPr>
          <w:rFonts w:ascii="Times New Roman" w:eastAsia="Times New Roman" w:hAnsi="Times New Roman" w:cs="Times New Roman"/>
          <w:sz w:val="24"/>
          <w:szCs w:val="24"/>
          <w:lang w:val="en-GB" w:eastAsia="zh-CN"/>
        </w:rPr>
        <w:t xml:space="preserve">the </w:t>
      </w:r>
      <w:r w:rsidR="00E24E42" w:rsidRPr="0089434E">
        <w:rPr>
          <w:rFonts w:ascii="Times New Roman" w:eastAsia="Times New Roman" w:hAnsi="Times New Roman" w:cs="Times New Roman"/>
          <w:sz w:val="24"/>
          <w:szCs w:val="24"/>
          <w:lang w:val="en-GB" w:eastAsia="zh-CN"/>
        </w:rPr>
        <w:t>area(s) of expertise</w:t>
      </w:r>
      <w:r w:rsidR="002A164D" w:rsidRPr="0089434E">
        <w:rPr>
          <w:rFonts w:ascii="Times New Roman" w:eastAsia="Times New Roman" w:hAnsi="Times New Roman" w:cs="Times New Roman"/>
          <w:sz w:val="24"/>
          <w:szCs w:val="24"/>
          <w:lang w:val="en-GB" w:eastAsia="zh-CN"/>
        </w:rPr>
        <w:t xml:space="preserve"> of the nominated expert</w:t>
      </w:r>
      <w:r w:rsidR="00E24E42" w:rsidRPr="0089434E">
        <w:rPr>
          <w:rFonts w:ascii="Times New Roman" w:eastAsia="Times New Roman" w:hAnsi="Times New Roman" w:cs="Times New Roman"/>
          <w:sz w:val="24"/>
          <w:szCs w:val="24"/>
          <w:lang w:val="en-GB" w:eastAsia="zh-CN"/>
        </w:rPr>
        <w:t xml:space="preserve"> and the sea area(s) that expertise covers</w:t>
      </w:r>
      <w:r w:rsidR="002A164D" w:rsidRPr="0089434E">
        <w:rPr>
          <w:rFonts w:ascii="Times New Roman" w:eastAsia="Times New Roman" w:hAnsi="Times New Roman" w:cs="Times New Roman"/>
          <w:sz w:val="24"/>
          <w:szCs w:val="24"/>
          <w:lang w:val="en-GB" w:eastAsia="zh-CN"/>
        </w:rPr>
        <w:t xml:space="preserve"> were indicated</w:t>
      </w:r>
      <w:r w:rsidR="00E24E42" w:rsidRPr="0089434E">
        <w:rPr>
          <w:rFonts w:ascii="Times New Roman" w:eastAsia="Times New Roman" w:hAnsi="Times New Roman" w:cs="Times New Roman"/>
          <w:sz w:val="24"/>
          <w:szCs w:val="24"/>
          <w:lang w:val="en-GB" w:eastAsia="zh-CN"/>
        </w:rPr>
        <w:t xml:space="preserve">, with reference to a list of expertise desired in the Pool of Experts (attached to the PHF). </w:t>
      </w:r>
      <w:r w:rsidR="002A164D" w:rsidRPr="0089434E">
        <w:rPr>
          <w:rFonts w:ascii="Times New Roman" w:eastAsia="Times New Roman" w:hAnsi="Times New Roman" w:cs="Times New Roman"/>
          <w:sz w:val="24"/>
          <w:szCs w:val="24"/>
          <w:lang w:val="en-GB" w:eastAsia="zh-CN"/>
        </w:rPr>
        <w:t>The PHF also indicated the categor</w:t>
      </w:r>
      <w:r w:rsidR="005D1AFA">
        <w:rPr>
          <w:rFonts w:ascii="Times New Roman" w:eastAsia="Times New Roman" w:hAnsi="Times New Roman" w:cs="Times New Roman"/>
          <w:sz w:val="24"/>
          <w:szCs w:val="24"/>
          <w:lang w:val="en-GB" w:eastAsia="zh-CN"/>
        </w:rPr>
        <w:t>y</w:t>
      </w:r>
      <w:r w:rsidR="002A164D" w:rsidRPr="0089434E">
        <w:rPr>
          <w:rFonts w:ascii="Times New Roman" w:eastAsia="Times New Roman" w:hAnsi="Times New Roman" w:cs="Times New Roman"/>
          <w:sz w:val="24"/>
          <w:szCs w:val="24"/>
          <w:lang w:val="en-GB" w:eastAsia="zh-CN"/>
        </w:rPr>
        <w:t xml:space="preserve"> for which the expert was nominated: member of the writing team, commentator </w:t>
      </w:r>
      <w:r w:rsidR="005D1AFA">
        <w:rPr>
          <w:rFonts w:ascii="Times New Roman" w:eastAsia="Times New Roman" w:hAnsi="Times New Roman" w:cs="Times New Roman"/>
          <w:sz w:val="24"/>
          <w:szCs w:val="24"/>
          <w:lang w:val="en-GB" w:eastAsia="zh-CN"/>
        </w:rPr>
        <w:t>or</w:t>
      </w:r>
      <w:r w:rsidR="002A164D" w:rsidRPr="0089434E">
        <w:rPr>
          <w:rFonts w:ascii="Times New Roman" w:eastAsia="Times New Roman" w:hAnsi="Times New Roman" w:cs="Times New Roman"/>
          <w:sz w:val="24"/>
          <w:szCs w:val="24"/>
          <w:lang w:val="en-GB" w:eastAsia="zh-CN"/>
        </w:rPr>
        <w:t xml:space="preserve"> peer-reviewer</w:t>
      </w:r>
      <w:r w:rsidRPr="0089434E">
        <w:rPr>
          <w:rFonts w:ascii="Times New Roman" w:eastAsia="Times New Roman" w:hAnsi="Times New Roman" w:cs="Times New Roman"/>
          <w:sz w:val="24"/>
          <w:szCs w:val="24"/>
          <w:lang w:val="en-GB" w:eastAsia="zh-CN"/>
        </w:rPr>
        <w:t>.</w:t>
      </w:r>
      <w:r w:rsidR="00B95928" w:rsidRPr="0089434E">
        <w:rPr>
          <w:rFonts w:ascii="Times New Roman" w:eastAsia="Times New Roman" w:hAnsi="Times New Roman" w:cs="Times New Roman"/>
          <w:sz w:val="24"/>
          <w:szCs w:val="24"/>
          <w:lang w:val="en-GB" w:eastAsia="zh-CN"/>
        </w:rPr>
        <w:t xml:space="preserve"> </w:t>
      </w:r>
    </w:p>
    <w:p w14:paraId="6852E659" w14:textId="1B8591E5" w:rsidR="005B6B4A" w:rsidRDefault="002A164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 materials required for the nomination of an expert to the Pool of Experts suitable and adequate?</w:t>
      </w:r>
    </w:p>
    <w:p w14:paraId="1C959090" w14:textId="7717D7F9" w:rsidR="005A70B0" w:rsidRPr="005D1AFA" w:rsidRDefault="008C19C9" w:rsidP="005D1AFA">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A809EB">
        <w:rPr>
          <w:rFonts w:ascii="Times New Roman" w:hAnsi="Times New Roman" w:cs="Times New Roman"/>
          <w:sz w:val="24"/>
          <w:szCs w:val="24"/>
          <w:lang w:val="en-GB"/>
        </w:rPr>
        <w:t xml:space="preserve"> to mak</w:t>
      </w:r>
      <w:r>
        <w:rPr>
          <w:rFonts w:ascii="Times New Roman" w:hAnsi="Times New Roman" w:cs="Times New Roman"/>
          <w:sz w:val="24"/>
          <w:szCs w:val="24"/>
          <w:lang w:val="en-GB"/>
        </w:rPr>
        <w:t>ing</w:t>
      </w:r>
      <w:r w:rsidR="00A809EB">
        <w:rPr>
          <w:rFonts w:ascii="Times New Roman" w:hAnsi="Times New Roman" w:cs="Times New Roman"/>
          <w:sz w:val="24"/>
          <w:szCs w:val="24"/>
          <w:lang w:val="en-GB"/>
        </w:rPr>
        <w:t xml:space="preserve"> the </w:t>
      </w:r>
      <w:r w:rsidR="002D49D4">
        <w:rPr>
          <w:rFonts w:ascii="Times New Roman" w:hAnsi="Times New Roman" w:cs="Times New Roman"/>
          <w:sz w:val="24"/>
          <w:szCs w:val="24"/>
          <w:lang w:val="en-GB"/>
        </w:rPr>
        <w:t>PHF</w:t>
      </w:r>
      <w:r w:rsidR="00A809EB">
        <w:rPr>
          <w:rFonts w:ascii="Times New Roman" w:hAnsi="Times New Roman" w:cs="Times New Roman"/>
          <w:sz w:val="24"/>
          <w:szCs w:val="24"/>
          <w:lang w:val="en-GB"/>
        </w:rPr>
        <w:t xml:space="preserve"> more useful?</w:t>
      </w:r>
    </w:p>
    <w:p w14:paraId="6C20FD88" w14:textId="452B66E6" w:rsidR="001A6450" w:rsidRPr="0089434E" w:rsidRDefault="001A6450"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A database was developed on the website of the Regular Process to </w:t>
      </w:r>
      <w:r w:rsidR="00A809EB" w:rsidRPr="0089434E">
        <w:rPr>
          <w:rFonts w:ascii="Times New Roman" w:eastAsia="Times New Roman" w:hAnsi="Times New Roman" w:cs="Times New Roman"/>
          <w:sz w:val="24"/>
          <w:szCs w:val="24"/>
          <w:lang w:val="en-GB" w:eastAsia="zh-CN"/>
        </w:rPr>
        <w:t xml:space="preserve">provide </w:t>
      </w:r>
      <w:r w:rsidRPr="0089434E">
        <w:rPr>
          <w:rFonts w:ascii="Times New Roman" w:eastAsia="Times New Roman" w:hAnsi="Times New Roman" w:cs="Times New Roman"/>
          <w:sz w:val="24"/>
          <w:szCs w:val="24"/>
          <w:lang w:val="en-GB" w:eastAsia="zh-CN"/>
        </w:rPr>
        <w:t>detailed information on the expertise of the members of the Pool of Experts. The information in this database was maintained by the members of the Pool of Experts in a searchable format</w:t>
      </w:r>
      <w:r w:rsidR="00A809EB" w:rsidRPr="0089434E">
        <w:rPr>
          <w:rFonts w:ascii="Times New Roman" w:eastAsia="Times New Roman" w:hAnsi="Times New Roman" w:cs="Times New Roman"/>
          <w:sz w:val="24"/>
          <w:szCs w:val="24"/>
          <w:lang w:val="en-GB" w:eastAsia="zh-CN"/>
        </w:rPr>
        <w:t xml:space="preserve"> </w:t>
      </w:r>
      <w:r w:rsidR="00587660" w:rsidRPr="0089434E">
        <w:rPr>
          <w:rFonts w:ascii="Times New Roman" w:eastAsia="Times New Roman" w:hAnsi="Times New Roman" w:cs="Times New Roman"/>
          <w:sz w:val="24"/>
          <w:szCs w:val="24"/>
          <w:lang w:val="en-GB" w:eastAsia="zh-CN"/>
        </w:rPr>
        <w:t xml:space="preserve">to facilitate the work of the Group of Experts, </w:t>
      </w:r>
      <w:r w:rsidRPr="0089434E">
        <w:rPr>
          <w:rFonts w:ascii="Times New Roman" w:eastAsia="Times New Roman" w:hAnsi="Times New Roman" w:cs="Times New Roman"/>
          <w:sz w:val="24"/>
          <w:szCs w:val="24"/>
          <w:lang w:val="en-GB" w:eastAsia="zh-CN"/>
        </w:rPr>
        <w:t xml:space="preserve">but a </w:t>
      </w:r>
      <w:r w:rsidR="008248EF" w:rsidRPr="0089434E">
        <w:rPr>
          <w:rFonts w:ascii="Times New Roman" w:eastAsia="Times New Roman" w:hAnsi="Times New Roman" w:cs="Times New Roman"/>
          <w:sz w:val="24"/>
          <w:szCs w:val="24"/>
          <w:lang w:val="en-GB" w:eastAsia="zh-CN"/>
        </w:rPr>
        <w:t xml:space="preserve">large number of </w:t>
      </w:r>
      <w:r w:rsidRPr="0089434E">
        <w:rPr>
          <w:rFonts w:ascii="Times New Roman" w:eastAsia="Times New Roman" w:hAnsi="Times New Roman" w:cs="Times New Roman"/>
          <w:sz w:val="24"/>
          <w:szCs w:val="24"/>
          <w:lang w:val="en-GB" w:eastAsia="zh-CN"/>
        </w:rPr>
        <w:t xml:space="preserve">experts </w:t>
      </w:r>
      <w:r w:rsidR="008248EF" w:rsidRPr="0089434E">
        <w:rPr>
          <w:rFonts w:ascii="Times New Roman" w:eastAsia="Times New Roman" w:hAnsi="Times New Roman" w:cs="Times New Roman"/>
          <w:sz w:val="24"/>
          <w:szCs w:val="24"/>
          <w:lang w:val="en-GB" w:eastAsia="zh-CN"/>
        </w:rPr>
        <w:t xml:space="preserve">did not </w:t>
      </w:r>
      <w:r w:rsidRPr="0089434E">
        <w:rPr>
          <w:rFonts w:ascii="Times New Roman" w:eastAsia="Times New Roman" w:hAnsi="Times New Roman" w:cs="Times New Roman"/>
          <w:sz w:val="24"/>
          <w:szCs w:val="24"/>
          <w:lang w:val="en-GB" w:eastAsia="zh-CN"/>
        </w:rPr>
        <w:t>provide their information</w:t>
      </w:r>
      <w:r w:rsidR="00026CA0" w:rsidRPr="0089434E">
        <w:rPr>
          <w:rFonts w:ascii="Times New Roman" w:eastAsia="Times New Roman" w:hAnsi="Times New Roman" w:cs="Times New Roman"/>
          <w:sz w:val="24"/>
          <w:szCs w:val="24"/>
          <w:lang w:val="en-GB" w:eastAsia="zh-CN"/>
        </w:rPr>
        <w:t xml:space="preserve"> in the database</w:t>
      </w:r>
      <w:r w:rsidRPr="0089434E">
        <w:rPr>
          <w:rFonts w:ascii="Times New Roman" w:eastAsia="Times New Roman" w:hAnsi="Times New Roman" w:cs="Times New Roman"/>
          <w:sz w:val="24"/>
          <w:szCs w:val="24"/>
          <w:lang w:val="en-GB" w:eastAsia="zh-CN"/>
        </w:rPr>
        <w:t>.</w:t>
      </w:r>
    </w:p>
    <w:p w14:paraId="6D6FFDB2" w14:textId="21A2FD68" w:rsidR="00A809EB" w:rsidRDefault="00A809EB"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this database useful?</w:t>
      </w:r>
    </w:p>
    <w:p w14:paraId="1AFB15BF" w14:textId="50821B3D" w:rsidR="00F5423C"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A809EB">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5D1AFA">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A809EB">
        <w:rPr>
          <w:rFonts w:ascii="Times New Roman" w:hAnsi="Times New Roman" w:cs="Times New Roman"/>
          <w:sz w:val="24"/>
          <w:szCs w:val="24"/>
          <w:lang w:val="en-GB"/>
        </w:rPr>
        <w:t xml:space="preserve"> this database?</w:t>
      </w:r>
    </w:p>
    <w:p w14:paraId="73483158" w14:textId="77777777" w:rsidR="005D1AFA" w:rsidRPr="005D1AFA" w:rsidRDefault="005D1AFA" w:rsidP="005D1AFA">
      <w:pPr>
        <w:pStyle w:val="ListParagraph"/>
        <w:spacing w:after="0" w:line="240" w:lineRule="auto"/>
        <w:jc w:val="both"/>
        <w:rPr>
          <w:rFonts w:ascii="Times New Roman" w:hAnsi="Times New Roman" w:cs="Times New Roman"/>
          <w:sz w:val="24"/>
          <w:szCs w:val="24"/>
          <w:lang w:val="en-GB"/>
        </w:rPr>
      </w:pPr>
    </w:p>
    <w:p w14:paraId="55C482A7" w14:textId="3399FA1A" w:rsidR="00F5423C" w:rsidRPr="005D1AFA" w:rsidRDefault="00081F1A" w:rsidP="005D1AFA">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National Focal Points</w:t>
      </w:r>
      <w:r w:rsidR="00742566" w:rsidRPr="002D0BD4">
        <w:rPr>
          <w:rFonts w:eastAsia="SimSun"/>
          <w:b/>
          <w:bCs/>
          <w:i/>
          <w:iCs/>
          <w:sz w:val="28"/>
          <w:szCs w:val="28"/>
          <w:lang w:val="en-GB" w:eastAsia="en-GB"/>
        </w:rPr>
        <w:t xml:space="preserve"> </w:t>
      </w:r>
    </w:p>
    <w:p w14:paraId="45BA67C4" w14:textId="5A791D6A" w:rsidR="009E21CA" w:rsidRPr="0089434E" w:rsidRDefault="009E21CA"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the second cycle, States were invited to designate, by 31 May 2017, </w:t>
      </w:r>
      <w:r w:rsidR="00F2045E" w:rsidRPr="0089434E">
        <w:rPr>
          <w:rFonts w:ascii="Times New Roman" w:eastAsia="Times New Roman" w:hAnsi="Times New Roman" w:cs="Times New Roman"/>
          <w:sz w:val="24"/>
          <w:szCs w:val="24"/>
          <w:lang w:val="en-GB" w:eastAsia="zh-CN"/>
        </w:rPr>
        <w:t>n</w:t>
      </w:r>
      <w:r w:rsidRPr="0089434E">
        <w:rPr>
          <w:rFonts w:ascii="Times New Roman" w:eastAsia="Times New Roman" w:hAnsi="Times New Roman" w:cs="Times New Roman"/>
          <w:sz w:val="24"/>
          <w:szCs w:val="24"/>
          <w:lang w:val="en-GB" w:eastAsia="zh-CN"/>
        </w:rPr>
        <w:t xml:space="preserve">ational </w:t>
      </w:r>
      <w:r w:rsidR="00F2045E" w:rsidRPr="0089434E">
        <w:rPr>
          <w:rFonts w:ascii="Times New Roman" w:eastAsia="Times New Roman" w:hAnsi="Times New Roman" w:cs="Times New Roman"/>
          <w:sz w:val="24"/>
          <w:szCs w:val="24"/>
          <w:lang w:val="en-GB" w:eastAsia="zh-CN"/>
        </w:rPr>
        <w:t>f</w:t>
      </w:r>
      <w:r w:rsidRPr="0089434E">
        <w:rPr>
          <w:rFonts w:ascii="Times New Roman" w:eastAsia="Times New Roman" w:hAnsi="Times New Roman" w:cs="Times New Roman"/>
          <w:sz w:val="24"/>
          <w:szCs w:val="24"/>
          <w:lang w:val="en-GB" w:eastAsia="zh-CN"/>
        </w:rPr>
        <w:t xml:space="preserve">ocal </w:t>
      </w:r>
      <w:r w:rsidR="00F2045E" w:rsidRPr="0089434E">
        <w:rPr>
          <w:rFonts w:ascii="Times New Roman" w:eastAsia="Times New Roman" w:hAnsi="Times New Roman" w:cs="Times New Roman"/>
          <w:sz w:val="24"/>
          <w:szCs w:val="24"/>
          <w:lang w:val="en-GB" w:eastAsia="zh-CN"/>
        </w:rPr>
        <w:t>p</w:t>
      </w:r>
      <w:r w:rsidRPr="0089434E">
        <w:rPr>
          <w:rFonts w:ascii="Times New Roman" w:eastAsia="Times New Roman" w:hAnsi="Times New Roman" w:cs="Times New Roman"/>
          <w:sz w:val="24"/>
          <w:szCs w:val="24"/>
          <w:lang w:val="en-GB" w:eastAsia="zh-CN"/>
        </w:rPr>
        <w:t>oints</w:t>
      </w:r>
      <w:r w:rsidR="00900DAF" w:rsidRPr="0089434E">
        <w:rPr>
          <w:rFonts w:ascii="Times New Roman" w:eastAsia="Times New Roman" w:hAnsi="Times New Roman" w:cs="Times New Roman"/>
          <w:sz w:val="24"/>
          <w:szCs w:val="24"/>
          <w:lang w:val="en-GB" w:eastAsia="zh-CN"/>
        </w:rPr>
        <w:t xml:space="preserve"> (NFPs)</w:t>
      </w:r>
      <w:r w:rsidRPr="0089434E">
        <w:rPr>
          <w:rFonts w:ascii="Times New Roman" w:eastAsia="Times New Roman" w:hAnsi="Times New Roman" w:cs="Times New Roman"/>
          <w:sz w:val="24"/>
          <w:szCs w:val="24"/>
          <w:lang w:val="en-GB" w:eastAsia="zh-CN"/>
        </w:rPr>
        <w:t xml:space="preserve"> to facilitate the implementation of the programme of work for the period 2017-2020 </w:t>
      </w:r>
      <w:r w:rsidR="001A771D" w:rsidRPr="0089434E">
        <w:rPr>
          <w:rFonts w:ascii="Times New Roman" w:eastAsia="Times New Roman" w:hAnsi="Times New Roman" w:cs="Times New Roman"/>
          <w:sz w:val="24"/>
          <w:szCs w:val="24"/>
          <w:lang w:val="en-GB" w:eastAsia="zh-CN"/>
        </w:rPr>
        <w:t xml:space="preserve">of </w:t>
      </w:r>
      <w:r w:rsidRPr="0089434E">
        <w:rPr>
          <w:rFonts w:ascii="Times New Roman" w:eastAsia="Times New Roman" w:hAnsi="Times New Roman" w:cs="Times New Roman"/>
          <w:sz w:val="24"/>
          <w:szCs w:val="24"/>
          <w:lang w:val="en-GB" w:eastAsia="zh-CN"/>
        </w:rPr>
        <w:t xml:space="preserve">the second cycle, in particular with respect to the nomination process for additional experts to the Pool of Experts, swift communication between the scientific community, the Group of Experts, the Pool of Experts, the Bureau and the secretariat of the Regular Process and awareness-raising. </w:t>
      </w:r>
      <w:r w:rsidR="00F2045E" w:rsidRPr="0089434E">
        <w:rPr>
          <w:rFonts w:ascii="Times New Roman" w:eastAsia="Times New Roman" w:hAnsi="Times New Roman" w:cs="Times New Roman"/>
          <w:sz w:val="24"/>
          <w:szCs w:val="24"/>
          <w:lang w:val="en-GB" w:eastAsia="zh-CN"/>
        </w:rPr>
        <w:t xml:space="preserve">The Terms of Reference for </w:t>
      </w:r>
      <w:r w:rsidR="002D49D4" w:rsidRPr="0089434E">
        <w:rPr>
          <w:rFonts w:ascii="Times New Roman" w:eastAsia="Times New Roman" w:hAnsi="Times New Roman" w:cs="Times New Roman"/>
          <w:sz w:val="24"/>
          <w:szCs w:val="24"/>
          <w:lang w:val="en-GB" w:eastAsia="zh-CN"/>
        </w:rPr>
        <w:t>NFPs</w:t>
      </w:r>
      <w:r w:rsidR="00F2045E" w:rsidRPr="0089434E">
        <w:rPr>
          <w:rFonts w:ascii="Times New Roman" w:eastAsia="Times New Roman" w:hAnsi="Times New Roman" w:cs="Times New Roman"/>
          <w:sz w:val="24"/>
          <w:szCs w:val="24"/>
          <w:lang w:val="en-GB" w:eastAsia="zh-CN"/>
        </w:rPr>
        <w:t xml:space="preserve"> note that States may wish to consider professionals working in any of the main disciplines in the social, economic and environmental sciences, in particular those with experience of the science-policy interface in ocean/marine affairs, and with due regard to the need for gender balance. </w:t>
      </w:r>
      <w:r w:rsidR="001A771D" w:rsidRPr="0089434E">
        <w:rPr>
          <w:rFonts w:ascii="Times New Roman" w:eastAsia="Times New Roman" w:hAnsi="Times New Roman" w:cs="Times New Roman"/>
          <w:sz w:val="24"/>
          <w:szCs w:val="24"/>
          <w:lang w:val="en-GB" w:eastAsia="zh-CN"/>
        </w:rPr>
        <w:t>As of 4 May 2020,</w:t>
      </w:r>
      <w:r w:rsidR="00900DAF" w:rsidRPr="0089434E">
        <w:rPr>
          <w:rFonts w:ascii="Times New Roman" w:eastAsia="Times New Roman" w:hAnsi="Times New Roman" w:cs="Times New Roman"/>
          <w:sz w:val="24"/>
          <w:szCs w:val="24"/>
          <w:lang w:val="en-GB" w:eastAsia="zh-CN"/>
        </w:rPr>
        <w:t xml:space="preserve"> 67 States have designated NFPs.</w:t>
      </w:r>
    </w:p>
    <w:p w14:paraId="279B4998" w14:textId="50536591" w:rsidR="001A771D" w:rsidRDefault="001A771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the designation of </w:t>
      </w:r>
      <w:r w:rsidR="002D49D4">
        <w:rPr>
          <w:rFonts w:ascii="Times New Roman" w:hAnsi="Times New Roman" w:cs="Times New Roman"/>
          <w:sz w:val="24"/>
          <w:szCs w:val="24"/>
          <w:lang w:val="en-GB"/>
        </w:rPr>
        <w:t>NFPs</w:t>
      </w:r>
      <w:r>
        <w:rPr>
          <w:rFonts w:ascii="Times New Roman" w:hAnsi="Times New Roman" w:cs="Times New Roman"/>
          <w:sz w:val="24"/>
          <w:szCs w:val="24"/>
          <w:lang w:val="en-GB"/>
        </w:rPr>
        <w:t xml:space="preserve"> useful?</w:t>
      </w:r>
    </w:p>
    <w:p w14:paraId="0BC694C0" w14:textId="30036C29" w:rsidR="008C53C9" w:rsidRPr="00AF688F" w:rsidRDefault="008C19C9"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720E94" w:rsidRPr="00F22461">
        <w:rPr>
          <w:rFonts w:ascii="Times New Roman" w:hAnsi="Times New Roman" w:cs="Times New Roman"/>
          <w:sz w:val="24"/>
          <w:szCs w:val="24"/>
          <w:lang w:val="en-GB"/>
        </w:rPr>
        <w:t xml:space="preserve"> to </w:t>
      </w:r>
      <w:r w:rsidR="00AC6FCB">
        <w:rPr>
          <w:rFonts w:ascii="Times New Roman" w:hAnsi="Times New Roman" w:cs="Times New Roman"/>
          <w:sz w:val="24"/>
          <w:szCs w:val="24"/>
          <w:lang w:val="en-GB"/>
        </w:rPr>
        <w:t>encourag</w:t>
      </w:r>
      <w:r>
        <w:rPr>
          <w:rFonts w:ascii="Times New Roman" w:hAnsi="Times New Roman" w:cs="Times New Roman"/>
          <w:sz w:val="24"/>
          <w:szCs w:val="24"/>
          <w:lang w:val="en-GB"/>
        </w:rPr>
        <w:t>ing</w:t>
      </w:r>
      <w:r w:rsidR="00AC6FCB">
        <w:rPr>
          <w:rFonts w:ascii="Times New Roman" w:hAnsi="Times New Roman" w:cs="Times New Roman"/>
          <w:sz w:val="24"/>
          <w:szCs w:val="24"/>
          <w:lang w:val="en-GB"/>
        </w:rPr>
        <w:t xml:space="preserve"> further </w:t>
      </w:r>
      <w:r w:rsidR="00720E94" w:rsidRPr="00F22461">
        <w:rPr>
          <w:rFonts w:ascii="Times New Roman" w:hAnsi="Times New Roman" w:cs="Times New Roman"/>
          <w:sz w:val="24"/>
          <w:szCs w:val="24"/>
          <w:lang w:val="en-GB"/>
        </w:rPr>
        <w:t>designations of NFPs?</w:t>
      </w:r>
    </w:p>
    <w:p w14:paraId="56347927" w14:textId="61738B80" w:rsidR="001D48C0" w:rsidRPr="00E4261E" w:rsidRDefault="008C19C9" w:rsidP="00E4261E">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F2045E">
        <w:rPr>
          <w:rFonts w:ascii="Times New Roman" w:hAnsi="Times New Roman" w:cs="Times New Roman"/>
          <w:sz w:val="24"/>
          <w:szCs w:val="24"/>
          <w:lang w:val="en-GB"/>
        </w:rPr>
        <w:t xml:space="preserve"> to promot</w:t>
      </w:r>
      <w:r>
        <w:rPr>
          <w:rFonts w:ascii="Times New Roman" w:hAnsi="Times New Roman" w:cs="Times New Roman"/>
          <w:sz w:val="24"/>
          <w:szCs w:val="24"/>
          <w:lang w:val="en-GB"/>
        </w:rPr>
        <w:t>ing</w:t>
      </w:r>
      <w:r w:rsidR="00F2045E">
        <w:rPr>
          <w:rFonts w:ascii="Times New Roman" w:hAnsi="Times New Roman" w:cs="Times New Roman"/>
          <w:sz w:val="24"/>
          <w:szCs w:val="24"/>
          <w:lang w:val="en-GB"/>
        </w:rPr>
        <w:t xml:space="preserve"> gender balance in the designation of the NFPs?</w:t>
      </w:r>
    </w:p>
    <w:p w14:paraId="30738E66" w14:textId="741063DC" w:rsidR="008C10C7" w:rsidRPr="0089434E" w:rsidRDefault="008C10C7"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lastRenderedPageBreak/>
        <w:t xml:space="preserve">The </w:t>
      </w:r>
      <w:r w:rsidR="00F2045E" w:rsidRPr="0089434E">
        <w:rPr>
          <w:rFonts w:ascii="Times New Roman" w:eastAsia="Times New Roman" w:hAnsi="Times New Roman" w:cs="Times New Roman"/>
          <w:sz w:val="24"/>
          <w:szCs w:val="24"/>
          <w:lang w:val="en-GB" w:eastAsia="zh-CN"/>
        </w:rPr>
        <w:t>T</w:t>
      </w:r>
      <w:r w:rsidRPr="0089434E">
        <w:rPr>
          <w:rFonts w:ascii="Times New Roman" w:eastAsia="Times New Roman" w:hAnsi="Times New Roman" w:cs="Times New Roman"/>
          <w:sz w:val="24"/>
          <w:szCs w:val="24"/>
          <w:lang w:val="en-GB" w:eastAsia="zh-CN"/>
        </w:rPr>
        <w:t xml:space="preserve">erms of </w:t>
      </w:r>
      <w:r w:rsidR="00F2045E" w:rsidRPr="0089434E">
        <w:rPr>
          <w:rFonts w:ascii="Times New Roman" w:eastAsia="Times New Roman" w:hAnsi="Times New Roman" w:cs="Times New Roman"/>
          <w:sz w:val="24"/>
          <w:szCs w:val="24"/>
          <w:lang w:val="en-GB" w:eastAsia="zh-CN"/>
        </w:rPr>
        <w:t>R</w:t>
      </w:r>
      <w:r w:rsidRPr="0089434E">
        <w:rPr>
          <w:rFonts w:ascii="Times New Roman" w:eastAsia="Times New Roman" w:hAnsi="Times New Roman" w:cs="Times New Roman"/>
          <w:sz w:val="24"/>
          <w:szCs w:val="24"/>
          <w:lang w:val="en-GB" w:eastAsia="zh-CN"/>
        </w:rPr>
        <w:t xml:space="preserve">eference for NFPs </w:t>
      </w:r>
      <w:r w:rsidR="006A5B38" w:rsidRPr="0089434E">
        <w:rPr>
          <w:rFonts w:ascii="Times New Roman" w:eastAsia="Times New Roman" w:hAnsi="Times New Roman" w:cs="Times New Roman"/>
          <w:sz w:val="24"/>
          <w:szCs w:val="24"/>
          <w:lang w:val="en-GB" w:eastAsia="zh-CN"/>
        </w:rPr>
        <w:t xml:space="preserve">provides for a series of mandates of the NFPs and the modalities of their work. It provides </w:t>
      </w:r>
      <w:r w:rsidRPr="0089434E">
        <w:rPr>
          <w:rFonts w:ascii="Times New Roman" w:eastAsia="Times New Roman" w:hAnsi="Times New Roman" w:cs="Times New Roman"/>
          <w:sz w:val="24"/>
          <w:szCs w:val="24"/>
          <w:lang w:val="en-GB" w:eastAsia="zh-CN"/>
        </w:rPr>
        <w:t>that the secretariat of the Regular Process will hold regular virtual meetings with NFPs</w:t>
      </w:r>
      <w:r w:rsidR="006A5B38" w:rsidRPr="0089434E">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as needed</w:t>
      </w:r>
      <w:r w:rsidR="006A5B38" w:rsidRPr="0089434E">
        <w:rPr>
          <w:rFonts w:ascii="Times New Roman" w:eastAsia="Times New Roman" w:hAnsi="Times New Roman" w:cs="Times New Roman"/>
          <w:sz w:val="24"/>
          <w:szCs w:val="24"/>
          <w:lang w:val="en-GB" w:eastAsia="zh-CN"/>
        </w:rPr>
        <w:t xml:space="preserve"> and that communications between national focal points, the secretariat and the Group of Experts should be transmitted through a database that they will be able to access electronically through the website of the Regular Process. </w:t>
      </w:r>
      <w:r w:rsidRPr="0089434E">
        <w:rPr>
          <w:rFonts w:ascii="Times New Roman" w:eastAsia="Times New Roman" w:hAnsi="Times New Roman" w:cs="Times New Roman"/>
          <w:sz w:val="24"/>
          <w:szCs w:val="24"/>
          <w:lang w:val="en-GB" w:eastAsia="zh-CN"/>
        </w:rPr>
        <w:t>No such meetings were held during the second cycle</w:t>
      </w:r>
      <w:r w:rsidR="002D49D4" w:rsidRPr="0089434E">
        <w:rPr>
          <w:rFonts w:ascii="Times New Roman" w:eastAsia="Times New Roman" w:hAnsi="Times New Roman" w:cs="Times New Roman"/>
          <w:sz w:val="24"/>
          <w:szCs w:val="24"/>
          <w:lang w:val="en-GB" w:eastAsia="zh-CN"/>
        </w:rPr>
        <w:t>, and no such database had been used</w:t>
      </w:r>
      <w:r w:rsidRPr="0089434E">
        <w:rPr>
          <w:rFonts w:ascii="Times New Roman" w:eastAsia="Times New Roman" w:hAnsi="Times New Roman" w:cs="Times New Roman"/>
          <w:sz w:val="24"/>
          <w:szCs w:val="24"/>
          <w:lang w:val="en-GB" w:eastAsia="zh-CN"/>
        </w:rPr>
        <w:t>.</w:t>
      </w:r>
    </w:p>
    <w:p w14:paraId="0DBD2B6B" w14:textId="7172BC95" w:rsidR="008C10C7" w:rsidRDefault="002D49D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the Terms of Reference for NFPs, including the mandates and modalities of work, suitable for the second cycle? </w:t>
      </w:r>
    </w:p>
    <w:p w14:paraId="0E7953F7" w14:textId="02F614E3" w:rsidR="002D49D4" w:rsidRDefault="002D49D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there any additional functions </w:t>
      </w:r>
      <w:r w:rsidR="00BE0FBB">
        <w:rPr>
          <w:rFonts w:ascii="Times New Roman" w:hAnsi="Times New Roman" w:cs="Times New Roman"/>
          <w:sz w:val="24"/>
          <w:szCs w:val="24"/>
          <w:lang w:val="en-GB"/>
        </w:rPr>
        <w:t xml:space="preserve">that </w:t>
      </w:r>
      <w:r w:rsidR="008C19C9">
        <w:rPr>
          <w:rFonts w:ascii="Times New Roman" w:hAnsi="Times New Roman" w:cs="Times New Roman"/>
          <w:sz w:val="24"/>
          <w:szCs w:val="24"/>
          <w:lang w:val="en-GB"/>
        </w:rPr>
        <w:t xml:space="preserve">could have been assigned to </w:t>
      </w:r>
      <w:r>
        <w:rPr>
          <w:rFonts w:ascii="Times New Roman" w:hAnsi="Times New Roman" w:cs="Times New Roman"/>
          <w:sz w:val="24"/>
          <w:szCs w:val="24"/>
          <w:lang w:val="en-GB"/>
        </w:rPr>
        <w:t xml:space="preserve">the NFPs </w:t>
      </w:r>
      <w:r w:rsidR="008C19C9">
        <w:rPr>
          <w:rFonts w:ascii="Times New Roman" w:hAnsi="Times New Roman" w:cs="Times New Roman"/>
          <w:sz w:val="24"/>
          <w:szCs w:val="24"/>
          <w:lang w:val="en-GB"/>
        </w:rPr>
        <w:t xml:space="preserve">to better </w:t>
      </w:r>
      <w:r w:rsidR="009A18AD">
        <w:rPr>
          <w:rFonts w:ascii="Times New Roman" w:hAnsi="Times New Roman" w:cs="Times New Roman"/>
          <w:sz w:val="24"/>
          <w:szCs w:val="24"/>
          <w:lang w:val="en-GB"/>
        </w:rPr>
        <w:t>facilitate the implementation of the programme of work</w:t>
      </w:r>
      <w:r>
        <w:rPr>
          <w:rFonts w:ascii="Times New Roman" w:hAnsi="Times New Roman" w:cs="Times New Roman"/>
          <w:sz w:val="24"/>
          <w:szCs w:val="24"/>
          <w:lang w:val="en-GB"/>
        </w:rPr>
        <w:t>?</w:t>
      </w:r>
      <w:r w:rsidR="008C19C9" w:rsidRPr="008C19C9">
        <w:rPr>
          <w:rFonts w:ascii="Times New Roman" w:hAnsi="Times New Roman" w:cs="Times New Roman"/>
          <w:sz w:val="24"/>
          <w:szCs w:val="24"/>
          <w:lang w:val="en-GB"/>
        </w:rPr>
        <w:t xml:space="preserve"> </w:t>
      </w:r>
    </w:p>
    <w:p w14:paraId="29B6FF9D" w14:textId="6C3E774E" w:rsidR="002D49D4" w:rsidRDefault="002D49D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there any functions </w:t>
      </w:r>
      <w:r w:rsidR="009A18AD">
        <w:rPr>
          <w:rFonts w:ascii="Times New Roman" w:hAnsi="Times New Roman" w:cs="Times New Roman"/>
          <w:sz w:val="24"/>
          <w:szCs w:val="24"/>
          <w:lang w:val="en-GB"/>
        </w:rPr>
        <w:t xml:space="preserve">of </w:t>
      </w:r>
      <w:r>
        <w:rPr>
          <w:rFonts w:ascii="Times New Roman" w:hAnsi="Times New Roman" w:cs="Times New Roman"/>
          <w:sz w:val="24"/>
          <w:szCs w:val="24"/>
          <w:lang w:val="en-GB"/>
        </w:rPr>
        <w:t>the NFPs</w:t>
      </w:r>
      <w:r w:rsidR="0059239F">
        <w:rPr>
          <w:rFonts w:ascii="Times New Roman" w:hAnsi="Times New Roman" w:cs="Times New Roman"/>
          <w:sz w:val="24"/>
          <w:szCs w:val="24"/>
          <w:lang w:val="en-GB"/>
        </w:rPr>
        <w:t xml:space="preserve"> </w:t>
      </w:r>
      <w:r w:rsidR="00354C91">
        <w:rPr>
          <w:rFonts w:ascii="Times New Roman" w:hAnsi="Times New Roman" w:cs="Times New Roman"/>
          <w:sz w:val="24"/>
          <w:szCs w:val="24"/>
          <w:lang w:val="en-GB"/>
        </w:rPr>
        <w:t xml:space="preserve">that </w:t>
      </w:r>
      <w:r w:rsidR="009A18AD">
        <w:rPr>
          <w:rFonts w:ascii="Times New Roman" w:hAnsi="Times New Roman" w:cs="Times New Roman"/>
          <w:sz w:val="24"/>
          <w:szCs w:val="24"/>
          <w:lang w:val="en-GB"/>
        </w:rPr>
        <w:t>may need to be reviewed with a view to better facilitating the implementation of the programme of work</w:t>
      </w:r>
      <w:r>
        <w:rPr>
          <w:rFonts w:ascii="Times New Roman" w:hAnsi="Times New Roman" w:cs="Times New Roman"/>
          <w:sz w:val="24"/>
          <w:szCs w:val="24"/>
          <w:lang w:val="en-GB"/>
        </w:rPr>
        <w:t>?</w:t>
      </w:r>
      <w:r w:rsidR="009A18AD" w:rsidRPr="009A18AD">
        <w:rPr>
          <w:rFonts w:ascii="Times New Roman" w:hAnsi="Times New Roman" w:cs="Times New Roman"/>
          <w:sz w:val="24"/>
          <w:szCs w:val="24"/>
          <w:lang w:val="en-GB"/>
        </w:rPr>
        <w:t xml:space="preserve"> </w:t>
      </w:r>
    </w:p>
    <w:p w14:paraId="77B4CD7D" w14:textId="2F7F1D96" w:rsidR="002D49D4"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the </w:t>
      </w:r>
      <w:r w:rsidR="002D49D4">
        <w:rPr>
          <w:rFonts w:ascii="Times New Roman" w:hAnsi="Times New Roman" w:cs="Times New Roman"/>
          <w:sz w:val="24"/>
          <w:szCs w:val="24"/>
          <w:lang w:val="en-GB"/>
        </w:rPr>
        <w:t>modalities of work of the NFPs?</w:t>
      </w:r>
    </w:p>
    <w:p w14:paraId="1244BA65" w14:textId="7A5BE608" w:rsidR="006E71B8" w:rsidRDefault="009A18AD" w:rsidP="00E4261E">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AF688F">
        <w:rPr>
          <w:rFonts w:ascii="Times New Roman" w:hAnsi="Times New Roman" w:cs="Times New Roman"/>
          <w:sz w:val="24"/>
          <w:szCs w:val="24"/>
          <w:lang w:val="en-GB"/>
        </w:rPr>
        <w:t xml:space="preserve">the </w:t>
      </w:r>
      <w:r w:rsidR="002D49D4">
        <w:rPr>
          <w:rFonts w:ascii="Times New Roman" w:hAnsi="Times New Roman" w:cs="Times New Roman"/>
          <w:sz w:val="24"/>
          <w:szCs w:val="24"/>
          <w:lang w:val="en-GB"/>
        </w:rPr>
        <w:t>Terms of Reference for NFPs?</w:t>
      </w:r>
    </w:p>
    <w:p w14:paraId="5B8E3912" w14:textId="77777777" w:rsidR="00E4261E" w:rsidRPr="00E4261E" w:rsidRDefault="00E4261E" w:rsidP="00E4261E">
      <w:pPr>
        <w:pStyle w:val="ListParagraph"/>
        <w:spacing w:after="0" w:line="240" w:lineRule="auto"/>
        <w:jc w:val="both"/>
        <w:rPr>
          <w:rFonts w:ascii="Times New Roman" w:hAnsi="Times New Roman" w:cs="Times New Roman"/>
          <w:sz w:val="24"/>
          <w:szCs w:val="24"/>
          <w:lang w:val="en-GB"/>
        </w:rPr>
      </w:pPr>
    </w:p>
    <w:p w14:paraId="011BD6C1" w14:textId="7A303E61" w:rsidR="00F5423C" w:rsidRPr="00E4261E" w:rsidRDefault="00742566" w:rsidP="00E4261E">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Writing teams</w:t>
      </w:r>
    </w:p>
    <w:p w14:paraId="67A5CF1E" w14:textId="5969DA0F" w:rsidR="003838A7" w:rsidRPr="0089434E" w:rsidRDefault="00300140"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the second cycle, the writing team for each chapter or subchapter of </w:t>
      </w:r>
      <w:r w:rsidR="00B60A8C" w:rsidRPr="0089434E">
        <w:rPr>
          <w:rFonts w:ascii="Times New Roman" w:eastAsia="Times New Roman" w:hAnsi="Times New Roman" w:cs="Times New Roman"/>
          <w:sz w:val="24"/>
          <w:szCs w:val="24"/>
          <w:lang w:val="en-GB" w:eastAsia="zh-CN"/>
        </w:rPr>
        <w:t>WOA II was</w:t>
      </w:r>
      <w:r w:rsidRPr="0089434E">
        <w:rPr>
          <w:rFonts w:ascii="Times New Roman" w:eastAsia="Times New Roman" w:hAnsi="Times New Roman" w:cs="Times New Roman"/>
          <w:sz w:val="24"/>
          <w:szCs w:val="24"/>
          <w:lang w:val="en-GB" w:eastAsia="zh-CN"/>
        </w:rPr>
        <w:t xml:space="preserve"> composed of: </w:t>
      </w:r>
      <w:r w:rsidR="00B60A8C" w:rsidRPr="0089434E">
        <w:rPr>
          <w:rFonts w:ascii="Times New Roman" w:eastAsia="Times New Roman" w:hAnsi="Times New Roman" w:cs="Times New Roman"/>
          <w:sz w:val="24"/>
          <w:szCs w:val="24"/>
          <w:lang w:val="en-GB" w:eastAsia="zh-CN"/>
        </w:rPr>
        <w:t>a</w:t>
      </w:r>
      <w:r w:rsidRPr="0089434E">
        <w:rPr>
          <w:rFonts w:ascii="Times New Roman" w:eastAsia="Times New Roman" w:hAnsi="Times New Roman" w:cs="Times New Roman"/>
          <w:sz w:val="24"/>
          <w:szCs w:val="24"/>
          <w:lang w:val="en-GB" w:eastAsia="zh-CN"/>
        </w:rPr>
        <w:t xml:space="preserve"> member of the Group of Experts with overall responsibility for the production of the chapter (lead member)</w:t>
      </w:r>
      <w:r w:rsidR="00B60A8C" w:rsidRPr="0089434E">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any additional members of the Group of Experts with relevant expertise (co-lead members)</w:t>
      </w:r>
      <w:r w:rsidR="00B60A8C" w:rsidRPr="0089434E">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 xml:space="preserve">one or </w:t>
      </w:r>
      <w:r w:rsidR="00B60A8C" w:rsidRPr="0089434E">
        <w:rPr>
          <w:rFonts w:ascii="Times New Roman" w:eastAsia="Times New Roman" w:hAnsi="Times New Roman" w:cs="Times New Roman"/>
          <w:sz w:val="24"/>
          <w:szCs w:val="24"/>
          <w:lang w:val="en-GB" w:eastAsia="zh-CN"/>
        </w:rPr>
        <w:t xml:space="preserve">more experts </w:t>
      </w:r>
      <w:r w:rsidRPr="0089434E">
        <w:rPr>
          <w:rFonts w:ascii="Times New Roman" w:eastAsia="Times New Roman" w:hAnsi="Times New Roman" w:cs="Times New Roman"/>
          <w:sz w:val="24"/>
          <w:szCs w:val="24"/>
          <w:lang w:val="en-GB" w:eastAsia="zh-CN"/>
        </w:rPr>
        <w:t xml:space="preserve">responsible for the coordination of the </w:t>
      </w:r>
      <w:r w:rsidR="006E2A01" w:rsidRPr="0089434E">
        <w:rPr>
          <w:rFonts w:ascii="Times New Roman" w:eastAsia="Times New Roman" w:hAnsi="Times New Roman" w:cs="Times New Roman"/>
          <w:sz w:val="24"/>
          <w:szCs w:val="24"/>
          <w:lang w:val="en-GB" w:eastAsia="zh-CN"/>
        </w:rPr>
        <w:t xml:space="preserve">work of the </w:t>
      </w:r>
      <w:r w:rsidRPr="0089434E">
        <w:rPr>
          <w:rFonts w:ascii="Times New Roman" w:eastAsia="Times New Roman" w:hAnsi="Times New Roman" w:cs="Times New Roman"/>
          <w:sz w:val="24"/>
          <w:szCs w:val="24"/>
          <w:lang w:val="en-GB" w:eastAsia="zh-CN"/>
        </w:rPr>
        <w:t>writing team (convenor</w:t>
      </w:r>
      <w:r w:rsidR="00B60A8C" w:rsidRPr="0089434E">
        <w:rPr>
          <w:rFonts w:ascii="Times New Roman" w:eastAsia="Times New Roman" w:hAnsi="Times New Roman" w:cs="Times New Roman"/>
          <w:sz w:val="24"/>
          <w:szCs w:val="24"/>
          <w:lang w:val="en-GB" w:eastAsia="zh-CN"/>
        </w:rPr>
        <w:t xml:space="preserve"> or joint convenors</w:t>
      </w:r>
      <w:r w:rsidRPr="0089434E">
        <w:rPr>
          <w:rFonts w:ascii="Times New Roman" w:eastAsia="Times New Roman" w:hAnsi="Times New Roman" w:cs="Times New Roman"/>
          <w:sz w:val="24"/>
          <w:szCs w:val="24"/>
          <w:lang w:val="en-GB" w:eastAsia="zh-CN"/>
        </w:rPr>
        <w:t>)</w:t>
      </w:r>
      <w:r w:rsidR="006967C7" w:rsidRPr="0089434E">
        <w:rPr>
          <w:rFonts w:ascii="Times New Roman" w:eastAsia="Times New Roman" w:hAnsi="Times New Roman" w:cs="Times New Roman"/>
          <w:sz w:val="24"/>
          <w:szCs w:val="24"/>
          <w:lang w:val="en-GB" w:eastAsia="zh-CN"/>
        </w:rPr>
        <w:t xml:space="preserve">, </w:t>
      </w:r>
      <w:r w:rsidR="008B4DD1" w:rsidRPr="0089434E">
        <w:rPr>
          <w:rFonts w:ascii="Times New Roman" w:eastAsia="Times New Roman" w:hAnsi="Times New Roman" w:cs="Times New Roman"/>
          <w:sz w:val="24"/>
          <w:szCs w:val="24"/>
          <w:lang w:val="en-GB" w:eastAsia="zh-CN"/>
        </w:rPr>
        <w:t xml:space="preserve">drawn </w:t>
      </w:r>
      <w:r w:rsidR="0044305E" w:rsidRPr="0089434E">
        <w:rPr>
          <w:rFonts w:ascii="Times New Roman" w:eastAsia="Times New Roman" w:hAnsi="Times New Roman" w:cs="Times New Roman"/>
          <w:sz w:val="24"/>
          <w:szCs w:val="24"/>
          <w:lang w:val="en-GB" w:eastAsia="zh-CN"/>
        </w:rPr>
        <w:t>from the Group of Experts or the Pool of Experts</w:t>
      </w:r>
      <w:r w:rsidR="00B60A8C" w:rsidRPr="0089434E">
        <w:rPr>
          <w:rFonts w:ascii="Times New Roman" w:eastAsia="Times New Roman" w:hAnsi="Times New Roman" w:cs="Times New Roman"/>
          <w:sz w:val="24"/>
          <w:szCs w:val="24"/>
          <w:lang w:val="en-GB" w:eastAsia="zh-CN"/>
        </w:rPr>
        <w:t>;</w:t>
      </w:r>
      <w:r w:rsidR="0044305E" w:rsidRPr="0089434E">
        <w:rPr>
          <w:rFonts w:ascii="Times New Roman" w:eastAsia="Times New Roman" w:hAnsi="Times New Roman" w:cs="Times New Roman"/>
          <w:sz w:val="24"/>
          <w:szCs w:val="24"/>
          <w:lang w:val="en-GB" w:eastAsia="zh-CN"/>
        </w:rPr>
        <w:t xml:space="preserve"> </w:t>
      </w:r>
      <w:r w:rsidR="006967C7" w:rsidRPr="0089434E">
        <w:rPr>
          <w:rFonts w:ascii="Times New Roman" w:eastAsia="Times New Roman" w:hAnsi="Times New Roman" w:cs="Times New Roman"/>
          <w:sz w:val="24"/>
          <w:szCs w:val="24"/>
          <w:lang w:val="en-GB" w:eastAsia="zh-CN"/>
        </w:rPr>
        <w:t xml:space="preserve">and several </w:t>
      </w:r>
      <w:r w:rsidR="00987472" w:rsidRPr="0089434E">
        <w:rPr>
          <w:rFonts w:ascii="Times New Roman" w:eastAsia="Times New Roman" w:hAnsi="Times New Roman" w:cs="Times New Roman"/>
          <w:sz w:val="24"/>
          <w:szCs w:val="24"/>
          <w:lang w:val="en-GB" w:eastAsia="zh-CN"/>
        </w:rPr>
        <w:t xml:space="preserve">other </w:t>
      </w:r>
      <w:r w:rsidR="00B60A8C" w:rsidRPr="0089434E">
        <w:rPr>
          <w:rFonts w:ascii="Times New Roman" w:eastAsia="Times New Roman" w:hAnsi="Times New Roman" w:cs="Times New Roman"/>
          <w:sz w:val="24"/>
          <w:szCs w:val="24"/>
          <w:lang w:val="en-GB" w:eastAsia="zh-CN"/>
        </w:rPr>
        <w:t>experts</w:t>
      </w:r>
      <w:r w:rsidR="0044305E" w:rsidRPr="0089434E">
        <w:rPr>
          <w:rFonts w:ascii="Times New Roman" w:eastAsia="Times New Roman" w:hAnsi="Times New Roman" w:cs="Times New Roman"/>
          <w:sz w:val="24"/>
          <w:szCs w:val="24"/>
          <w:lang w:val="en-GB" w:eastAsia="zh-CN"/>
        </w:rPr>
        <w:t xml:space="preserve"> drawn from the Pool of Experts</w:t>
      </w:r>
      <w:r w:rsidR="00B60A8C" w:rsidRPr="0089434E">
        <w:rPr>
          <w:rFonts w:ascii="Times New Roman" w:eastAsia="Times New Roman" w:hAnsi="Times New Roman" w:cs="Times New Roman"/>
          <w:sz w:val="24"/>
          <w:szCs w:val="24"/>
          <w:lang w:val="en-GB" w:eastAsia="zh-CN"/>
        </w:rPr>
        <w:t>. The minimum requirements set for each writing team by the Bureau was that it should have at least one convenor and three other members. The members of the writing team were selected by the Group of Experts, with some input from States and the secretariat where gaps were identified.</w:t>
      </w:r>
      <w:r w:rsidR="00B60A8C" w:rsidRPr="0089434E" w:rsidDel="00B60A8C">
        <w:rPr>
          <w:rFonts w:ascii="Times New Roman" w:eastAsia="Times New Roman" w:hAnsi="Times New Roman" w:cs="Times New Roman"/>
          <w:sz w:val="24"/>
          <w:szCs w:val="24"/>
          <w:lang w:val="en-GB" w:eastAsia="zh-CN"/>
        </w:rPr>
        <w:t xml:space="preserve"> </w:t>
      </w:r>
    </w:p>
    <w:p w14:paraId="33A38C50" w14:textId="1DBA6FF9" w:rsidR="00791E40" w:rsidRPr="00F22461" w:rsidRDefault="000D5BE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Was the constitution and composition of the writing teams suitable for their work during the second cycle</w:t>
      </w:r>
      <w:r w:rsidR="00791E40" w:rsidRPr="00F22461">
        <w:rPr>
          <w:rFonts w:ascii="Times New Roman" w:hAnsi="Times New Roman" w:cs="Times New Roman"/>
          <w:sz w:val="24"/>
          <w:szCs w:val="24"/>
          <w:lang w:val="en-GB"/>
        </w:rPr>
        <w:t>?</w:t>
      </w:r>
    </w:p>
    <w:p w14:paraId="3478BC40" w14:textId="268AC05D" w:rsidR="00742566" w:rsidRPr="00F22461"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8709B6" w:rsidRPr="00F22461">
        <w:rPr>
          <w:rFonts w:ascii="Times New Roman" w:hAnsi="Times New Roman" w:cs="Times New Roman"/>
          <w:sz w:val="24"/>
          <w:szCs w:val="24"/>
          <w:lang w:val="en-GB"/>
        </w:rPr>
        <w:t xml:space="preserve">the process of </w:t>
      </w:r>
      <w:r w:rsidR="00E0006A" w:rsidRPr="00F22461">
        <w:rPr>
          <w:rFonts w:ascii="Times New Roman" w:hAnsi="Times New Roman" w:cs="Times New Roman"/>
          <w:sz w:val="24"/>
          <w:szCs w:val="24"/>
          <w:lang w:val="en-GB"/>
        </w:rPr>
        <w:t>selection</w:t>
      </w:r>
      <w:r w:rsidR="00F658F0" w:rsidRPr="00F22461">
        <w:rPr>
          <w:rFonts w:ascii="Times New Roman" w:hAnsi="Times New Roman" w:cs="Times New Roman"/>
          <w:sz w:val="24"/>
          <w:szCs w:val="24"/>
          <w:lang w:val="en-GB"/>
        </w:rPr>
        <w:t xml:space="preserve"> </w:t>
      </w:r>
      <w:r w:rsidR="00E0006A" w:rsidRPr="00F22461">
        <w:rPr>
          <w:rFonts w:ascii="Times New Roman" w:hAnsi="Times New Roman" w:cs="Times New Roman"/>
          <w:sz w:val="24"/>
          <w:szCs w:val="24"/>
          <w:lang w:val="en-GB"/>
        </w:rPr>
        <w:t xml:space="preserve">of experts </w:t>
      </w:r>
      <w:r w:rsidR="00F658F0" w:rsidRPr="00F22461">
        <w:rPr>
          <w:rFonts w:ascii="Times New Roman" w:hAnsi="Times New Roman" w:cs="Times New Roman"/>
          <w:sz w:val="24"/>
          <w:szCs w:val="24"/>
          <w:lang w:val="en-GB"/>
        </w:rPr>
        <w:t>to the writing teams?</w:t>
      </w:r>
    </w:p>
    <w:p w14:paraId="415DEC89" w14:textId="5B6D2A16" w:rsidR="00B60A8C" w:rsidRPr="00E4261E" w:rsidRDefault="009A18AD" w:rsidP="00E4261E">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AF688F">
        <w:rPr>
          <w:rFonts w:ascii="Times New Roman" w:hAnsi="Times New Roman" w:cs="Times New Roman"/>
          <w:sz w:val="24"/>
          <w:szCs w:val="24"/>
          <w:lang w:val="en-GB"/>
        </w:rPr>
        <w:t>the</w:t>
      </w:r>
      <w:r w:rsidR="000D5BEE">
        <w:rPr>
          <w:rFonts w:ascii="Times New Roman" w:hAnsi="Times New Roman" w:cs="Times New Roman"/>
          <w:sz w:val="24"/>
          <w:szCs w:val="24"/>
          <w:lang w:val="en-GB"/>
        </w:rPr>
        <w:t xml:space="preserve"> composition of the writing teams?</w:t>
      </w:r>
    </w:p>
    <w:p w14:paraId="0183E863" w14:textId="17EF0E38" w:rsidR="00371A49" w:rsidRPr="0089434E" w:rsidRDefault="00371A49"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Communication with</w:t>
      </w:r>
      <w:r w:rsidR="00AE5E33" w:rsidRPr="0089434E">
        <w:rPr>
          <w:rFonts w:ascii="Times New Roman" w:eastAsia="Times New Roman" w:hAnsi="Times New Roman" w:cs="Times New Roman"/>
          <w:sz w:val="24"/>
          <w:szCs w:val="24"/>
          <w:lang w:val="en-GB" w:eastAsia="zh-CN"/>
        </w:rPr>
        <w:t xml:space="preserve"> and within</w:t>
      </w:r>
      <w:r w:rsidRPr="0089434E">
        <w:rPr>
          <w:rFonts w:ascii="Times New Roman" w:eastAsia="Times New Roman" w:hAnsi="Times New Roman" w:cs="Times New Roman"/>
          <w:sz w:val="24"/>
          <w:szCs w:val="24"/>
          <w:lang w:val="en-GB" w:eastAsia="zh-CN"/>
        </w:rPr>
        <w:t xml:space="preserve"> the writing teams primarily took place electronically, and the </w:t>
      </w:r>
      <w:r w:rsidR="003E7E7A" w:rsidRPr="0089434E">
        <w:rPr>
          <w:rFonts w:ascii="Times New Roman" w:eastAsia="Times New Roman" w:hAnsi="Times New Roman" w:cs="Times New Roman"/>
          <w:sz w:val="24"/>
          <w:szCs w:val="24"/>
          <w:lang w:val="en-GB" w:eastAsia="zh-CN"/>
        </w:rPr>
        <w:t xml:space="preserve">specific </w:t>
      </w:r>
      <w:r w:rsidRPr="0089434E">
        <w:rPr>
          <w:rFonts w:ascii="Times New Roman" w:eastAsia="Times New Roman" w:hAnsi="Times New Roman" w:cs="Times New Roman"/>
          <w:sz w:val="24"/>
          <w:szCs w:val="24"/>
          <w:lang w:val="en-GB" w:eastAsia="zh-CN"/>
        </w:rPr>
        <w:t xml:space="preserve">method of communication was determined by each individual lead member or convenor. Due to budgetary </w:t>
      </w:r>
      <w:r w:rsidR="003E7E7A" w:rsidRPr="0089434E">
        <w:rPr>
          <w:rFonts w:ascii="Times New Roman" w:eastAsia="Times New Roman" w:hAnsi="Times New Roman" w:cs="Times New Roman"/>
          <w:sz w:val="24"/>
          <w:szCs w:val="24"/>
          <w:lang w:val="en-GB" w:eastAsia="zh-CN"/>
        </w:rPr>
        <w:t>implications</w:t>
      </w:r>
      <w:r w:rsidRPr="0089434E">
        <w:rPr>
          <w:rFonts w:ascii="Times New Roman" w:eastAsia="Times New Roman" w:hAnsi="Times New Roman" w:cs="Times New Roman"/>
          <w:sz w:val="24"/>
          <w:szCs w:val="24"/>
          <w:lang w:val="en-GB" w:eastAsia="zh-CN"/>
        </w:rPr>
        <w:t xml:space="preserve">, the members of the writing teams </w:t>
      </w:r>
      <w:r w:rsidR="003E7E7A" w:rsidRPr="0089434E">
        <w:rPr>
          <w:rFonts w:ascii="Times New Roman" w:eastAsia="Times New Roman" w:hAnsi="Times New Roman" w:cs="Times New Roman"/>
          <w:sz w:val="24"/>
          <w:szCs w:val="24"/>
          <w:lang w:val="en-GB" w:eastAsia="zh-CN"/>
        </w:rPr>
        <w:t>were not provided with</w:t>
      </w:r>
      <w:r w:rsidRPr="0089434E">
        <w:rPr>
          <w:rFonts w:ascii="Times New Roman" w:eastAsia="Times New Roman" w:hAnsi="Times New Roman" w:cs="Times New Roman"/>
          <w:sz w:val="24"/>
          <w:szCs w:val="24"/>
          <w:lang w:val="en-GB" w:eastAsia="zh-CN"/>
        </w:rPr>
        <w:t xml:space="preserve"> access to a common </w:t>
      </w:r>
      <w:r w:rsidR="003E7E7A" w:rsidRPr="0089434E">
        <w:rPr>
          <w:rFonts w:ascii="Times New Roman" w:eastAsia="Times New Roman" w:hAnsi="Times New Roman" w:cs="Times New Roman"/>
          <w:sz w:val="24"/>
          <w:szCs w:val="24"/>
          <w:lang w:val="en-GB" w:eastAsia="zh-CN"/>
        </w:rPr>
        <w:t>online collaboration platform</w:t>
      </w:r>
      <w:r w:rsidR="00AE5E33" w:rsidRPr="0089434E">
        <w:rPr>
          <w:rFonts w:ascii="Times New Roman" w:eastAsia="Times New Roman" w:hAnsi="Times New Roman" w:cs="Times New Roman"/>
          <w:sz w:val="24"/>
          <w:szCs w:val="24"/>
          <w:lang w:val="en-GB" w:eastAsia="zh-CN"/>
        </w:rPr>
        <w:t xml:space="preserve"> for their work on WOA II</w:t>
      </w:r>
      <w:r w:rsidRPr="0089434E">
        <w:rPr>
          <w:rFonts w:ascii="Times New Roman" w:eastAsia="Times New Roman" w:hAnsi="Times New Roman" w:cs="Times New Roman"/>
          <w:sz w:val="24"/>
          <w:szCs w:val="24"/>
          <w:lang w:val="en-GB" w:eastAsia="zh-CN"/>
        </w:rPr>
        <w:t>.</w:t>
      </w:r>
      <w:r w:rsidR="00896263" w:rsidRPr="0089434E">
        <w:rPr>
          <w:rFonts w:ascii="Times New Roman" w:eastAsia="Times New Roman" w:hAnsi="Times New Roman" w:cs="Times New Roman"/>
          <w:sz w:val="24"/>
          <w:szCs w:val="24"/>
          <w:lang w:val="en-GB" w:eastAsia="zh-CN"/>
        </w:rPr>
        <w:t xml:space="preserve"> </w:t>
      </w:r>
      <w:r w:rsidR="003E7E7A" w:rsidRPr="0089434E">
        <w:rPr>
          <w:rFonts w:ascii="Times New Roman" w:eastAsia="Times New Roman" w:hAnsi="Times New Roman" w:cs="Times New Roman"/>
          <w:sz w:val="24"/>
          <w:szCs w:val="24"/>
          <w:lang w:val="en-GB" w:eastAsia="zh-CN"/>
        </w:rPr>
        <w:t xml:space="preserve">The </w:t>
      </w:r>
      <w:r w:rsidR="00896263" w:rsidRPr="0089434E">
        <w:rPr>
          <w:rFonts w:ascii="Times New Roman" w:eastAsia="Times New Roman" w:hAnsi="Times New Roman" w:cs="Times New Roman"/>
          <w:sz w:val="24"/>
          <w:szCs w:val="24"/>
          <w:lang w:val="en-GB" w:eastAsia="zh-CN"/>
        </w:rPr>
        <w:t xml:space="preserve">writing teams for each chapter </w:t>
      </w:r>
      <w:r w:rsidR="003E7E7A" w:rsidRPr="0089434E">
        <w:rPr>
          <w:rFonts w:ascii="Times New Roman" w:eastAsia="Times New Roman" w:hAnsi="Times New Roman" w:cs="Times New Roman"/>
          <w:sz w:val="24"/>
          <w:szCs w:val="24"/>
          <w:lang w:val="en-GB" w:eastAsia="zh-CN"/>
        </w:rPr>
        <w:t xml:space="preserve">worked independently unless </w:t>
      </w:r>
      <w:r w:rsidR="00896263" w:rsidRPr="0089434E">
        <w:rPr>
          <w:rFonts w:ascii="Times New Roman" w:eastAsia="Times New Roman" w:hAnsi="Times New Roman" w:cs="Times New Roman"/>
          <w:sz w:val="24"/>
          <w:szCs w:val="24"/>
          <w:lang w:val="en-GB" w:eastAsia="zh-CN"/>
        </w:rPr>
        <w:t>lead members decided that collaboration would be beneficial.</w:t>
      </w:r>
    </w:p>
    <w:p w14:paraId="2B0BBC38" w14:textId="5B7597BD" w:rsidR="00896263" w:rsidRPr="00F22461"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896263" w:rsidRPr="00F22461">
        <w:rPr>
          <w:rFonts w:ascii="Times New Roman" w:hAnsi="Times New Roman" w:cs="Times New Roman"/>
          <w:sz w:val="24"/>
          <w:szCs w:val="24"/>
          <w:lang w:val="en-GB"/>
        </w:rPr>
        <w:t xml:space="preserve">the communication within </w:t>
      </w:r>
      <w:r w:rsidR="00A42C11" w:rsidRPr="00F22461">
        <w:rPr>
          <w:rFonts w:ascii="Times New Roman" w:hAnsi="Times New Roman" w:cs="Times New Roman"/>
          <w:sz w:val="24"/>
          <w:szCs w:val="24"/>
          <w:lang w:val="en-GB"/>
        </w:rPr>
        <w:t>writing teams?</w:t>
      </w:r>
    </w:p>
    <w:p w14:paraId="31227FB9" w14:textId="6214A103" w:rsidR="00A42C11" w:rsidRPr="00F22461"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A42C11" w:rsidRPr="00F22461">
        <w:rPr>
          <w:rFonts w:ascii="Times New Roman" w:hAnsi="Times New Roman" w:cs="Times New Roman"/>
          <w:sz w:val="24"/>
          <w:szCs w:val="24"/>
          <w:lang w:val="en-GB"/>
        </w:rPr>
        <w:t xml:space="preserve">the communication between writing teams </w:t>
      </w:r>
      <w:r w:rsidR="00AF688F">
        <w:rPr>
          <w:rFonts w:ascii="Times New Roman" w:hAnsi="Times New Roman" w:cs="Times New Roman"/>
          <w:sz w:val="24"/>
          <w:szCs w:val="24"/>
          <w:lang w:val="en-GB"/>
        </w:rPr>
        <w:t xml:space="preserve">have </w:t>
      </w:r>
      <w:r w:rsidR="00A42C11" w:rsidRPr="00F22461">
        <w:rPr>
          <w:rFonts w:ascii="Times New Roman" w:hAnsi="Times New Roman" w:cs="Times New Roman"/>
          <w:sz w:val="24"/>
          <w:szCs w:val="24"/>
          <w:lang w:val="en-GB"/>
        </w:rPr>
        <w:t>be</w:t>
      </w:r>
      <w:r w:rsidR="00AF688F">
        <w:rPr>
          <w:rFonts w:ascii="Times New Roman" w:hAnsi="Times New Roman" w:cs="Times New Roman"/>
          <w:sz w:val="24"/>
          <w:szCs w:val="24"/>
          <w:lang w:val="en-GB"/>
        </w:rPr>
        <w:t>en</w:t>
      </w:r>
      <w:r w:rsidR="00A42C11" w:rsidRPr="00F22461">
        <w:rPr>
          <w:rFonts w:ascii="Times New Roman" w:hAnsi="Times New Roman" w:cs="Times New Roman"/>
          <w:sz w:val="24"/>
          <w:szCs w:val="24"/>
          <w:lang w:val="en-GB"/>
        </w:rPr>
        <w:t xml:space="preserve"> improved?</w:t>
      </w:r>
    </w:p>
    <w:p w14:paraId="5E6A69E9" w14:textId="442E8334" w:rsidR="00A42C11"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Could you provide any suggestions with a view to further improving </w:t>
      </w:r>
      <w:r w:rsidR="00A42C11" w:rsidRPr="00F22461">
        <w:rPr>
          <w:rFonts w:ascii="Times New Roman" w:hAnsi="Times New Roman" w:cs="Times New Roman"/>
          <w:sz w:val="24"/>
          <w:szCs w:val="24"/>
          <w:lang w:val="en-GB"/>
        </w:rPr>
        <w:t xml:space="preserve">the communication between the writing teams and other </w:t>
      </w:r>
      <w:r w:rsidR="00C465E6" w:rsidRPr="00F22461">
        <w:rPr>
          <w:rFonts w:ascii="Times New Roman" w:hAnsi="Times New Roman" w:cs="Times New Roman"/>
          <w:sz w:val="24"/>
          <w:szCs w:val="24"/>
          <w:lang w:val="en-GB"/>
        </w:rPr>
        <w:t>parts</w:t>
      </w:r>
      <w:r w:rsidR="00A42C11" w:rsidRPr="00F22461">
        <w:rPr>
          <w:rFonts w:ascii="Times New Roman" w:hAnsi="Times New Roman" w:cs="Times New Roman"/>
          <w:sz w:val="24"/>
          <w:szCs w:val="24"/>
          <w:lang w:val="en-GB"/>
        </w:rPr>
        <w:t xml:space="preserve"> of the Regular Process </w:t>
      </w:r>
      <w:r w:rsidR="00AF688F">
        <w:rPr>
          <w:rFonts w:ascii="Times New Roman" w:hAnsi="Times New Roman" w:cs="Times New Roman"/>
          <w:sz w:val="24"/>
          <w:szCs w:val="24"/>
          <w:lang w:val="en-GB"/>
        </w:rPr>
        <w:t xml:space="preserve">have </w:t>
      </w:r>
      <w:r w:rsidR="00A42C11" w:rsidRPr="00F22461">
        <w:rPr>
          <w:rFonts w:ascii="Times New Roman" w:hAnsi="Times New Roman" w:cs="Times New Roman"/>
          <w:sz w:val="24"/>
          <w:szCs w:val="24"/>
          <w:lang w:val="en-GB"/>
        </w:rPr>
        <w:t>be</w:t>
      </w:r>
      <w:r w:rsidR="00AF688F">
        <w:rPr>
          <w:rFonts w:ascii="Times New Roman" w:hAnsi="Times New Roman" w:cs="Times New Roman"/>
          <w:sz w:val="24"/>
          <w:szCs w:val="24"/>
          <w:lang w:val="en-GB"/>
        </w:rPr>
        <w:t>en</w:t>
      </w:r>
      <w:r w:rsidR="00A42C11" w:rsidRPr="00F22461">
        <w:rPr>
          <w:rFonts w:ascii="Times New Roman" w:hAnsi="Times New Roman" w:cs="Times New Roman"/>
          <w:sz w:val="24"/>
          <w:szCs w:val="24"/>
          <w:lang w:val="en-GB"/>
        </w:rPr>
        <w:t xml:space="preserve"> improved?</w:t>
      </w:r>
    </w:p>
    <w:p w14:paraId="3DFCECC9" w14:textId="1C8D1A02" w:rsidR="00F5423C"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AE5E33">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AE5E33">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AE5E33">
        <w:rPr>
          <w:rFonts w:ascii="Times New Roman" w:hAnsi="Times New Roman" w:cs="Times New Roman"/>
          <w:sz w:val="24"/>
          <w:szCs w:val="24"/>
          <w:lang w:val="en-GB"/>
        </w:rPr>
        <w:t xml:space="preserve"> the working methods of the writing teams</w:t>
      </w:r>
      <w:r w:rsidR="00D326BC">
        <w:rPr>
          <w:rFonts w:ascii="Times New Roman" w:hAnsi="Times New Roman" w:cs="Times New Roman"/>
          <w:sz w:val="24"/>
          <w:szCs w:val="24"/>
          <w:lang w:val="en-GB"/>
        </w:rPr>
        <w:t>?</w:t>
      </w:r>
    </w:p>
    <w:p w14:paraId="541FAE6D" w14:textId="77777777" w:rsidR="00E4261E" w:rsidRPr="00E4261E" w:rsidRDefault="00E4261E" w:rsidP="00E4261E">
      <w:pPr>
        <w:pStyle w:val="ListParagraph"/>
        <w:spacing w:after="0" w:line="240" w:lineRule="auto"/>
        <w:jc w:val="both"/>
        <w:rPr>
          <w:rFonts w:ascii="Times New Roman" w:hAnsi="Times New Roman" w:cs="Times New Roman"/>
          <w:sz w:val="24"/>
          <w:szCs w:val="24"/>
          <w:lang w:val="en-GB"/>
        </w:rPr>
      </w:pPr>
    </w:p>
    <w:p w14:paraId="54A8FADA" w14:textId="5E7374F2" w:rsidR="00F5423C" w:rsidRPr="00E4261E" w:rsidRDefault="00F36A21" w:rsidP="00E4261E">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Capacity-building</w:t>
      </w:r>
    </w:p>
    <w:p w14:paraId="3DD4028C" w14:textId="7FAE7EDD" w:rsidR="00284C08" w:rsidRPr="0089434E" w:rsidRDefault="00284C08"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Capacity-building is one of th</w:t>
      </w:r>
      <w:r w:rsidR="00D612EC" w:rsidRPr="0089434E">
        <w:rPr>
          <w:rFonts w:ascii="Times New Roman" w:eastAsia="Times New Roman" w:hAnsi="Times New Roman" w:cs="Times New Roman"/>
          <w:sz w:val="24"/>
          <w:szCs w:val="24"/>
          <w:lang w:val="en-GB" w:eastAsia="zh-CN"/>
        </w:rPr>
        <w:t xml:space="preserve">e core </w:t>
      </w:r>
      <w:r w:rsidR="00AE5E33" w:rsidRPr="0089434E">
        <w:rPr>
          <w:rFonts w:ascii="Times New Roman" w:eastAsia="Times New Roman" w:hAnsi="Times New Roman" w:cs="Times New Roman"/>
          <w:sz w:val="24"/>
          <w:szCs w:val="24"/>
          <w:lang w:val="en-GB" w:eastAsia="zh-CN"/>
        </w:rPr>
        <w:t xml:space="preserve">objectives </w:t>
      </w:r>
      <w:r w:rsidRPr="0089434E">
        <w:rPr>
          <w:rFonts w:ascii="Times New Roman" w:eastAsia="Times New Roman" w:hAnsi="Times New Roman" w:cs="Times New Roman"/>
          <w:sz w:val="24"/>
          <w:szCs w:val="24"/>
          <w:lang w:val="en-GB" w:eastAsia="zh-CN"/>
        </w:rPr>
        <w:t>of the Regular Process.</w:t>
      </w:r>
      <w:r w:rsidR="00AE5E33" w:rsidRPr="0089434E">
        <w:rPr>
          <w:rFonts w:ascii="Times New Roman" w:eastAsia="Times New Roman" w:hAnsi="Times New Roman" w:cs="Times New Roman"/>
          <w:sz w:val="24"/>
          <w:szCs w:val="24"/>
          <w:lang w:val="en-GB" w:eastAsia="zh-CN"/>
        </w:rPr>
        <w:t xml:space="preserve"> A capacity-building inventory was prepared by the secretariat during the first cycle of the Regular Process and continues to be updated </w:t>
      </w:r>
      <w:r w:rsidR="00D612EC" w:rsidRPr="0089434E">
        <w:rPr>
          <w:rFonts w:ascii="Times New Roman" w:eastAsia="Times New Roman" w:hAnsi="Times New Roman" w:cs="Times New Roman"/>
          <w:sz w:val="24"/>
          <w:szCs w:val="24"/>
          <w:lang w:val="en-GB" w:eastAsia="zh-CN"/>
        </w:rPr>
        <w:t>with information provided by States, intergovernmental organizations and nongovernmental organizations, with a view to providing up-to-date and easily accessible information on capacity-building needs and opportunities</w:t>
      </w:r>
      <w:r w:rsidR="00AE5E33" w:rsidRPr="0089434E">
        <w:rPr>
          <w:rFonts w:ascii="Times New Roman" w:eastAsia="Times New Roman" w:hAnsi="Times New Roman" w:cs="Times New Roman"/>
          <w:sz w:val="24"/>
          <w:szCs w:val="24"/>
          <w:lang w:val="en-GB" w:eastAsia="zh-CN"/>
        </w:rPr>
        <w:t>.</w:t>
      </w:r>
    </w:p>
    <w:p w14:paraId="221645F0" w14:textId="650B4DFC" w:rsidR="00284C08" w:rsidRDefault="00AE5E33"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this </w:t>
      </w:r>
      <w:r w:rsidR="00D612EC">
        <w:rPr>
          <w:rFonts w:ascii="Times New Roman" w:hAnsi="Times New Roman" w:cs="Times New Roman"/>
          <w:sz w:val="24"/>
          <w:szCs w:val="24"/>
          <w:lang w:val="en-GB"/>
        </w:rPr>
        <w:t>capacity-building inventory useful</w:t>
      </w:r>
      <w:r w:rsidR="009A18AD">
        <w:rPr>
          <w:rFonts w:ascii="Times New Roman" w:hAnsi="Times New Roman" w:cs="Times New Roman"/>
          <w:sz w:val="24"/>
          <w:szCs w:val="24"/>
          <w:lang w:val="en-GB"/>
        </w:rPr>
        <w:t xml:space="preserve"> and relevant</w:t>
      </w:r>
      <w:r w:rsidR="00D612EC">
        <w:rPr>
          <w:rFonts w:ascii="Times New Roman" w:hAnsi="Times New Roman" w:cs="Times New Roman"/>
          <w:sz w:val="24"/>
          <w:szCs w:val="24"/>
          <w:lang w:val="en-GB"/>
        </w:rPr>
        <w:t>?</w:t>
      </w:r>
    </w:p>
    <w:p w14:paraId="7190F49F" w14:textId="765B1E2A" w:rsidR="009A18AD" w:rsidRPr="00E4261E"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 further improving this inventory?</w:t>
      </w:r>
    </w:p>
    <w:p w14:paraId="2113FECC" w14:textId="0D9A49C4" w:rsidR="00AE5E33" w:rsidRPr="0089434E" w:rsidRDefault="00AE5E33"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A two-day multi-stakeholder dialogue and capacity-building partnership event was held in 2019, in order to provide an opportunity to build awareness and collaboration with respect to capacity-building in support of the Regular Process, including with respect to building capacity to participate in, and make use of, integrated assessments.</w:t>
      </w:r>
      <w:r w:rsidR="00D612EC" w:rsidRPr="0089434E">
        <w:rPr>
          <w:rFonts w:ascii="Times New Roman" w:eastAsia="Times New Roman" w:hAnsi="Times New Roman" w:cs="Times New Roman"/>
          <w:sz w:val="24"/>
          <w:szCs w:val="24"/>
          <w:lang w:val="en-GB" w:eastAsia="zh-CN"/>
        </w:rPr>
        <w:t xml:space="preserve"> Of the 27 moderators and panellists selected for the event, three moderators or panellists were nationals of States in the African Group, six of the Asia-Pacific Group, two of the Eastern European Group, six of the Latin American and Caribbean States Group and six of the Western European and Others Group; 1</w:t>
      </w:r>
      <w:r w:rsidR="00E4261E">
        <w:rPr>
          <w:rFonts w:ascii="Times New Roman" w:eastAsia="Times New Roman" w:hAnsi="Times New Roman" w:cs="Times New Roman"/>
          <w:sz w:val="24"/>
          <w:szCs w:val="24"/>
          <w:lang w:val="en-GB" w:eastAsia="zh-CN"/>
        </w:rPr>
        <w:t>3 were women and 1</w:t>
      </w:r>
      <w:r w:rsidR="00D612EC" w:rsidRPr="0089434E">
        <w:rPr>
          <w:rFonts w:ascii="Times New Roman" w:eastAsia="Times New Roman" w:hAnsi="Times New Roman" w:cs="Times New Roman"/>
          <w:sz w:val="24"/>
          <w:szCs w:val="24"/>
          <w:lang w:val="en-GB" w:eastAsia="zh-CN"/>
        </w:rPr>
        <w:t>4 men.</w:t>
      </w:r>
      <w:r w:rsidR="00E714DF" w:rsidRPr="0089434E">
        <w:rPr>
          <w:rFonts w:ascii="Times New Roman" w:eastAsia="Times New Roman" w:hAnsi="Times New Roman" w:cs="Times New Roman"/>
          <w:sz w:val="24"/>
          <w:szCs w:val="24"/>
          <w:lang w:val="en-GB" w:eastAsia="zh-CN"/>
        </w:rPr>
        <w:t xml:space="preserve"> The outcome document which contained conclusions from this event </w:t>
      </w:r>
      <w:r w:rsidR="00E4261E">
        <w:rPr>
          <w:rFonts w:ascii="Times New Roman" w:eastAsia="Times New Roman" w:hAnsi="Times New Roman" w:cs="Times New Roman"/>
          <w:sz w:val="24"/>
          <w:szCs w:val="24"/>
          <w:lang w:val="en-GB" w:eastAsia="zh-CN"/>
        </w:rPr>
        <w:t>was</w:t>
      </w:r>
      <w:r w:rsidR="00E714DF" w:rsidRPr="0089434E">
        <w:rPr>
          <w:rFonts w:ascii="Times New Roman" w:eastAsia="Times New Roman" w:hAnsi="Times New Roman" w:cs="Times New Roman"/>
          <w:sz w:val="24"/>
          <w:szCs w:val="24"/>
          <w:lang w:val="en-GB" w:eastAsia="zh-CN"/>
        </w:rPr>
        <w:t xml:space="preserve"> approved by the Ad Hoc Working Group of the Whole during its </w:t>
      </w:r>
      <w:r w:rsidR="00B81B0E" w:rsidRPr="0089434E">
        <w:rPr>
          <w:rFonts w:ascii="Times New Roman" w:eastAsia="Times New Roman" w:hAnsi="Times New Roman" w:cs="Times New Roman"/>
          <w:sz w:val="24"/>
          <w:szCs w:val="24"/>
          <w:lang w:val="en-GB" w:eastAsia="zh-CN"/>
        </w:rPr>
        <w:t>twelfth</w:t>
      </w:r>
      <w:r w:rsidR="00E714DF" w:rsidRPr="0089434E">
        <w:rPr>
          <w:rFonts w:ascii="Times New Roman" w:eastAsia="Times New Roman" w:hAnsi="Times New Roman" w:cs="Times New Roman"/>
          <w:sz w:val="24"/>
          <w:szCs w:val="24"/>
          <w:lang w:val="en-GB" w:eastAsia="zh-CN"/>
        </w:rPr>
        <w:t xml:space="preserve"> meeting.  </w:t>
      </w:r>
    </w:p>
    <w:p w14:paraId="1722A73D" w14:textId="040969F7" w:rsidR="00AE5E33" w:rsidRDefault="00E714DF"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this event useful</w:t>
      </w:r>
      <w:r w:rsidR="009A18AD">
        <w:rPr>
          <w:rFonts w:ascii="Times New Roman" w:hAnsi="Times New Roman" w:cs="Times New Roman"/>
          <w:sz w:val="24"/>
          <w:szCs w:val="24"/>
          <w:lang w:val="en-GB"/>
        </w:rPr>
        <w:t xml:space="preserve"> and relevant</w:t>
      </w:r>
      <w:r>
        <w:rPr>
          <w:rFonts w:ascii="Times New Roman" w:hAnsi="Times New Roman" w:cs="Times New Roman"/>
          <w:sz w:val="24"/>
          <w:szCs w:val="24"/>
          <w:lang w:val="en-GB"/>
        </w:rPr>
        <w:t>?</w:t>
      </w:r>
    </w:p>
    <w:p w14:paraId="547BC408" w14:textId="20A120E7" w:rsidR="00E714DF" w:rsidRPr="00F22461" w:rsidRDefault="009A18A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If not, w</w:t>
      </w:r>
      <w:r w:rsidR="00E714DF">
        <w:rPr>
          <w:rFonts w:ascii="Times New Roman" w:hAnsi="Times New Roman" w:cs="Times New Roman"/>
          <w:sz w:val="24"/>
          <w:szCs w:val="24"/>
          <w:lang w:val="en-GB"/>
        </w:rPr>
        <w:t>hat might have been done to make this event more useful</w:t>
      </w:r>
      <w:r>
        <w:rPr>
          <w:rFonts w:ascii="Times New Roman" w:hAnsi="Times New Roman" w:cs="Times New Roman"/>
          <w:sz w:val="24"/>
          <w:szCs w:val="24"/>
          <w:lang w:val="en-GB"/>
        </w:rPr>
        <w:t xml:space="preserve"> and relevant</w:t>
      </w:r>
      <w:r w:rsidR="00E714DF">
        <w:rPr>
          <w:rFonts w:ascii="Times New Roman" w:hAnsi="Times New Roman" w:cs="Times New Roman"/>
          <w:sz w:val="24"/>
          <w:szCs w:val="24"/>
          <w:lang w:val="en-GB"/>
        </w:rPr>
        <w:t>?</w:t>
      </w:r>
    </w:p>
    <w:p w14:paraId="6B9D80CD" w14:textId="782ED66D" w:rsidR="00AE5E33"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 to further</w:t>
      </w:r>
      <w:r w:rsidR="00E714DF">
        <w:rPr>
          <w:rFonts w:ascii="Times New Roman" w:hAnsi="Times New Roman" w:cs="Times New Roman"/>
          <w:sz w:val="24"/>
          <w:szCs w:val="24"/>
          <w:lang w:val="en-GB"/>
        </w:rPr>
        <w:t xml:space="preserve"> improv</w:t>
      </w:r>
      <w:r>
        <w:rPr>
          <w:rFonts w:ascii="Times New Roman" w:hAnsi="Times New Roman" w:cs="Times New Roman"/>
          <w:sz w:val="24"/>
          <w:szCs w:val="24"/>
          <w:lang w:val="en-GB"/>
        </w:rPr>
        <w:t>ing</w:t>
      </w:r>
      <w:r w:rsidR="00E714DF">
        <w:rPr>
          <w:rFonts w:ascii="Times New Roman" w:hAnsi="Times New Roman" w:cs="Times New Roman"/>
          <w:sz w:val="24"/>
          <w:szCs w:val="24"/>
          <w:lang w:val="en-GB"/>
        </w:rPr>
        <w:t xml:space="preserve"> the organization of this event, including in relation to the nomination and selection of moderators and panellists?</w:t>
      </w:r>
    </w:p>
    <w:p w14:paraId="2DA4DF19" w14:textId="141A3389" w:rsidR="00067652" w:rsidRPr="00F22461"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improving </w:t>
      </w:r>
      <w:r w:rsidR="00E714DF">
        <w:rPr>
          <w:rFonts w:ascii="Times New Roman" w:hAnsi="Times New Roman" w:cs="Times New Roman"/>
          <w:sz w:val="24"/>
          <w:szCs w:val="24"/>
          <w:lang w:val="en-GB"/>
        </w:rPr>
        <w:t>the outcome document of this event?</w:t>
      </w:r>
    </w:p>
    <w:p w14:paraId="7A409533" w14:textId="4C37CA56" w:rsidR="00F5423C" w:rsidRDefault="00067652"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there other capacity-building activities that could have </w:t>
      </w:r>
      <w:r w:rsidR="00260E50">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been done </w:t>
      </w:r>
      <w:r w:rsidR="00260E50">
        <w:rPr>
          <w:rFonts w:ascii="Times New Roman" w:hAnsi="Times New Roman" w:cs="Times New Roman"/>
          <w:sz w:val="24"/>
          <w:szCs w:val="24"/>
          <w:lang w:val="en-GB"/>
        </w:rPr>
        <w:t xml:space="preserve">to better support </w:t>
      </w:r>
      <w:r>
        <w:rPr>
          <w:rFonts w:ascii="Times New Roman" w:hAnsi="Times New Roman" w:cs="Times New Roman"/>
          <w:sz w:val="24"/>
          <w:szCs w:val="24"/>
          <w:lang w:val="en-GB"/>
        </w:rPr>
        <w:t xml:space="preserve">the second cycle? </w:t>
      </w:r>
    </w:p>
    <w:p w14:paraId="72BFA5A6" w14:textId="77777777" w:rsidR="00E4261E" w:rsidRPr="00E4261E" w:rsidRDefault="00E4261E" w:rsidP="00E4261E">
      <w:pPr>
        <w:pStyle w:val="ListParagraph"/>
        <w:spacing w:after="0" w:line="240" w:lineRule="auto"/>
        <w:jc w:val="both"/>
        <w:rPr>
          <w:rFonts w:ascii="Times New Roman" w:hAnsi="Times New Roman" w:cs="Times New Roman"/>
          <w:sz w:val="24"/>
          <w:szCs w:val="24"/>
          <w:lang w:val="en-GB"/>
        </w:rPr>
      </w:pPr>
    </w:p>
    <w:p w14:paraId="55C7FEEC" w14:textId="3D42C059" w:rsidR="00F5423C" w:rsidRPr="00E4261E" w:rsidRDefault="00D87FF1" w:rsidP="00E4261E">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Regional workshops</w:t>
      </w:r>
    </w:p>
    <w:p w14:paraId="47C3E4A4" w14:textId="7662AD8B" w:rsidR="00DC6C80" w:rsidRPr="0089434E" w:rsidRDefault="00DC6C80"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Two rounds of regional workshops were organized </w:t>
      </w:r>
      <w:r w:rsidR="00735728" w:rsidRPr="0089434E">
        <w:rPr>
          <w:rFonts w:ascii="Times New Roman" w:eastAsia="Times New Roman" w:hAnsi="Times New Roman" w:cs="Times New Roman"/>
          <w:sz w:val="24"/>
          <w:szCs w:val="24"/>
          <w:lang w:val="en-GB" w:eastAsia="zh-CN"/>
        </w:rPr>
        <w:t xml:space="preserve">in support of </w:t>
      </w:r>
      <w:r w:rsidRPr="0089434E">
        <w:rPr>
          <w:rFonts w:ascii="Times New Roman" w:eastAsia="Times New Roman" w:hAnsi="Times New Roman" w:cs="Times New Roman"/>
          <w:sz w:val="24"/>
          <w:szCs w:val="24"/>
          <w:lang w:val="en-GB" w:eastAsia="zh-CN"/>
        </w:rPr>
        <w:t>the second cycle. The first round of regional workshops, which consisted of five workshops, was held in 2017 to inform the scoping of the assessment, raise awarenes</w:t>
      </w:r>
      <w:r w:rsidR="00735728" w:rsidRPr="0089434E">
        <w:rPr>
          <w:rFonts w:ascii="Times New Roman" w:eastAsia="Times New Roman" w:hAnsi="Times New Roman" w:cs="Times New Roman"/>
          <w:sz w:val="24"/>
          <w:szCs w:val="24"/>
          <w:lang w:val="en-GB" w:eastAsia="zh-CN"/>
        </w:rPr>
        <w:t xml:space="preserve">s, </w:t>
      </w:r>
      <w:r w:rsidRPr="0089434E">
        <w:rPr>
          <w:rFonts w:ascii="Times New Roman" w:eastAsia="Times New Roman" w:hAnsi="Times New Roman" w:cs="Times New Roman"/>
          <w:sz w:val="24"/>
          <w:szCs w:val="24"/>
          <w:lang w:val="en-GB" w:eastAsia="zh-CN"/>
        </w:rPr>
        <w:t xml:space="preserve">provide information and receive feedback on the </w:t>
      </w:r>
      <w:r w:rsidR="00735728" w:rsidRPr="0089434E">
        <w:rPr>
          <w:rFonts w:ascii="Times New Roman" w:eastAsia="Times New Roman" w:hAnsi="Times New Roman" w:cs="Times New Roman"/>
          <w:sz w:val="24"/>
          <w:szCs w:val="24"/>
          <w:lang w:val="en-GB" w:eastAsia="zh-CN"/>
        </w:rPr>
        <w:t>First Global Integrated Marine Assessment</w:t>
      </w:r>
      <w:r w:rsidR="00FE774F" w:rsidRPr="0089434E">
        <w:rPr>
          <w:rFonts w:ascii="Times New Roman" w:eastAsia="Times New Roman" w:hAnsi="Times New Roman" w:cs="Times New Roman"/>
          <w:sz w:val="24"/>
          <w:szCs w:val="24"/>
          <w:lang w:val="en-GB" w:eastAsia="zh-CN"/>
        </w:rPr>
        <w:t xml:space="preserve"> (WOA I)</w:t>
      </w:r>
      <w:r w:rsidRPr="0089434E">
        <w:rPr>
          <w:rFonts w:ascii="Times New Roman" w:eastAsia="Times New Roman" w:hAnsi="Times New Roman" w:cs="Times New Roman"/>
          <w:sz w:val="24"/>
          <w:szCs w:val="24"/>
          <w:lang w:val="en-GB" w:eastAsia="zh-CN"/>
        </w:rPr>
        <w:t xml:space="preserve">, and generate interest from the scientific community. </w:t>
      </w:r>
      <w:r w:rsidR="00735728" w:rsidRPr="0089434E">
        <w:rPr>
          <w:rFonts w:ascii="Times New Roman" w:eastAsia="Times New Roman" w:hAnsi="Times New Roman" w:cs="Times New Roman"/>
          <w:sz w:val="24"/>
          <w:szCs w:val="24"/>
          <w:lang w:val="en-GB" w:eastAsia="zh-CN"/>
        </w:rPr>
        <w:t>A</w:t>
      </w:r>
      <w:r w:rsidRPr="0089434E">
        <w:rPr>
          <w:rFonts w:ascii="Times New Roman" w:eastAsia="Times New Roman" w:hAnsi="Times New Roman" w:cs="Times New Roman"/>
          <w:sz w:val="24"/>
          <w:szCs w:val="24"/>
          <w:lang w:val="en-GB" w:eastAsia="zh-CN"/>
        </w:rPr>
        <w:t xml:space="preserve"> major contribution of the first round of regional workshops was to the elaboration of the outline of </w:t>
      </w:r>
      <w:r w:rsidR="00735728" w:rsidRPr="0089434E">
        <w:rPr>
          <w:rFonts w:ascii="Times New Roman" w:eastAsia="Times New Roman" w:hAnsi="Times New Roman" w:cs="Times New Roman"/>
          <w:sz w:val="24"/>
          <w:szCs w:val="24"/>
          <w:lang w:val="en-GB" w:eastAsia="zh-CN"/>
        </w:rPr>
        <w:t>WOA II</w:t>
      </w:r>
      <w:r w:rsidRPr="0089434E">
        <w:rPr>
          <w:rFonts w:ascii="Times New Roman" w:eastAsia="Times New Roman" w:hAnsi="Times New Roman" w:cs="Times New Roman"/>
          <w:sz w:val="24"/>
          <w:szCs w:val="24"/>
          <w:lang w:val="en-GB" w:eastAsia="zh-CN"/>
        </w:rPr>
        <w:t xml:space="preserve">. The second round, which consisted of seven </w:t>
      </w:r>
      <w:r w:rsidR="00FE774F" w:rsidRPr="0089434E">
        <w:rPr>
          <w:rFonts w:ascii="Times New Roman" w:eastAsia="Times New Roman" w:hAnsi="Times New Roman" w:cs="Times New Roman"/>
          <w:sz w:val="24"/>
          <w:szCs w:val="24"/>
          <w:lang w:val="en-GB" w:eastAsia="zh-CN"/>
        </w:rPr>
        <w:t xml:space="preserve">regional </w:t>
      </w:r>
      <w:r w:rsidRPr="0089434E">
        <w:rPr>
          <w:rFonts w:ascii="Times New Roman" w:eastAsia="Times New Roman" w:hAnsi="Times New Roman" w:cs="Times New Roman"/>
          <w:sz w:val="24"/>
          <w:szCs w:val="24"/>
          <w:lang w:val="en-GB" w:eastAsia="zh-CN"/>
        </w:rPr>
        <w:t xml:space="preserve">workshops, was held in 2018 to, inter alia, inform the collection of regional level information and data for the preparation of WOA II. </w:t>
      </w:r>
      <w:r w:rsidR="00735728" w:rsidRPr="0089434E">
        <w:rPr>
          <w:rFonts w:ascii="Times New Roman" w:eastAsia="Times New Roman" w:hAnsi="Times New Roman" w:cs="Times New Roman"/>
          <w:sz w:val="24"/>
          <w:szCs w:val="24"/>
          <w:lang w:val="en-GB" w:eastAsia="zh-CN"/>
        </w:rPr>
        <w:t>A</w:t>
      </w:r>
      <w:r w:rsidRPr="0089434E">
        <w:rPr>
          <w:rFonts w:ascii="Times New Roman" w:eastAsia="Times New Roman" w:hAnsi="Times New Roman" w:cs="Times New Roman"/>
          <w:sz w:val="24"/>
          <w:szCs w:val="24"/>
          <w:lang w:val="en-GB" w:eastAsia="zh-CN"/>
        </w:rPr>
        <w:t xml:space="preserve"> major contribution of the second round was that it </w:t>
      </w:r>
      <w:r w:rsidRPr="0089434E">
        <w:rPr>
          <w:rFonts w:ascii="Times New Roman" w:eastAsia="Times New Roman" w:hAnsi="Times New Roman" w:cs="Times New Roman"/>
          <w:sz w:val="24"/>
          <w:szCs w:val="24"/>
          <w:lang w:val="en-GB" w:eastAsia="zh-CN"/>
        </w:rPr>
        <w:lastRenderedPageBreak/>
        <w:t xml:space="preserve">provided an opportunity for the various writing teams to meet and </w:t>
      </w:r>
      <w:r w:rsidR="00FE774F" w:rsidRPr="0089434E">
        <w:rPr>
          <w:rFonts w:ascii="Times New Roman" w:eastAsia="Times New Roman" w:hAnsi="Times New Roman" w:cs="Times New Roman"/>
          <w:sz w:val="24"/>
          <w:szCs w:val="24"/>
          <w:lang w:val="en-GB" w:eastAsia="zh-CN"/>
        </w:rPr>
        <w:t xml:space="preserve">start </w:t>
      </w:r>
      <w:r w:rsidRPr="0089434E">
        <w:rPr>
          <w:rFonts w:ascii="Times New Roman" w:eastAsia="Times New Roman" w:hAnsi="Times New Roman" w:cs="Times New Roman"/>
          <w:sz w:val="24"/>
          <w:szCs w:val="24"/>
          <w:lang w:val="en-GB" w:eastAsia="zh-CN"/>
        </w:rPr>
        <w:t>prepar</w:t>
      </w:r>
      <w:r w:rsidR="00FE774F" w:rsidRPr="0089434E">
        <w:rPr>
          <w:rFonts w:ascii="Times New Roman" w:eastAsia="Times New Roman" w:hAnsi="Times New Roman" w:cs="Times New Roman"/>
          <w:sz w:val="24"/>
          <w:szCs w:val="24"/>
          <w:lang w:val="en-GB" w:eastAsia="zh-CN"/>
        </w:rPr>
        <w:t>ing</w:t>
      </w:r>
      <w:r w:rsidRPr="0089434E">
        <w:rPr>
          <w:rFonts w:ascii="Times New Roman" w:eastAsia="Times New Roman" w:hAnsi="Times New Roman" w:cs="Times New Roman"/>
          <w:sz w:val="24"/>
          <w:szCs w:val="24"/>
          <w:lang w:val="en-GB" w:eastAsia="zh-CN"/>
        </w:rPr>
        <w:t xml:space="preserve"> their chapters.</w:t>
      </w:r>
      <w:r w:rsidR="00B81B0E" w:rsidRPr="0089434E">
        <w:rPr>
          <w:rFonts w:ascii="Times New Roman" w:eastAsia="Times New Roman" w:hAnsi="Times New Roman" w:cs="Times New Roman"/>
          <w:sz w:val="24"/>
          <w:szCs w:val="24"/>
          <w:lang w:val="en-GB" w:eastAsia="zh-CN"/>
        </w:rPr>
        <w:t xml:space="preserve"> Guidelines and a draft agenda were developed for both rounds of workshops.</w:t>
      </w:r>
    </w:p>
    <w:p w14:paraId="7ACF9D95" w14:textId="0D1AC765" w:rsidR="00735728" w:rsidRDefault="00735728"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these regional workshops useful</w:t>
      </w:r>
      <w:r w:rsidR="00260E50">
        <w:rPr>
          <w:rFonts w:ascii="Times New Roman" w:hAnsi="Times New Roman" w:cs="Times New Roman"/>
          <w:sz w:val="24"/>
          <w:szCs w:val="24"/>
          <w:lang w:val="en-GB"/>
        </w:rPr>
        <w:t xml:space="preserve"> and relevant</w:t>
      </w:r>
      <w:r>
        <w:rPr>
          <w:rFonts w:ascii="Times New Roman" w:hAnsi="Times New Roman" w:cs="Times New Roman"/>
          <w:sz w:val="24"/>
          <w:szCs w:val="24"/>
          <w:lang w:val="en-GB"/>
        </w:rPr>
        <w:t>?</w:t>
      </w:r>
    </w:p>
    <w:p w14:paraId="66F0227E" w14:textId="135A2E98" w:rsidR="00735728"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If not, w</w:t>
      </w:r>
      <w:r w:rsidR="00735728">
        <w:rPr>
          <w:rFonts w:ascii="Times New Roman" w:hAnsi="Times New Roman" w:cs="Times New Roman"/>
          <w:sz w:val="24"/>
          <w:szCs w:val="24"/>
          <w:lang w:val="en-GB"/>
        </w:rPr>
        <w:t>hat might have been done to make these regional workshops more useful</w:t>
      </w:r>
      <w:r w:rsidR="00691E0E">
        <w:rPr>
          <w:rFonts w:ascii="Times New Roman" w:hAnsi="Times New Roman" w:cs="Times New Roman"/>
          <w:sz w:val="24"/>
          <w:szCs w:val="24"/>
          <w:lang w:val="en-GB"/>
        </w:rPr>
        <w:t xml:space="preserve"> and relevant</w:t>
      </w:r>
      <w:r w:rsidR="005E302D">
        <w:rPr>
          <w:rFonts w:ascii="Times New Roman" w:hAnsi="Times New Roman" w:cs="Times New Roman"/>
          <w:sz w:val="24"/>
          <w:szCs w:val="24"/>
          <w:lang w:val="en-GB"/>
        </w:rPr>
        <w:t>? For example, how could the amount, structure and focus of these regional workshops have been improved?</w:t>
      </w:r>
    </w:p>
    <w:p w14:paraId="3CF7410B" w14:textId="23041C96" w:rsidR="00B81B0E" w:rsidRDefault="00B81B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 guidelines and draft agenda for regional workshops useful</w:t>
      </w:r>
      <w:r w:rsidR="00260E50">
        <w:rPr>
          <w:rFonts w:ascii="Times New Roman" w:hAnsi="Times New Roman" w:cs="Times New Roman"/>
          <w:sz w:val="24"/>
          <w:szCs w:val="24"/>
          <w:lang w:val="en-GB"/>
        </w:rPr>
        <w:t xml:space="preserve"> and relevant</w:t>
      </w:r>
      <w:r>
        <w:rPr>
          <w:rFonts w:ascii="Times New Roman" w:hAnsi="Times New Roman" w:cs="Times New Roman"/>
          <w:sz w:val="24"/>
          <w:szCs w:val="24"/>
          <w:lang w:val="en-GB"/>
        </w:rPr>
        <w:t>?</w:t>
      </w:r>
    </w:p>
    <w:p w14:paraId="04337010" w14:textId="05BA3F89" w:rsidR="00735728" w:rsidRPr="00E4261E" w:rsidRDefault="00792C7D"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If not, w</w:t>
      </w:r>
      <w:r w:rsidR="00B81B0E">
        <w:rPr>
          <w:rFonts w:ascii="Times New Roman" w:hAnsi="Times New Roman" w:cs="Times New Roman"/>
          <w:sz w:val="24"/>
          <w:szCs w:val="24"/>
          <w:lang w:val="en-GB"/>
        </w:rPr>
        <w:t>hat might have been done to make the guidelines and draft agenda for regional worksh</w:t>
      </w:r>
      <w:r w:rsidR="00340452">
        <w:rPr>
          <w:rFonts w:ascii="Times New Roman" w:hAnsi="Times New Roman" w:cs="Times New Roman"/>
          <w:sz w:val="24"/>
          <w:szCs w:val="24"/>
          <w:lang w:val="en-GB"/>
        </w:rPr>
        <w:t>o</w:t>
      </w:r>
      <w:r w:rsidR="00B81B0E">
        <w:rPr>
          <w:rFonts w:ascii="Times New Roman" w:hAnsi="Times New Roman" w:cs="Times New Roman"/>
          <w:sz w:val="24"/>
          <w:szCs w:val="24"/>
          <w:lang w:val="en-GB"/>
        </w:rPr>
        <w:t>ps more useful</w:t>
      </w:r>
      <w:r>
        <w:rPr>
          <w:rFonts w:ascii="Times New Roman" w:hAnsi="Times New Roman" w:cs="Times New Roman"/>
          <w:sz w:val="24"/>
          <w:szCs w:val="24"/>
          <w:lang w:val="en-GB"/>
        </w:rPr>
        <w:t xml:space="preserve"> and relevant</w:t>
      </w:r>
      <w:r w:rsidR="00B81B0E">
        <w:rPr>
          <w:rFonts w:ascii="Times New Roman" w:hAnsi="Times New Roman" w:cs="Times New Roman"/>
          <w:sz w:val="24"/>
          <w:szCs w:val="24"/>
          <w:lang w:val="en-GB"/>
        </w:rPr>
        <w:t>?</w:t>
      </w:r>
    </w:p>
    <w:p w14:paraId="58799F7E" w14:textId="73E3E570" w:rsidR="00D024B1" w:rsidRPr="001921A7" w:rsidRDefault="00B81B0E"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89434E">
        <w:rPr>
          <w:rFonts w:ascii="Times New Roman" w:eastAsia="Times New Roman" w:hAnsi="Times New Roman" w:cs="Times New Roman"/>
          <w:sz w:val="24"/>
          <w:szCs w:val="24"/>
          <w:lang w:val="en-GB" w:eastAsia="zh-CN"/>
        </w:rPr>
        <w:t>articipants in regional workshops during the second cycle were selected based on nominations of experts received from Member States of the United Nations, members of United Nations specialized agencies</w:t>
      </w:r>
      <w:r w:rsidR="00067652" w:rsidRPr="0089434E">
        <w:rPr>
          <w:rFonts w:ascii="Times New Roman" w:eastAsia="Times New Roman" w:hAnsi="Times New Roman" w:cs="Times New Roman"/>
          <w:sz w:val="24"/>
          <w:szCs w:val="24"/>
          <w:lang w:val="en-GB" w:eastAsia="zh-CN"/>
        </w:rPr>
        <w:t xml:space="preserve">, as well as </w:t>
      </w:r>
      <w:r w:rsidRPr="0089434E">
        <w:rPr>
          <w:rFonts w:ascii="Times New Roman" w:eastAsia="Times New Roman" w:hAnsi="Times New Roman" w:cs="Times New Roman"/>
          <w:sz w:val="24"/>
          <w:szCs w:val="24"/>
          <w:lang w:val="en-GB" w:eastAsia="zh-CN"/>
        </w:rPr>
        <w:t xml:space="preserve">relevant organizations, </w:t>
      </w:r>
      <w:r w:rsidR="00D32EFC" w:rsidRPr="0089434E">
        <w:rPr>
          <w:rFonts w:ascii="Times New Roman" w:eastAsia="Times New Roman" w:hAnsi="Times New Roman" w:cs="Times New Roman"/>
          <w:sz w:val="24"/>
          <w:szCs w:val="24"/>
          <w:lang w:val="en-GB" w:eastAsia="zh-CN"/>
        </w:rPr>
        <w:t>funds</w:t>
      </w:r>
      <w:r w:rsidRPr="0089434E">
        <w:rPr>
          <w:rFonts w:ascii="Times New Roman" w:eastAsia="Times New Roman" w:hAnsi="Times New Roman" w:cs="Times New Roman"/>
          <w:sz w:val="24"/>
          <w:szCs w:val="24"/>
          <w:lang w:val="en-GB" w:eastAsia="zh-CN"/>
        </w:rPr>
        <w:t xml:space="preserve">, programmes and bodies within the United Nations system. Priority was given to nominees from the host country and from States from the region in question, including with regard to the funding of experts. </w:t>
      </w:r>
      <w:r w:rsidR="00340452" w:rsidRPr="0089434E">
        <w:rPr>
          <w:rFonts w:ascii="Times New Roman" w:eastAsia="Times New Roman" w:hAnsi="Times New Roman" w:cs="Times New Roman"/>
          <w:sz w:val="24"/>
          <w:szCs w:val="24"/>
          <w:lang w:val="en-GB" w:eastAsia="zh-CN"/>
        </w:rPr>
        <w:t>In</w:t>
      </w:r>
      <w:r w:rsidR="00D024B1" w:rsidRPr="0089434E">
        <w:rPr>
          <w:rFonts w:ascii="Times New Roman" w:eastAsia="Times New Roman" w:hAnsi="Times New Roman" w:cs="Times New Roman"/>
          <w:sz w:val="24"/>
          <w:szCs w:val="24"/>
          <w:lang w:val="en-GB" w:eastAsia="zh-CN"/>
        </w:rPr>
        <w:t xml:space="preserve"> the first round</w:t>
      </w:r>
      <w:r w:rsidR="00340452" w:rsidRPr="0089434E">
        <w:rPr>
          <w:rFonts w:ascii="Times New Roman" w:eastAsia="Times New Roman" w:hAnsi="Times New Roman" w:cs="Times New Roman"/>
          <w:sz w:val="24"/>
          <w:szCs w:val="24"/>
          <w:lang w:val="en-GB" w:eastAsia="zh-CN"/>
        </w:rPr>
        <w:t>, the number of participants in each workshop</w:t>
      </w:r>
      <w:r w:rsidR="00D024B1" w:rsidRPr="0089434E">
        <w:rPr>
          <w:rFonts w:ascii="Times New Roman" w:eastAsia="Times New Roman" w:hAnsi="Times New Roman" w:cs="Times New Roman"/>
          <w:sz w:val="24"/>
          <w:szCs w:val="24"/>
          <w:lang w:val="en-GB" w:eastAsia="zh-CN"/>
        </w:rPr>
        <w:t xml:space="preserve"> ranged from 17 to 51, with an average of 35</w:t>
      </w:r>
      <w:r w:rsidR="005E302D" w:rsidRPr="0089434E">
        <w:rPr>
          <w:rFonts w:ascii="Times New Roman" w:eastAsia="Times New Roman" w:hAnsi="Times New Roman" w:cs="Times New Roman"/>
          <w:sz w:val="24"/>
          <w:szCs w:val="24"/>
          <w:lang w:val="en-GB" w:eastAsia="zh-CN"/>
        </w:rPr>
        <w:t xml:space="preserve"> </w:t>
      </w:r>
      <w:r w:rsidR="00D024B1" w:rsidRPr="0089434E">
        <w:rPr>
          <w:rFonts w:ascii="Times New Roman" w:eastAsia="Times New Roman" w:hAnsi="Times New Roman" w:cs="Times New Roman"/>
          <w:sz w:val="24"/>
          <w:szCs w:val="24"/>
          <w:lang w:val="en-GB" w:eastAsia="zh-CN"/>
        </w:rPr>
        <w:t>participants per workshop.</w:t>
      </w:r>
      <w:r w:rsidR="005E302D" w:rsidRPr="0089434E">
        <w:rPr>
          <w:rFonts w:ascii="Times New Roman" w:eastAsia="Times New Roman" w:hAnsi="Times New Roman" w:cs="Times New Roman"/>
          <w:sz w:val="24"/>
          <w:szCs w:val="24"/>
          <w:lang w:val="en-GB" w:eastAsia="zh-CN"/>
        </w:rPr>
        <w:t xml:space="preserve"> </w:t>
      </w:r>
      <w:r w:rsidR="00A13F37" w:rsidRPr="0089434E">
        <w:rPr>
          <w:rFonts w:ascii="Times New Roman" w:eastAsia="Times New Roman" w:hAnsi="Times New Roman" w:cs="Times New Roman"/>
          <w:sz w:val="24"/>
          <w:szCs w:val="24"/>
          <w:lang w:val="en-GB" w:eastAsia="zh-CN"/>
        </w:rPr>
        <w:t xml:space="preserve">The percentage of female participants </w:t>
      </w:r>
      <w:r w:rsidR="00340452" w:rsidRPr="0089434E">
        <w:rPr>
          <w:rFonts w:ascii="Times New Roman" w:eastAsia="Times New Roman" w:hAnsi="Times New Roman" w:cs="Times New Roman"/>
          <w:sz w:val="24"/>
          <w:szCs w:val="24"/>
          <w:lang w:val="en-GB" w:eastAsia="zh-CN"/>
        </w:rPr>
        <w:t xml:space="preserve">in each workshop </w:t>
      </w:r>
      <w:r w:rsidR="00A13F37" w:rsidRPr="0089434E">
        <w:rPr>
          <w:rFonts w:ascii="Times New Roman" w:eastAsia="Times New Roman" w:hAnsi="Times New Roman" w:cs="Times New Roman"/>
          <w:sz w:val="24"/>
          <w:szCs w:val="24"/>
          <w:lang w:val="en-GB" w:eastAsia="zh-CN"/>
        </w:rPr>
        <w:t>ranged from 29 to 52 per cent, with the average being 35.8</w:t>
      </w:r>
      <w:r w:rsidR="004504F7" w:rsidRPr="0089434E">
        <w:rPr>
          <w:rFonts w:ascii="Times New Roman" w:eastAsia="Times New Roman" w:hAnsi="Times New Roman" w:cs="Times New Roman"/>
          <w:sz w:val="24"/>
          <w:szCs w:val="24"/>
          <w:lang w:val="en-GB" w:eastAsia="zh-CN"/>
        </w:rPr>
        <w:t xml:space="preserve"> per cent</w:t>
      </w:r>
      <w:r w:rsidR="00A13F37" w:rsidRPr="0089434E">
        <w:rPr>
          <w:rFonts w:ascii="Times New Roman" w:eastAsia="Times New Roman" w:hAnsi="Times New Roman" w:cs="Times New Roman"/>
          <w:sz w:val="24"/>
          <w:szCs w:val="24"/>
          <w:lang w:val="en-GB" w:eastAsia="zh-CN"/>
        </w:rPr>
        <w:t>.</w:t>
      </w:r>
      <w:r w:rsidR="005425E0" w:rsidRPr="0089434E">
        <w:rPr>
          <w:rFonts w:ascii="Times New Roman" w:eastAsia="Times New Roman" w:hAnsi="Times New Roman" w:cs="Times New Roman"/>
          <w:sz w:val="24"/>
          <w:szCs w:val="24"/>
          <w:lang w:val="en-GB" w:eastAsia="zh-CN"/>
        </w:rPr>
        <w:t xml:space="preserve"> In the second round, the number of</w:t>
      </w:r>
      <w:r w:rsidR="004504F7" w:rsidRPr="0089434E">
        <w:rPr>
          <w:rFonts w:ascii="Times New Roman" w:eastAsia="Times New Roman" w:hAnsi="Times New Roman" w:cs="Times New Roman"/>
          <w:sz w:val="24"/>
          <w:szCs w:val="24"/>
          <w:lang w:val="en-GB" w:eastAsia="zh-CN"/>
        </w:rPr>
        <w:t xml:space="preserve"> participants </w:t>
      </w:r>
      <w:r w:rsidR="00340452" w:rsidRPr="0089434E">
        <w:rPr>
          <w:rFonts w:ascii="Times New Roman" w:eastAsia="Times New Roman" w:hAnsi="Times New Roman" w:cs="Times New Roman"/>
          <w:sz w:val="24"/>
          <w:szCs w:val="24"/>
          <w:lang w:val="en-GB" w:eastAsia="zh-CN"/>
        </w:rPr>
        <w:t xml:space="preserve">in each workshop </w:t>
      </w:r>
      <w:r w:rsidR="004504F7" w:rsidRPr="0089434E">
        <w:rPr>
          <w:rFonts w:ascii="Times New Roman" w:eastAsia="Times New Roman" w:hAnsi="Times New Roman" w:cs="Times New Roman"/>
          <w:sz w:val="24"/>
          <w:szCs w:val="24"/>
          <w:lang w:val="en-GB" w:eastAsia="zh-CN"/>
        </w:rPr>
        <w:t>ranged from 34 to 86, with an average of 53</w:t>
      </w:r>
      <w:r w:rsidR="00340452" w:rsidRPr="0089434E">
        <w:rPr>
          <w:rFonts w:ascii="Times New Roman" w:eastAsia="Times New Roman" w:hAnsi="Times New Roman" w:cs="Times New Roman"/>
          <w:sz w:val="24"/>
          <w:szCs w:val="24"/>
          <w:lang w:val="en-GB" w:eastAsia="zh-CN"/>
        </w:rPr>
        <w:t xml:space="preserve"> </w:t>
      </w:r>
      <w:r w:rsidR="004504F7" w:rsidRPr="0089434E">
        <w:rPr>
          <w:rFonts w:ascii="Times New Roman" w:eastAsia="Times New Roman" w:hAnsi="Times New Roman" w:cs="Times New Roman"/>
          <w:sz w:val="24"/>
          <w:szCs w:val="24"/>
          <w:lang w:val="en-GB" w:eastAsia="zh-CN"/>
        </w:rPr>
        <w:t>participants per workshop. The percentage of female participants ranged from 28 to 50 per cent, with the average being 36.7</w:t>
      </w:r>
      <w:r w:rsidR="005E302D" w:rsidRPr="0089434E">
        <w:rPr>
          <w:rFonts w:ascii="Times New Roman" w:eastAsia="Times New Roman" w:hAnsi="Times New Roman" w:cs="Times New Roman"/>
          <w:sz w:val="24"/>
          <w:szCs w:val="24"/>
          <w:lang w:val="en-GB" w:eastAsia="zh-CN"/>
        </w:rPr>
        <w:t xml:space="preserve"> per cent</w:t>
      </w:r>
      <w:r w:rsidR="004504F7" w:rsidRPr="0089434E">
        <w:rPr>
          <w:rFonts w:ascii="Times New Roman" w:eastAsia="Times New Roman" w:hAnsi="Times New Roman" w:cs="Times New Roman"/>
          <w:sz w:val="24"/>
          <w:szCs w:val="24"/>
          <w:lang w:val="en-GB" w:eastAsia="zh-CN"/>
        </w:rPr>
        <w:t>.</w:t>
      </w:r>
      <w:r w:rsidR="00340452" w:rsidRPr="0089434E">
        <w:rPr>
          <w:rFonts w:ascii="Times New Roman" w:eastAsia="Times New Roman" w:hAnsi="Times New Roman" w:cs="Times New Roman"/>
          <w:sz w:val="24"/>
          <w:szCs w:val="24"/>
          <w:lang w:val="en-GB" w:eastAsia="zh-CN"/>
        </w:rPr>
        <w:t xml:space="preserve"> The late scheduling of regional workshops was identified as one of the main challenges that had constrained attendance by some of the experts during the second cycle, including the lead members for the chapters tabled for discussion (A/74/315, para. 8)</w:t>
      </w:r>
      <w:r w:rsidR="000F2E84" w:rsidRPr="0089434E">
        <w:rPr>
          <w:rFonts w:ascii="Times New Roman" w:eastAsia="Times New Roman" w:hAnsi="Times New Roman" w:cs="Times New Roman"/>
          <w:sz w:val="24"/>
          <w:szCs w:val="24"/>
          <w:lang w:val="en-GB" w:eastAsia="zh-CN"/>
        </w:rPr>
        <w:t>.</w:t>
      </w:r>
    </w:p>
    <w:p w14:paraId="5431CE1E" w14:textId="175A0633" w:rsidR="00D10198" w:rsidRDefault="00D10198"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 process on the nomination and selection of participants in regional workshops during the second cycle suitable and adequate</w:t>
      </w:r>
      <w:r w:rsidRPr="00F22461">
        <w:rPr>
          <w:rFonts w:ascii="Times New Roman" w:hAnsi="Times New Roman" w:cs="Times New Roman"/>
          <w:sz w:val="24"/>
          <w:szCs w:val="24"/>
          <w:lang w:val="en-GB"/>
        </w:rPr>
        <w:t>?</w:t>
      </w:r>
    </w:p>
    <w:p w14:paraId="647C117B" w14:textId="70974739" w:rsidR="00D10198"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D10198">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D10198">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D10198">
        <w:rPr>
          <w:rFonts w:ascii="Times New Roman" w:hAnsi="Times New Roman" w:cs="Times New Roman"/>
          <w:sz w:val="24"/>
          <w:szCs w:val="24"/>
          <w:lang w:val="en-GB"/>
        </w:rPr>
        <w:t xml:space="preserve"> the nomination and selection of participants in regional workshops?</w:t>
      </w:r>
    </w:p>
    <w:p w14:paraId="7E2A7784" w14:textId="73E5578A" w:rsidR="00761FCA" w:rsidRPr="00F22461" w:rsidRDefault="00D10198"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the numbers of </w:t>
      </w:r>
      <w:r w:rsidR="00761FCA" w:rsidRPr="00F22461">
        <w:rPr>
          <w:rFonts w:ascii="Times New Roman" w:hAnsi="Times New Roman" w:cs="Times New Roman"/>
          <w:sz w:val="24"/>
          <w:szCs w:val="24"/>
          <w:lang w:val="en-GB"/>
        </w:rPr>
        <w:t>participants in regional workshop</w:t>
      </w:r>
      <w:r>
        <w:rPr>
          <w:rFonts w:ascii="Times New Roman" w:hAnsi="Times New Roman" w:cs="Times New Roman"/>
          <w:sz w:val="24"/>
          <w:szCs w:val="24"/>
          <w:lang w:val="en-GB"/>
        </w:rPr>
        <w:t>s during the second cycle suitable</w:t>
      </w:r>
      <w:r w:rsidR="00761FCA" w:rsidRPr="00F22461">
        <w:rPr>
          <w:rFonts w:ascii="Times New Roman" w:hAnsi="Times New Roman" w:cs="Times New Roman"/>
          <w:sz w:val="24"/>
          <w:szCs w:val="24"/>
          <w:lang w:val="en-GB"/>
        </w:rPr>
        <w:t>?</w:t>
      </w:r>
    </w:p>
    <w:p w14:paraId="69ACE30D" w14:textId="1EA6228C" w:rsidR="00C551DF" w:rsidRPr="00F22461"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to further </w:t>
      </w:r>
      <w:r w:rsidR="00D10198">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C551DF" w:rsidRPr="00F224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C551DF" w:rsidRPr="00F22461">
        <w:rPr>
          <w:rFonts w:ascii="Times New Roman" w:hAnsi="Times New Roman" w:cs="Times New Roman"/>
          <w:sz w:val="24"/>
          <w:szCs w:val="24"/>
          <w:lang w:val="en-GB"/>
        </w:rPr>
        <w:t xml:space="preserve">participation </w:t>
      </w:r>
      <w:r w:rsidR="00D10198">
        <w:rPr>
          <w:rFonts w:ascii="Times New Roman" w:hAnsi="Times New Roman" w:cs="Times New Roman"/>
          <w:sz w:val="24"/>
          <w:szCs w:val="24"/>
          <w:lang w:val="en-GB"/>
        </w:rPr>
        <w:t>in regional workshops</w:t>
      </w:r>
      <w:r w:rsidR="00C551DF" w:rsidRPr="00F22461">
        <w:rPr>
          <w:rFonts w:ascii="Times New Roman" w:hAnsi="Times New Roman" w:cs="Times New Roman"/>
          <w:sz w:val="24"/>
          <w:szCs w:val="24"/>
          <w:lang w:val="en-GB"/>
        </w:rPr>
        <w:t>?</w:t>
      </w:r>
    </w:p>
    <w:p w14:paraId="36863C95" w14:textId="60935AF5" w:rsidR="00761FCA"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761FCA" w:rsidRPr="00F22461">
        <w:rPr>
          <w:rFonts w:ascii="Times New Roman" w:hAnsi="Times New Roman" w:cs="Times New Roman"/>
          <w:sz w:val="24"/>
          <w:szCs w:val="24"/>
          <w:lang w:val="en-GB"/>
        </w:rPr>
        <w:t xml:space="preserve"> to </w:t>
      </w:r>
      <w:r>
        <w:rPr>
          <w:rFonts w:ascii="Times New Roman" w:hAnsi="Times New Roman" w:cs="Times New Roman"/>
          <w:sz w:val="24"/>
          <w:szCs w:val="24"/>
          <w:lang w:val="en-GB"/>
        </w:rPr>
        <w:t>achieving</w:t>
      </w:r>
      <w:r w:rsidR="00D10198" w:rsidRPr="00F22461">
        <w:rPr>
          <w:rFonts w:ascii="Times New Roman" w:hAnsi="Times New Roman" w:cs="Times New Roman"/>
          <w:sz w:val="24"/>
          <w:szCs w:val="24"/>
          <w:lang w:val="en-GB"/>
        </w:rPr>
        <w:t xml:space="preserve"> </w:t>
      </w:r>
      <w:r w:rsidR="00761FCA" w:rsidRPr="00F22461">
        <w:rPr>
          <w:rFonts w:ascii="Times New Roman" w:hAnsi="Times New Roman" w:cs="Times New Roman"/>
          <w:sz w:val="24"/>
          <w:szCs w:val="24"/>
          <w:lang w:val="en-GB"/>
        </w:rPr>
        <w:t>gender balance among participants in the regional workshop</w:t>
      </w:r>
      <w:r w:rsidR="00C551DF" w:rsidRPr="00F22461">
        <w:rPr>
          <w:rFonts w:ascii="Times New Roman" w:hAnsi="Times New Roman" w:cs="Times New Roman"/>
          <w:sz w:val="24"/>
          <w:szCs w:val="24"/>
          <w:lang w:val="en-GB"/>
        </w:rPr>
        <w:t>s?</w:t>
      </w:r>
    </w:p>
    <w:p w14:paraId="2A14B745" w14:textId="1B0E2601" w:rsidR="00F5423C" w:rsidRPr="00677147"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340452" w:rsidRPr="001921A7">
        <w:rPr>
          <w:rFonts w:ascii="Times New Roman" w:hAnsi="Times New Roman" w:cs="Times New Roman"/>
          <w:sz w:val="24"/>
          <w:szCs w:val="24"/>
          <w:lang w:val="en-GB"/>
        </w:rPr>
        <w:t xml:space="preserve"> to </w:t>
      </w:r>
      <w:r w:rsidR="00D10198">
        <w:rPr>
          <w:rFonts w:ascii="Times New Roman" w:hAnsi="Times New Roman" w:cs="Times New Roman"/>
          <w:sz w:val="24"/>
          <w:szCs w:val="24"/>
          <w:lang w:val="en-GB"/>
        </w:rPr>
        <w:t>avoid</w:t>
      </w:r>
      <w:r>
        <w:rPr>
          <w:rFonts w:ascii="Times New Roman" w:hAnsi="Times New Roman" w:cs="Times New Roman"/>
          <w:sz w:val="24"/>
          <w:szCs w:val="24"/>
          <w:lang w:val="en-GB"/>
        </w:rPr>
        <w:t>ing</w:t>
      </w:r>
      <w:r w:rsidR="00D10198">
        <w:rPr>
          <w:rFonts w:ascii="Times New Roman" w:hAnsi="Times New Roman" w:cs="Times New Roman"/>
          <w:sz w:val="24"/>
          <w:szCs w:val="24"/>
          <w:lang w:val="en-GB"/>
        </w:rPr>
        <w:t xml:space="preserve"> or address</w:t>
      </w:r>
      <w:r>
        <w:rPr>
          <w:rFonts w:ascii="Times New Roman" w:hAnsi="Times New Roman" w:cs="Times New Roman"/>
          <w:sz w:val="24"/>
          <w:szCs w:val="24"/>
          <w:lang w:val="en-GB"/>
        </w:rPr>
        <w:t>ing</w:t>
      </w:r>
      <w:r w:rsidR="00D10198">
        <w:rPr>
          <w:rFonts w:ascii="Times New Roman" w:hAnsi="Times New Roman" w:cs="Times New Roman"/>
          <w:sz w:val="24"/>
          <w:szCs w:val="24"/>
          <w:lang w:val="en-GB"/>
        </w:rPr>
        <w:t xml:space="preserve"> the challenges posed by the late scheduling of regional workshops?</w:t>
      </w:r>
    </w:p>
    <w:p w14:paraId="5BB4F25E" w14:textId="3C9A0791" w:rsidR="00D612EC" w:rsidRPr="0089434E" w:rsidRDefault="00D612EC"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Capacity-building was undertaken as part of the regional workshops</w:t>
      </w:r>
      <w:r w:rsidR="00D10198" w:rsidRPr="0089434E">
        <w:rPr>
          <w:rFonts w:ascii="Times New Roman" w:eastAsia="Times New Roman" w:hAnsi="Times New Roman" w:cs="Times New Roman"/>
          <w:sz w:val="24"/>
          <w:szCs w:val="24"/>
          <w:lang w:val="en-GB" w:eastAsia="zh-CN"/>
        </w:rPr>
        <w:t xml:space="preserve"> during the second cycle</w:t>
      </w:r>
      <w:r w:rsidRPr="0089434E">
        <w:rPr>
          <w:rFonts w:ascii="Times New Roman" w:eastAsia="Times New Roman" w:hAnsi="Times New Roman" w:cs="Times New Roman"/>
          <w:sz w:val="24"/>
          <w:szCs w:val="24"/>
          <w:lang w:val="en-GB" w:eastAsia="zh-CN"/>
        </w:rPr>
        <w:t xml:space="preserve"> through presentations and discussions on inter alia, theory and practice related to integrated assessments.</w:t>
      </w:r>
    </w:p>
    <w:p w14:paraId="47C2F15D" w14:textId="4950B525" w:rsidR="00D612EC" w:rsidRDefault="00D10198"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w:t>
      </w:r>
      <w:r w:rsidRPr="0089434E">
        <w:rPr>
          <w:rFonts w:ascii="Times New Roman" w:eastAsia="Times New Roman" w:hAnsi="Times New Roman" w:cs="Times New Roman"/>
          <w:sz w:val="24"/>
          <w:szCs w:val="24"/>
          <w:lang w:val="en-GB" w:eastAsia="zh-CN"/>
        </w:rPr>
        <w:t xml:space="preserve"> the capacity</w:t>
      </w:r>
      <w:r>
        <w:rPr>
          <w:rFonts w:ascii="Times New Roman" w:hAnsi="Times New Roman" w:cs="Times New Roman"/>
          <w:sz w:val="24"/>
          <w:szCs w:val="24"/>
          <w:lang w:val="en-GB"/>
        </w:rPr>
        <w:t xml:space="preserve">-building elements of the regional workshops during the second cycle </w:t>
      </w:r>
      <w:r w:rsidR="00067652">
        <w:rPr>
          <w:rFonts w:ascii="Times New Roman" w:hAnsi="Times New Roman" w:cs="Times New Roman"/>
          <w:sz w:val="24"/>
          <w:szCs w:val="24"/>
          <w:lang w:val="en-GB"/>
        </w:rPr>
        <w:t>useful</w:t>
      </w:r>
      <w:r w:rsidR="00260E50">
        <w:rPr>
          <w:rFonts w:ascii="Times New Roman" w:hAnsi="Times New Roman" w:cs="Times New Roman"/>
          <w:sz w:val="24"/>
          <w:szCs w:val="24"/>
          <w:lang w:val="en-GB"/>
        </w:rPr>
        <w:t xml:space="preserve"> and relevant</w:t>
      </w:r>
      <w:r w:rsidR="00D612EC">
        <w:rPr>
          <w:rFonts w:ascii="Times New Roman" w:hAnsi="Times New Roman" w:cs="Times New Roman"/>
          <w:sz w:val="24"/>
          <w:szCs w:val="24"/>
          <w:lang w:val="en-GB"/>
        </w:rPr>
        <w:t>?</w:t>
      </w:r>
    </w:p>
    <w:p w14:paraId="7F25FC53" w14:textId="6462504E" w:rsidR="00F5423C" w:rsidRPr="00677147" w:rsidRDefault="00260E50" w:rsidP="002D0BD4">
      <w:pPr>
        <w:pStyle w:val="ListParagraph"/>
        <w:numPr>
          <w:ilvl w:val="0"/>
          <w:numId w:val="1"/>
        </w:numPr>
        <w:spacing w:after="0" w:line="240" w:lineRule="auto"/>
        <w:ind w:left="720"/>
        <w:jc w:val="both"/>
      </w:pPr>
      <w:r>
        <w:rPr>
          <w:rFonts w:ascii="Times New Roman" w:hAnsi="Times New Roman" w:cs="Times New Roman"/>
          <w:sz w:val="24"/>
          <w:szCs w:val="24"/>
          <w:lang w:val="en-GB"/>
        </w:rPr>
        <w:t>Could you provide any suggestions with a view</w:t>
      </w:r>
      <w:r w:rsidR="00067652">
        <w:rPr>
          <w:rFonts w:ascii="Times New Roman" w:hAnsi="Times New Roman" w:cs="Times New Roman"/>
          <w:sz w:val="24"/>
          <w:szCs w:val="24"/>
          <w:lang w:val="en-GB"/>
        </w:rPr>
        <w:t xml:space="preserve"> to mak</w:t>
      </w:r>
      <w:r>
        <w:rPr>
          <w:rFonts w:ascii="Times New Roman" w:hAnsi="Times New Roman" w:cs="Times New Roman"/>
          <w:sz w:val="24"/>
          <w:szCs w:val="24"/>
          <w:lang w:val="en-GB"/>
        </w:rPr>
        <w:t>ing</w:t>
      </w:r>
      <w:r w:rsidR="00067652">
        <w:rPr>
          <w:rFonts w:ascii="Times New Roman" w:hAnsi="Times New Roman" w:cs="Times New Roman"/>
          <w:sz w:val="24"/>
          <w:szCs w:val="24"/>
          <w:lang w:val="en-GB"/>
        </w:rPr>
        <w:t xml:space="preserve"> the regional workshops more useful </w:t>
      </w:r>
      <w:r w:rsidR="00691E0E">
        <w:rPr>
          <w:rFonts w:ascii="Times New Roman" w:hAnsi="Times New Roman" w:cs="Times New Roman"/>
          <w:sz w:val="24"/>
          <w:szCs w:val="24"/>
          <w:lang w:val="en-GB"/>
        </w:rPr>
        <w:t xml:space="preserve">and relevant </w:t>
      </w:r>
      <w:r w:rsidR="00067652">
        <w:rPr>
          <w:rFonts w:ascii="Times New Roman" w:hAnsi="Times New Roman" w:cs="Times New Roman"/>
          <w:sz w:val="24"/>
          <w:szCs w:val="24"/>
          <w:lang w:val="en-GB"/>
        </w:rPr>
        <w:t>for capacity-building?</w:t>
      </w:r>
    </w:p>
    <w:p w14:paraId="4D6389BB" w14:textId="77777777" w:rsidR="00677147" w:rsidRDefault="00677147" w:rsidP="00677147">
      <w:pPr>
        <w:pStyle w:val="ListParagraph"/>
        <w:spacing w:after="0" w:line="240" w:lineRule="auto"/>
        <w:jc w:val="both"/>
      </w:pPr>
    </w:p>
    <w:p w14:paraId="1F4CAFFF" w14:textId="7EA7AE36" w:rsidR="00F5423C" w:rsidRPr="00677147" w:rsidRDefault="00850B49" w:rsidP="00677147">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lastRenderedPageBreak/>
        <w:t>Interactions with other ocean-related processes</w:t>
      </w:r>
    </w:p>
    <w:p w14:paraId="3980F4EB" w14:textId="1B01AB1E" w:rsidR="00840D93" w:rsidRPr="0089434E" w:rsidRDefault="00840D93"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The General Assembly, in its resolution 70/235</w:t>
      </w:r>
      <w:r w:rsidR="00E9516B"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 xml:space="preserve"> recalled the importance of ensuring that assessments, such as those prepared under the Intergovernmental Panel on Climate Change</w:t>
      </w:r>
      <w:r w:rsidR="00F9378C" w:rsidRPr="0089434E">
        <w:rPr>
          <w:rFonts w:ascii="Times New Roman" w:eastAsia="Times New Roman" w:hAnsi="Times New Roman" w:cs="Times New Roman"/>
          <w:sz w:val="24"/>
          <w:szCs w:val="24"/>
          <w:lang w:val="en-GB" w:eastAsia="zh-CN"/>
        </w:rPr>
        <w:t xml:space="preserve"> (IPCC)</w:t>
      </w:r>
      <w:r w:rsidRPr="0089434E">
        <w:rPr>
          <w:rFonts w:ascii="Times New Roman" w:eastAsia="Times New Roman" w:hAnsi="Times New Roman" w:cs="Times New Roman"/>
          <w:sz w:val="24"/>
          <w:szCs w:val="24"/>
          <w:lang w:val="en-GB" w:eastAsia="zh-CN"/>
        </w:rPr>
        <w:t>, the Intergovernmental Science-Policy Platform on Biodiversity and Ecosystem Services</w:t>
      </w:r>
      <w:r w:rsidR="00F9378C" w:rsidRPr="0089434E">
        <w:rPr>
          <w:rFonts w:ascii="Times New Roman" w:eastAsia="Times New Roman" w:hAnsi="Times New Roman" w:cs="Times New Roman"/>
          <w:sz w:val="24"/>
          <w:szCs w:val="24"/>
          <w:lang w:val="en-GB" w:eastAsia="zh-CN"/>
        </w:rPr>
        <w:t xml:space="preserve"> (IPBES)</w:t>
      </w:r>
      <w:r w:rsidRPr="0089434E">
        <w:rPr>
          <w:rFonts w:ascii="Times New Roman" w:eastAsia="Times New Roman" w:hAnsi="Times New Roman" w:cs="Times New Roman"/>
          <w:sz w:val="24"/>
          <w:szCs w:val="24"/>
          <w:lang w:val="en-GB" w:eastAsia="zh-CN"/>
        </w:rPr>
        <w:t xml:space="preserve"> and the Regular Process, support one another and avoid unnecessary duplication, and the importance of taking into account assessments at the regional level</w:t>
      </w:r>
      <w:r w:rsidR="00F9378C" w:rsidRPr="0089434E">
        <w:rPr>
          <w:rFonts w:ascii="Times New Roman" w:eastAsia="Times New Roman" w:hAnsi="Times New Roman" w:cs="Times New Roman"/>
          <w:sz w:val="24"/>
          <w:szCs w:val="24"/>
          <w:lang w:val="en-GB" w:eastAsia="zh-CN"/>
        </w:rPr>
        <w:t>.</w:t>
      </w:r>
    </w:p>
    <w:p w14:paraId="29AEB86D" w14:textId="2A12540B" w:rsidR="00F9378C" w:rsidRPr="00F22461" w:rsidRDefault="00197025"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How did you find the interactions between the Regular Process and other ocean-related processes</w:t>
      </w:r>
      <w:r w:rsidR="00677147">
        <w:rPr>
          <w:rFonts w:ascii="Times New Roman" w:hAnsi="Times New Roman" w:cs="Times New Roman"/>
          <w:sz w:val="24"/>
          <w:szCs w:val="24"/>
          <w:lang w:val="en-GB"/>
        </w:rPr>
        <w:t xml:space="preserve"> during the second cycle</w:t>
      </w:r>
      <w:r w:rsidR="00E9516B">
        <w:rPr>
          <w:rFonts w:ascii="Times New Roman" w:hAnsi="Times New Roman" w:cs="Times New Roman"/>
          <w:sz w:val="24"/>
          <w:szCs w:val="24"/>
          <w:lang w:val="en-GB"/>
        </w:rPr>
        <w:t>?</w:t>
      </w:r>
    </w:p>
    <w:p w14:paraId="49097D2C" w14:textId="41061448" w:rsidR="00197025"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Could you provide any suggestions with a view </w:t>
      </w:r>
      <w:r w:rsidR="00E9516B">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further </w:t>
      </w:r>
      <w:r w:rsidR="00197025">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197025">
        <w:rPr>
          <w:rFonts w:ascii="Times New Roman" w:hAnsi="Times New Roman" w:cs="Times New Roman"/>
          <w:sz w:val="24"/>
          <w:szCs w:val="24"/>
          <w:lang w:val="en-GB"/>
        </w:rPr>
        <w:t xml:space="preserve"> the interactions between the Regular Process and other ocean-related processes</w:t>
      </w:r>
      <w:r w:rsidR="00E9516B">
        <w:rPr>
          <w:rFonts w:ascii="Times New Roman" w:hAnsi="Times New Roman" w:cs="Times New Roman"/>
          <w:sz w:val="24"/>
          <w:szCs w:val="24"/>
          <w:lang w:val="en-GB"/>
        </w:rPr>
        <w:t>?</w:t>
      </w:r>
    </w:p>
    <w:p w14:paraId="30505789" w14:textId="77777777" w:rsidR="00677147" w:rsidRPr="00677147" w:rsidRDefault="00677147" w:rsidP="00677147">
      <w:pPr>
        <w:pStyle w:val="ListParagraph"/>
        <w:spacing w:after="0" w:line="240" w:lineRule="auto"/>
        <w:jc w:val="both"/>
        <w:rPr>
          <w:rFonts w:ascii="Times New Roman" w:hAnsi="Times New Roman" w:cs="Times New Roman"/>
          <w:sz w:val="24"/>
          <w:szCs w:val="24"/>
          <w:lang w:val="en-GB"/>
        </w:rPr>
      </w:pPr>
    </w:p>
    <w:p w14:paraId="7E691828" w14:textId="153AFF02" w:rsidR="00E9516B" w:rsidRPr="00677147" w:rsidRDefault="00D32EFC" w:rsidP="00677147">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 xml:space="preserve">Assistance </w:t>
      </w:r>
      <w:r w:rsidR="005E302D" w:rsidRPr="002D0BD4">
        <w:rPr>
          <w:rFonts w:eastAsia="SimSun"/>
          <w:b/>
          <w:bCs/>
          <w:i/>
          <w:iCs/>
          <w:sz w:val="28"/>
          <w:szCs w:val="28"/>
          <w:lang w:val="en-GB" w:eastAsia="en-GB"/>
        </w:rPr>
        <w:t xml:space="preserve">and contribution </w:t>
      </w:r>
      <w:r w:rsidRPr="002D0BD4">
        <w:rPr>
          <w:rFonts w:eastAsia="SimSun"/>
          <w:b/>
          <w:bCs/>
          <w:i/>
          <w:iCs/>
          <w:sz w:val="28"/>
          <w:szCs w:val="28"/>
          <w:lang w:val="en-GB" w:eastAsia="en-GB"/>
        </w:rPr>
        <w:t>by</w:t>
      </w:r>
      <w:r w:rsidR="00AD534D" w:rsidRPr="002D0BD4">
        <w:rPr>
          <w:rFonts w:eastAsia="SimSun"/>
          <w:b/>
          <w:bCs/>
          <w:i/>
          <w:iCs/>
          <w:sz w:val="28"/>
          <w:szCs w:val="28"/>
          <w:lang w:val="en-GB" w:eastAsia="en-GB"/>
        </w:rPr>
        <w:t xml:space="preserve"> </w:t>
      </w:r>
      <w:r w:rsidRPr="002D0BD4">
        <w:rPr>
          <w:rFonts w:eastAsia="SimSun"/>
          <w:b/>
          <w:bCs/>
          <w:i/>
          <w:iCs/>
          <w:sz w:val="28"/>
          <w:szCs w:val="28"/>
          <w:lang w:val="en-GB" w:eastAsia="en-GB"/>
        </w:rPr>
        <w:t>relevant organizations</w:t>
      </w:r>
      <w:r w:rsidR="005E302D" w:rsidRPr="002D0BD4">
        <w:rPr>
          <w:rFonts w:eastAsia="SimSun"/>
          <w:b/>
          <w:bCs/>
          <w:i/>
          <w:iCs/>
          <w:sz w:val="28"/>
          <w:szCs w:val="28"/>
          <w:lang w:val="en-GB" w:eastAsia="en-GB"/>
        </w:rPr>
        <w:t xml:space="preserve"> and</w:t>
      </w:r>
      <w:r w:rsidRPr="002D0BD4">
        <w:rPr>
          <w:rFonts w:eastAsia="SimSun"/>
          <w:b/>
          <w:bCs/>
          <w:i/>
          <w:iCs/>
          <w:sz w:val="28"/>
          <w:szCs w:val="28"/>
          <w:lang w:val="en-GB" w:eastAsia="en-GB"/>
        </w:rPr>
        <w:t xml:space="preserve"> bodies  </w:t>
      </w:r>
    </w:p>
    <w:p w14:paraId="2F30DCA7" w14:textId="078E27AA" w:rsidR="006E362F" w:rsidRPr="0089434E" w:rsidRDefault="00197025"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The </w:t>
      </w:r>
      <w:r w:rsidR="006E362F" w:rsidRPr="0089434E">
        <w:rPr>
          <w:rFonts w:ascii="Times New Roman" w:eastAsia="Times New Roman" w:hAnsi="Times New Roman" w:cs="Times New Roman"/>
          <w:sz w:val="24"/>
          <w:szCs w:val="24"/>
          <w:lang w:val="en-GB" w:eastAsia="zh-CN"/>
        </w:rPr>
        <w:t>General Assembly</w:t>
      </w:r>
      <w:r w:rsidRPr="0089434E">
        <w:rPr>
          <w:rFonts w:ascii="Times New Roman" w:eastAsia="Times New Roman" w:hAnsi="Times New Roman" w:cs="Times New Roman"/>
          <w:sz w:val="24"/>
          <w:szCs w:val="24"/>
          <w:lang w:val="en-GB" w:eastAsia="zh-CN"/>
        </w:rPr>
        <w:t>, in its</w:t>
      </w:r>
      <w:r w:rsidR="006E362F" w:rsidRPr="0089434E">
        <w:rPr>
          <w:rFonts w:ascii="Times New Roman" w:eastAsia="Times New Roman" w:hAnsi="Times New Roman" w:cs="Times New Roman"/>
          <w:sz w:val="24"/>
          <w:szCs w:val="24"/>
          <w:lang w:val="en-GB" w:eastAsia="zh-CN"/>
        </w:rPr>
        <w:t xml:space="preserve"> resolution 71/257</w:t>
      </w:r>
      <w:r w:rsidRPr="0089434E">
        <w:rPr>
          <w:rFonts w:ascii="Times New Roman" w:eastAsia="Times New Roman" w:hAnsi="Times New Roman" w:cs="Times New Roman"/>
          <w:sz w:val="24"/>
          <w:szCs w:val="24"/>
          <w:lang w:val="en-GB" w:eastAsia="zh-CN"/>
        </w:rPr>
        <w:t xml:space="preserve">, invited </w:t>
      </w:r>
      <w:r w:rsidR="00AD534D" w:rsidRPr="0089434E">
        <w:rPr>
          <w:rFonts w:ascii="Times New Roman" w:eastAsia="Times New Roman" w:hAnsi="Times New Roman" w:cs="Times New Roman"/>
          <w:sz w:val="24"/>
          <w:szCs w:val="24"/>
          <w:lang w:val="en-GB" w:eastAsia="zh-CN"/>
        </w:rPr>
        <w:t xml:space="preserve">the Intergovernmental Oceanographic Commission of the United Nations Educational, Scientific and Cultural Organization, the United Nations Environment Programme, the International Maritime Organization, the Food and Agriculture Organization of the United Nations, the World Meteorological Organization and relevant United Nations system organizations, bodies, funds and programmes, as appropriate, to assist in the implementation of the second cycle of the Regular Process with regard to the following activities: awareness-raising, the identification of experts for the Pool of Experts, technical and scientific support to the Bureau and the Group of Experts, hosting workshops and meetings of the writing teams, capacity-building and the scoping process for the assessment(s) of the second cycle. The General Assembly also invited </w:t>
      </w:r>
      <w:r w:rsidR="006E362F" w:rsidRPr="0089434E">
        <w:rPr>
          <w:rFonts w:ascii="Times New Roman" w:eastAsia="Times New Roman" w:hAnsi="Times New Roman" w:cs="Times New Roman"/>
          <w:sz w:val="24"/>
          <w:szCs w:val="24"/>
          <w:lang w:val="en-GB" w:eastAsia="zh-CN"/>
        </w:rPr>
        <w:t>relevant intergovernmental organizations to contribute, as appropriate, to the activities of the second cycle.</w:t>
      </w:r>
    </w:p>
    <w:p w14:paraId="5A9644A1" w14:textId="410CA4B2" w:rsidR="00BB7488" w:rsidRDefault="00D32EFC"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did you find the assistance </w:t>
      </w:r>
      <w:r w:rsidR="00000507">
        <w:rPr>
          <w:rFonts w:ascii="Times New Roman" w:hAnsi="Times New Roman" w:cs="Times New Roman"/>
          <w:sz w:val="24"/>
          <w:szCs w:val="24"/>
          <w:lang w:val="en-GB"/>
        </w:rPr>
        <w:t>by relevant organizations, bodies, funds and programmes within the United Nations system and contribution by relevant intergovernmental organizations in the implementation of the second cycle?</w:t>
      </w:r>
    </w:p>
    <w:p w14:paraId="4DE5457F" w14:textId="6C84C7CC" w:rsidR="00F5423C"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000507">
        <w:rPr>
          <w:rFonts w:ascii="Times New Roman" w:hAnsi="Times New Roman" w:cs="Times New Roman"/>
          <w:sz w:val="24"/>
          <w:szCs w:val="24"/>
          <w:lang w:val="en-GB"/>
        </w:rPr>
        <w:t xml:space="preserve"> to further encourag</w:t>
      </w:r>
      <w:r>
        <w:rPr>
          <w:rFonts w:ascii="Times New Roman" w:hAnsi="Times New Roman" w:cs="Times New Roman"/>
          <w:sz w:val="24"/>
          <w:szCs w:val="24"/>
          <w:lang w:val="en-GB"/>
        </w:rPr>
        <w:t>ing</w:t>
      </w:r>
      <w:r w:rsidR="00000507">
        <w:rPr>
          <w:rFonts w:ascii="Times New Roman" w:hAnsi="Times New Roman" w:cs="Times New Roman"/>
          <w:sz w:val="24"/>
          <w:szCs w:val="24"/>
          <w:lang w:val="en-GB"/>
        </w:rPr>
        <w:t xml:space="preserve"> such assistance and contribution?</w:t>
      </w:r>
    </w:p>
    <w:p w14:paraId="4F1FFC10" w14:textId="77777777" w:rsidR="00677147" w:rsidRPr="00677147" w:rsidRDefault="00677147" w:rsidP="00677147">
      <w:pPr>
        <w:pStyle w:val="ListParagraph"/>
        <w:spacing w:after="0" w:line="240" w:lineRule="auto"/>
        <w:jc w:val="both"/>
        <w:rPr>
          <w:rFonts w:ascii="Times New Roman" w:hAnsi="Times New Roman" w:cs="Times New Roman"/>
          <w:sz w:val="24"/>
          <w:szCs w:val="24"/>
          <w:lang w:val="en-GB"/>
        </w:rPr>
      </w:pPr>
    </w:p>
    <w:p w14:paraId="1B176287" w14:textId="1915DC23" w:rsidR="00D612EC" w:rsidRPr="00677147" w:rsidRDefault="00081F1A" w:rsidP="00677147">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Communication</w:t>
      </w:r>
    </w:p>
    <w:p w14:paraId="46631C29" w14:textId="31EE9F81" w:rsidR="005D5B61" w:rsidRPr="0089434E" w:rsidRDefault="005D5B61"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During the second cycle, the secretariat has engaged in outreach and awareness</w:t>
      </w:r>
      <w:r w:rsidR="00187674" w:rsidRPr="0089434E">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raising activities, including through the regional workshops, briefings</w:t>
      </w:r>
      <w:r w:rsidR="005E302D" w:rsidRPr="0089434E">
        <w:rPr>
          <w:rFonts w:ascii="Times New Roman" w:eastAsia="Times New Roman" w:hAnsi="Times New Roman" w:cs="Times New Roman"/>
          <w:sz w:val="24"/>
          <w:szCs w:val="24"/>
          <w:lang w:val="en-GB" w:eastAsia="zh-CN"/>
        </w:rPr>
        <w:t xml:space="preserve"> or </w:t>
      </w:r>
      <w:r w:rsidR="00CC4203" w:rsidRPr="0089434E">
        <w:rPr>
          <w:rFonts w:ascii="Times New Roman" w:eastAsia="Times New Roman" w:hAnsi="Times New Roman" w:cs="Times New Roman"/>
          <w:sz w:val="24"/>
          <w:szCs w:val="24"/>
          <w:lang w:val="en-GB" w:eastAsia="zh-CN"/>
        </w:rPr>
        <w:t>side events</w:t>
      </w:r>
      <w:r w:rsidRPr="0089434E">
        <w:rPr>
          <w:rFonts w:ascii="Times New Roman" w:eastAsia="Times New Roman" w:hAnsi="Times New Roman" w:cs="Times New Roman"/>
          <w:sz w:val="24"/>
          <w:szCs w:val="24"/>
          <w:lang w:val="en-GB" w:eastAsia="zh-CN"/>
        </w:rPr>
        <w:t xml:space="preserve"> on the Regular Process</w:t>
      </w:r>
      <w:r w:rsidR="00187674" w:rsidRPr="0089434E">
        <w:rPr>
          <w:rFonts w:ascii="Times New Roman" w:eastAsia="Times New Roman" w:hAnsi="Times New Roman" w:cs="Times New Roman"/>
          <w:sz w:val="24"/>
          <w:szCs w:val="24"/>
          <w:lang w:val="en-GB" w:eastAsia="zh-CN"/>
        </w:rPr>
        <w:t xml:space="preserve"> for States and other stakeholders in the margins of intergovernmental meetings</w:t>
      </w:r>
      <w:r w:rsidRPr="0089434E">
        <w:rPr>
          <w:rFonts w:ascii="Times New Roman" w:eastAsia="Times New Roman" w:hAnsi="Times New Roman" w:cs="Times New Roman"/>
          <w:sz w:val="24"/>
          <w:szCs w:val="24"/>
          <w:lang w:val="en-GB" w:eastAsia="zh-CN"/>
        </w:rPr>
        <w:t>, and the production of brochures on the Regular Process.</w:t>
      </w:r>
    </w:p>
    <w:p w14:paraId="3F3EF69B" w14:textId="2EA55E7D" w:rsidR="00B6506C" w:rsidRDefault="0018767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these outreach and awareness-raising activities useful</w:t>
      </w:r>
      <w:r w:rsidR="00260E50">
        <w:rPr>
          <w:rFonts w:ascii="Times New Roman" w:hAnsi="Times New Roman" w:cs="Times New Roman"/>
          <w:sz w:val="24"/>
          <w:szCs w:val="24"/>
          <w:lang w:val="en-GB"/>
        </w:rPr>
        <w:t xml:space="preserve"> and relevant</w:t>
      </w:r>
      <w:r>
        <w:rPr>
          <w:rFonts w:ascii="Times New Roman" w:hAnsi="Times New Roman" w:cs="Times New Roman"/>
          <w:sz w:val="24"/>
          <w:szCs w:val="24"/>
          <w:lang w:val="en-GB"/>
        </w:rPr>
        <w:t>?</w:t>
      </w:r>
    </w:p>
    <w:p w14:paraId="3E177E8F" w14:textId="2279DDC7" w:rsidR="000F071B" w:rsidRPr="00677147" w:rsidRDefault="00260E50" w:rsidP="00677147">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187674">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677147">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187674">
        <w:rPr>
          <w:rFonts w:ascii="Times New Roman" w:hAnsi="Times New Roman" w:cs="Times New Roman"/>
          <w:sz w:val="24"/>
          <w:szCs w:val="24"/>
          <w:lang w:val="en-GB"/>
        </w:rPr>
        <w:t xml:space="preserve"> these outreach and awareness-raising activities?</w:t>
      </w:r>
      <w:r w:rsidR="00187674" w:rsidRPr="00677147">
        <w:rPr>
          <w:lang w:val="en-GB"/>
        </w:rPr>
        <w:tab/>
      </w:r>
    </w:p>
    <w:p w14:paraId="569F819F" w14:textId="5767986F" w:rsidR="007E57B4" w:rsidRPr="0089434E" w:rsidRDefault="00BB0425"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A website dedicated to the Regular Process was </w:t>
      </w:r>
      <w:r w:rsidR="00187674" w:rsidRPr="0089434E">
        <w:rPr>
          <w:rFonts w:ascii="Times New Roman" w:eastAsia="Times New Roman" w:hAnsi="Times New Roman" w:cs="Times New Roman"/>
          <w:sz w:val="24"/>
          <w:szCs w:val="24"/>
          <w:lang w:val="en-GB" w:eastAsia="zh-CN"/>
        </w:rPr>
        <w:t xml:space="preserve">developed during </w:t>
      </w:r>
      <w:r w:rsidRPr="0089434E">
        <w:rPr>
          <w:rFonts w:ascii="Times New Roman" w:eastAsia="Times New Roman" w:hAnsi="Times New Roman" w:cs="Times New Roman"/>
          <w:sz w:val="24"/>
          <w:szCs w:val="24"/>
          <w:lang w:val="en-GB" w:eastAsia="zh-CN"/>
        </w:rPr>
        <w:t>the second cycle.</w:t>
      </w:r>
    </w:p>
    <w:p w14:paraId="3017A51A" w14:textId="383DEE77" w:rsidR="00BB0425" w:rsidRDefault="00187674"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this website </w:t>
      </w:r>
      <w:r w:rsidR="00260E50">
        <w:rPr>
          <w:rFonts w:ascii="Times New Roman" w:hAnsi="Times New Roman" w:cs="Times New Roman"/>
          <w:sz w:val="24"/>
          <w:szCs w:val="24"/>
          <w:lang w:val="en-GB"/>
        </w:rPr>
        <w:t>useful and relevant</w:t>
      </w:r>
      <w:r w:rsidR="00BB0425" w:rsidRPr="00F22461">
        <w:rPr>
          <w:rFonts w:ascii="Times New Roman" w:hAnsi="Times New Roman" w:cs="Times New Roman"/>
          <w:sz w:val="24"/>
          <w:szCs w:val="24"/>
          <w:lang w:val="en-GB"/>
        </w:rPr>
        <w:t>?</w:t>
      </w:r>
    </w:p>
    <w:p w14:paraId="2E2C88AE" w14:textId="0FDF3DB1" w:rsidR="00F5423C" w:rsidRDefault="00260E50"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187674">
        <w:rPr>
          <w:rFonts w:ascii="Times New Roman" w:hAnsi="Times New Roman" w:cs="Times New Roman"/>
          <w:sz w:val="24"/>
          <w:szCs w:val="24"/>
          <w:lang w:val="en-GB"/>
        </w:rPr>
        <w:t xml:space="preserve"> to </w:t>
      </w:r>
      <w:r>
        <w:rPr>
          <w:rFonts w:ascii="Times New Roman" w:hAnsi="Times New Roman" w:cs="Times New Roman"/>
          <w:sz w:val="24"/>
          <w:szCs w:val="24"/>
          <w:lang w:val="en-GB"/>
        </w:rPr>
        <w:t>further improving</w:t>
      </w:r>
      <w:r w:rsidR="00187674">
        <w:rPr>
          <w:rFonts w:ascii="Times New Roman" w:hAnsi="Times New Roman" w:cs="Times New Roman"/>
          <w:sz w:val="24"/>
          <w:szCs w:val="24"/>
          <w:lang w:val="en-GB"/>
        </w:rPr>
        <w:t xml:space="preserve"> this website?</w:t>
      </w:r>
    </w:p>
    <w:p w14:paraId="564B41EB" w14:textId="77777777" w:rsidR="00677147" w:rsidRPr="00677147" w:rsidRDefault="00677147" w:rsidP="00677147">
      <w:pPr>
        <w:pStyle w:val="ListParagraph"/>
        <w:spacing w:after="0" w:line="240" w:lineRule="auto"/>
        <w:jc w:val="both"/>
        <w:rPr>
          <w:rFonts w:ascii="Times New Roman" w:hAnsi="Times New Roman" w:cs="Times New Roman"/>
          <w:sz w:val="24"/>
          <w:szCs w:val="24"/>
          <w:lang w:val="en-GB"/>
        </w:rPr>
      </w:pPr>
    </w:p>
    <w:p w14:paraId="53D49E0A" w14:textId="202CC584" w:rsidR="00F5423C" w:rsidRPr="002D0BD4" w:rsidRDefault="00081F1A" w:rsidP="002D0BD4">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Resources and funding</w:t>
      </w:r>
    </w:p>
    <w:p w14:paraId="4EE73D21" w14:textId="61E32885" w:rsidR="001F2123" w:rsidRPr="0089434E" w:rsidRDefault="00DA501E"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the second cycle, funding was provided </w:t>
      </w:r>
      <w:r w:rsidR="00FC17FF" w:rsidRPr="0089434E">
        <w:rPr>
          <w:rFonts w:ascii="Times New Roman" w:eastAsia="Times New Roman" w:hAnsi="Times New Roman" w:cs="Times New Roman"/>
          <w:sz w:val="24"/>
          <w:szCs w:val="24"/>
          <w:lang w:val="en-GB" w:eastAsia="zh-CN"/>
        </w:rPr>
        <w:t xml:space="preserve">through the regular budget of the United Nations </w:t>
      </w:r>
      <w:r w:rsidR="00CD02B7" w:rsidRPr="0089434E">
        <w:rPr>
          <w:rFonts w:ascii="Times New Roman" w:eastAsia="Times New Roman" w:hAnsi="Times New Roman" w:cs="Times New Roman"/>
          <w:sz w:val="24"/>
          <w:szCs w:val="24"/>
          <w:lang w:val="en-GB" w:eastAsia="zh-CN"/>
        </w:rPr>
        <w:t>for, inter alia, the drafting and publication of the technical abstracts</w:t>
      </w:r>
      <w:r w:rsidR="00FC17FF" w:rsidRPr="0089434E">
        <w:rPr>
          <w:rFonts w:ascii="Times New Roman" w:eastAsia="Times New Roman" w:hAnsi="Times New Roman" w:cs="Times New Roman"/>
          <w:sz w:val="24"/>
          <w:szCs w:val="24"/>
          <w:lang w:val="en-GB" w:eastAsia="zh-CN"/>
        </w:rPr>
        <w:t xml:space="preserve"> of WOA I</w:t>
      </w:r>
      <w:r w:rsidR="00CD02B7" w:rsidRPr="0089434E">
        <w:rPr>
          <w:rFonts w:ascii="Times New Roman" w:eastAsia="Times New Roman" w:hAnsi="Times New Roman" w:cs="Times New Roman"/>
          <w:sz w:val="24"/>
          <w:szCs w:val="24"/>
          <w:lang w:val="en-GB" w:eastAsia="zh-CN"/>
        </w:rPr>
        <w:t xml:space="preserve">, the servicing of meetings, travel to regional workshops, the drafting, copyediting, translation and publishing of </w:t>
      </w:r>
      <w:r w:rsidR="00FC17FF" w:rsidRPr="0089434E">
        <w:rPr>
          <w:rFonts w:ascii="Times New Roman" w:eastAsia="Times New Roman" w:hAnsi="Times New Roman" w:cs="Times New Roman"/>
          <w:sz w:val="24"/>
          <w:szCs w:val="24"/>
          <w:lang w:val="en-GB" w:eastAsia="zh-CN"/>
        </w:rPr>
        <w:t>WOA II</w:t>
      </w:r>
      <w:r w:rsidR="00CD02B7" w:rsidRPr="0089434E">
        <w:rPr>
          <w:rFonts w:ascii="Times New Roman" w:eastAsia="Times New Roman" w:hAnsi="Times New Roman" w:cs="Times New Roman"/>
          <w:sz w:val="24"/>
          <w:szCs w:val="24"/>
          <w:lang w:val="en-GB" w:eastAsia="zh-CN"/>
        </w:rPr>
        <w:t>, outreach and awareness raising</w:t>
      </w:r>
      <w:r w:rsidR="00FC17FF" w:rsidRPr="0089434E">
        <w:rPr>
          <w:rFonts w:ascii="Times New Roman" w:eastAsia="Times New Roman" w:hAnsi="Times New Roman" w:cs="Times New Roman"/>
          <w:sz w:val="24"/>
          <w:szCs w:val="24"/>
          <w:lang w:val="en-GB" w:eastAsia="zh-CN"/>
        </w:rPr>
        <w:t>,</w:t>
      </w:r>
      <w:r w:rsidR="00CD02B7" w:rsidRPr="0089434E">
        <w:rPr>
          <w:rFonts w:ascii="Times New Roman" w:eastAsia="Times New Roman" w:hAnsi="Times New Roman" w:cs="Times New Roman"/>
          <w:sz w:val="24"/>
          <w:szCs w:val="24"/>
          <w:lang w:val="en-GB" w:eastAsia="zh-CN"/>
        </w:rPr>
        <w:t xml:space="preserve"> and capacity-building.</w:t>
      </w:r>
      <w:r w:rsidR="00A425F6" w:rsidRPr="0089434E">
        <w:rPr>
          <w:rFonts w:ascii="Times New Roman" w:eastAsia="Times New Roman" w:hAnsi="Times New Roman" w:cs="Times New Roman"/>
          <w:sz w:val="24"/>
          <w:szCs w:val="24"/>
          <w:lang w:val="en-GB" w:eastAsia="zh-CN"/>
        </w:rPr>
        <w:t xml:space="preserve"> </w:t>
      </w:r>
    </w:p>
    <w:p w14:paraId="44D5C9BF" w14:textId="50ACCC68" w:rsidR="001F2123" w:rsidRDefault="00FC17FF"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Did you find the </w:t>
      </w:r>
      <w:r w:rsidR="00DB2D35">
        <w:rPr>
          <w:rFonts w:ascii="Times New Roman" w:hAnsi="Times New Roman" w:cs="Times New Roman"/>
          <w:sz w:val="24"/>
          <w:szCs w:val="24"/>
          <w:lang w:val="en-GB"/>
        </w:rPr>
        <w:t>budgeting</w:t>
      </w:r>
      <w:r>
        <w:rPr>
          <w:rFonts w:ascii="Times New Roman" w:hAnsi="Times New Roman" w:cs="Times New Roman"/>
          <w:sz w:val="24"/>
          <w:szCs w:val="24"/>
          <w:lang w:val="en-GB"/>
        </w:rPr>
        <w:t xml:space="preserve"> for activities of the second cycle suitable and adequate?</w:t>
      </w:r>
    </w:p>
    <w:p w14:paraId="31181087" w14:textId="0383F93F" w:rsidR="00EA3DFA" w:rsidRPr="00677147" w:rsidRDefault="00691E0E" w:rsidP="00677147">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FC17FF">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FC17FF">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FC17FF">
        <w:rPr>
          <w:rFonts w:ascii="Times New Roman" w:hAnsi="Times New Roman" w:cs="Times New Roman"/>
          <w:sz w:val="24"/>
          <w:szCs w:val="24"/>
          <w:lang w:val="en-GB"/>
        </w:rPr>
        <w:t xml:space="preserve"> the</w:t>
      </w:r>
      <w:r w:rsidR="00877CB0">
        <w:rPr>
          <w:rFonts w:ascii="Times New Roman" w:hAnsi="Times New Roman" w:cs="Times New Roman"/>
          <w:sz w:val="24"/>
          <w:szCs w:val="24"/>
          <w:lang w:val="en-GB"/>
        </w:rPr>
        <w:t xml:space="preserve"> budgeting for the activities of the </w:t>
      </w:r>
      <w:r>
        <w:rPr>
          <w:rFonts w:ascii="Times New Roman" w:hAnsi="Times New Roman" w:cs="Times New Roman"/>
          <w:sz w:val="24"/>
          <w:szCs w:val="24"/>
          <w:lang w:val="en-GB"/>
        </w:rPr>
        <w:t>Regular Process</w:t>
      </w:r>
      <w:r w:rsidR="00877CB0">
        <w:rPr>
          <w:rFonts w:ascii="Times New Roman" w:hAnsi="Times New Roman" w:cs="Times New Roman"/>
          <w:sz w:val="24"/>
          <w:szCs w:val="24"/>
          <w:lang w:val="en-GB"/>
        </w:rPr>
        <w:t>?</w:t>
      </w:r>
    </w:p>
    <w:p w14:paraId="7B22FF74" w14:textId="1EF61BCE" w:rsidR="00DA501E" w:rsidRPr="0089434E" w:rsidRDefault="00DB2D35"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In accordance with General Assembly resolution 64/71, the Secretary-General established the Regular Process </w:t>
      </w:r>
      <w:r w:rsidR="00EF7BAA" w:rsidRPr="0089434E">
        <w:rPr>
          <w:rFonts w:ascii="Times New Roman" w:eastAsia="Times New Roman" w:hAnsi="Times New Roman" w:cs="Times New Roman"/>
          <w:sz w:val="24"/>
          <w:szCs w:val="24"/>
          <w:lang w:val="en-GB" w:eastAsia="zh-CN"/>
        </w:rPr>
        <w:t>v</w:t>
      </w:r>
      <w:r w:rsidRPr="0089434E">
        <w:rPr>
          <w:rFonts w:ascii="Times New Roman" w:eastAsia="Times New Roman" w:hAnsi="Times New Roman" w:cs="Times New Roman"/>
          <w:sz w:val="24"/>
          <w:szCs w:val="24"/>
          <w:lang w:val="en-GB" w:eastAsia="zh-CN"/>
        </w:rPr>
        <w:t xml:space="preserve">oluntary </w:t>
      </w:r>
      <w:r w:rsidR="00EF7BAA" w:rsidRPr="0089434E">
        <w:rPr>
          <w:rFonts w:ascii="Times New Roman" w:eastAsia="Times New Roman" w:hAnsi="Times New Roman" w:cs="Times New Roman"/>
          <w:sz w:val="24"/>
          <w:szCs w:val="24"/>
          <w:lang w:val="en-GB" w:eastAsia="zh-CN"/>
        </w:rPr>
        <w:t>t</w:t>
      </w:r>
      <w:r w:rsidRPr="0089434E">
        <w:rPr>
          <w:rFonts w:ascii="Times New Roman" w:eastAsia="Times New Roman" w:hAnsi="Times New Roman" w:cs="Times New Roman"/>
          <w:sz w:val="24"/>
          <w:szCs w:val="24"/>
          <w:lang w:val="en-GB" w:eastAsia="zh-CN"/>
        </w:rPr>
        <w:t xml:space="preserve">rust </w:t>
      </w:r>
      <w:r w:rsidR="00EF7BAA" w:rsidRPr="0089434E">
        <w:rPr>
          <w:rFonts w:ascii="Times New Roman" w:eastAsia="Times New Roman" w:hAnsi="Times New Roman" w:cs="Times New Roman"/>
          <w:sz w:val="24"/>
          <w:szCs w:val="24"/>
          <w:lang w:val="en-GB" w:eastAsia="zh-CN"/>
        </w:rPr>
        <w:t>f</w:t>
      </w:r>
      <w:r w:rsidRPr="0089434E">
        <w:rPr>
          <w:rFonts w:ascii="Times New Roman" w:eastAsia="Times New Roman" w:hAnsi="Times New Roman" w:cs="Times New Roman"/>
          <w:sz w:val="24"/>
          <w:szCs w:val="24"/>
          <w:lang w:val="en-GB" w:eastAsia="zh-CN"/>
        </w:rPr>
        <w:t>und for the purpose of supporting the operations of the first five-year cycle of the Regular Process, including for the provision of assistance to members of the group of experts from developing countries, in particular least developed countries, small island developing States and landlocked developing States. Pursuant to General Assembly</w:t>
      </w:r>
      <w:r w:rsidR="005E302D" w:rsidRPr="0089434E">
        <w:rPr>
          <w:rFonts w:ascii="Times New Roman" w:eastAsia="Times New Roman" w:hAnsi="Times New Roman" w:cs="Times New Roman"/>
          <w:sz w:val="24"/>
          <w:szCs w:val="24"/>
          <w:lang w:val="en-GB" w:eastAsia="zh-CN"/>
        </w:rPr>
        <w:t xml:space="preserve"> resolution 68/70, </w:t>
      </w:r>
      <w:r w:rsidRPr="0089434E">
        <w:rPr>
          <w:rFonts w:ascii="Times New Roman" w:eastAsia="Times New Roman" w:hAnsi="Times New Roman" w:cs="Times New Roman"/>
          <w:sz w:val="24"/>
          <w:szCs w:val="24"/>
          <w:lang w:val="en-GB" w:eastAsia="zh-CN"/>
        </w:rPr>
        <w:t>it was further requested that the Secretary-General administer the voluntary trust fund beyond the first five-year cycle and for the duration of the operations of the Regular Process.</w:t>
      </w:r>
      <w:r w:rsidR="00677147">
        <w:rPr>
          <w:rFonts w:ascii="Times New Roman" w:eastAsia="Times New Roman" w:hAnsi="Times New Roman" w:cs="Times New Roman"/>
          <w:sz w:val="24"/>
          <w:szCs w:val="24"/>
          <w:lang w:val="en-GB" w:eastAsia="zh-CN"/>
        </w:rPr>
        <w:t xml:space="preserve"> </w:t>
      </w:r>
      <w:r w:rsidRPr="0089434E">
        <w:rPr>
          <w:rFonts w:ascii="Times New Roman" w:eastAsia="Times New Roman" w:hAnsi="Times New Roman" w:cs="Times New Roman"/>
          <w:sz w:val="24"/>
          <w:szCs w:val="24"/>
          <w:lang w:val="en-GB" w:eastAsia="zh-CN"/>
        </w:rPr>
        <w:t xml:space="preserve">Contributions to the </w:t>
      </w:r>
      <w:r w:rsidR="00EF7BAA" w:rsidRPr="0089434E">
        <w:rPr>
          <w:rFonts w:ascii="Times New Roman" w:eastAsia="Times New Roman" w:hAnsi="Times New Roman" w:cs="Times New Roman"/>
          <w:sz w:val="24"/>
          <w:szCs w:val="24"/>
          <w:lang w:val="en-GB" w:eastAsia="zh-CN"/>
        </w:rPr>
        <w:t>t</w:t>
      </w:r>
      <w:r w:rsidRPr="0089434E">
        <w:rPr>
          <w:rFonts w:ascii="Times New Roman" w:eastAsia="Times New Roman" w:hAnsi="Times New Roman" w:cs="Times New Roman"/>
          <w:sz w:val="24"/>
          <w:szCs w:val="24"/>
          <w:lang w:val="en-GB" w:eastAsia="zh-CN"/>
        </w:rPr>
        <w:t xml:space="preserve">rust </w:t>
      </w:r>
      <w:r w:rsidR="00EF7BAA" w:rsidRPr="0089434E">
        <w:rPr>
          <w:rFonts w:ascii="Times New Roman" w:eastAsia="Times New Roman" w:hAnsi="Times New Roman" w:cs="Times New Roman"/>
          <w:sz w:val="24"/>
          <w:szCs w:val="24"/>
          <w:lang w:val="en-GB" w:eastAsia="zh-CN"/>
        </w:rPr>
        <w:t>f</w:t>
      </w:r>
      <w:r w:rsidRPr="0089434E">
        <w:rPr>
          <w:rFonts w:ascii="Times New Roman" w:eastAsia="Times New Roman" w:hAnsi="Times New Roman" w:cs="Times New Roman"/>
          <w:sz w:val="24"/>
          <w:szCs w:val="24"/>
          <w:lang w:val="en-GB" w:eastAsia="zh-CN"/>
        </w:rPr>
        <w:t xml:space="preserve">und may be made by States, international financial institutions, donor agencies, intergovernmental organizations, non-governmental organizations and natural and juridical persons. </w:t>
      </w:r>
      <w:r w:rsidR="00AC0E24">
        <w:rPr>
          <w:rFonts w:ascii="Times New Roman" w:eastAsia="Times New Roman" w:hAnsi="Times New Roman" w:cs="Times New Roman"/>
          <w:sz w:val="24"/>
          <w:szCs w:val="24"/>
          <w:lang w:val="en-GB" w:eastAsia="zh-CN"/>
        </w:rPr>
        <w:t>C</w:t>
      </w:r>
      <w:r w:rsidRPr="0089434E">
        <w:rPr>
          <w:rFonts w:ascii="Times New Roman" w:eastAsia="Times New Roman" w:hAnsi="Times New Roman" w:cs="Times New Roman"/>
          <w:sz w:val="24"/>
          <w:szCs w:val="24"/>
          <w:lang w:val="en-GB" w:eastAsia="zh-CN"/>
        </w:rPr>
        <w:t>ontribut</w:t>
      </w:r>
      <w:r w:rsidR="00EF7BAA" w:rsidRPr="0089434E">
        <w:rPr>
          <w:rFonts w:ascii="Times New Roman" w:eastAsia="Times New Roman" w:hAnsi="Times New Roman" w:cs="Times New Roman"/>
          <w:sz w:val="24"/>
          <w:szCs w:val="24"/>
          <w:lang w:val="en-GB" w:eastAsia="zh-CN"/>
        </w:rPr>
        <w:t>io</w:t>
      </w:r>
      <w:r w:rsidR="00A425F6" w:rsidRPr="0089434E">
        <w:rPr>
          <w:rFonts w:ascii="Times New Roman" w:eastAsia="Times New Roman" w:hAnsi="Times New Roman" w:cs="Times New Roman"/>
          <w:sz w:val="24"/>
          <w:szCs w:val="24"/>
          <w:lang w:val="en-GB" w:eastAsia="zh-CN"/>
        </w:rPr>
        <w:t>n</w:t>
      </w:r>
      <w:r w:rsidR="00EF7BAA" w:rsidRPr="0089434E">
        <w:rPr>
          <w:rFonts w:ascii="Times New Roman" w:eastAsia="Times New Roman" w:hAnsi="Times New Roman" w:cs="Times New Roman"/>
          <w:sz w:val="24"/>
          <w:szCs w:val="24"/>
          <w:lang w:val="en-GB" w:eastAsia="zh-CN"/>
        </w:rPr>
        <w:t xml:space="preserve">s to this voluntary trust fund </w:t>
      </w:r>
      <w:r w:rsidR="00A425F6" w:rsidRPr="0089434E">
        <w:rPr>
          <w:rFonts w:ascii="Times New Roman" w:eastAsia="Times New Roman" w:hAnsi="Times New Roman" w:cs="Times New Roman"/>
          <w:sz w:val="24"/>
          <w:szCs w:val="24"/>
          <w:lang w:val="en-GB" w:eastAsia="zh-CN"/>
        </w:rPr>
        <w:t>supported</w:t>
      </w:r>
      <w:r w:rsidR="00EF7BAA" w:rsidRPr="0089434E">
        <w:rPr>
          <w:rFonts w:ascii="Times New Roman" w:eastAsia="Times New Roman" w:hAnsi="Times New Roman" w:cs="Times New Roman"/>
          <w:sz w:val="24"/>
          <w:szCs w:val="24"/>
          <w:lang w:val="en-GB" w:eastAsia="zh-CN"/>
        </w:rPr>
        <w:t>,</w:t>
      </w:r>
      <w:r w:rsidR="00A425F6" w:rsidRPr="0089434E">
        <w:rPr>
          <w:rFonts w:ascii="Times New Roman" w:eastAsia="Times New Roman" w:hAnsi="Times New Roman" w:cs="Times New Roman"/>
          <w:sz w:val="24"/>
          <w:szCs w:val="24"/>
          <w:lang w:val="en-GB" w:eastAsia="zh-CN"/>
        </w:rPr>
        <w:t xml:space="preserve"> inter alia</w:t>
      </w:r>
      <w:r w:rsidR="00EF7BAA" w:rsidRPr="0089434E">
        <w:rPr>
          <w:rFonts w:ascii="Times New Roman" w:eastAsia="Times New Roman" w:hAnsi="Times New Roman" w:cs="Times New Roman"/>
          <w:sz w:val="24"/>
          <w:szCs w:val="24"/>
          <w:lang w:val="en-GB" w:eastAsia="zh-CN"/>
        </w:rPr>
        <w:t>,</w:t>
      </w:r>
      <w:r w:rsidR="00A425F6" w:rsidRPr="0089434E">
        <w:rPr>
          <w:rFonts w:ascii="Times New Roman" w:eastAsia="Times New Roman" w:hAnsi="Times New Roman" w:cs="Times New Roman"/>
          <w:sz w:val="24"/>
          <w:szCs w:val="24"/>
          <w:lang w:val="en-GB" w:eastAsia="zh-CN"/>
        </w:rPr>
        <w:t xml:space="preserve"> the travel of </w:t>
      </w:r>
      <w:r w:rsidR="00645C6D" w:rsidRPr="0089434E">
        <w:rPr>
          <w:rFonts w:ascii="Times New Roman" w:eastAsia="Times New Roman" w:hAnsi="Times New Roman" w:cs="Times New Roman"/>
          <w:sz w:val="24"/>
          <w:szCs w:val="24"/>
          <w:lang w:val="en-GB" w:eastAsia="zh-CN"/>
        </w:rPr>
        <w:t>members of the Group</w:t>
      </w:r>
      <w:r w:rsidR="0026373C" w:rsidRPr="0089434E">
        <w:rPr>
          <w:rFonts w:ascii="Times New Roman" w:eastAsia="Times New Roman" w:hAnsi="Times New Roman" w:cs="Times New Roman"/>
          <w:sz w:val="24"/>
          <w:szCs w:val="24"/>
          <w:lang w:val="en-GB" w:eastAsia="zh-CN"/>
        </w:rPr>
        <w:t xml:space="preserve"> of Experts</w:t>
      </w:r>
      <w:r w:rsidR="00A425F6" w:rsidRPr="0089434E">
        <w:rPr>
          <w:rFonts w:ascii="Times New Roman" w:eastAsia="Times New Roman" w:hAnsi="Times New Roman" w:cs="Times New Roman"/>
          <w:sz w:val="24"/>
          <w:szCs w:val="24"/>
          <w:lang w:val="en-GB" w:eastAsia="zh-CN"/>
        </w:rPr>
        <w:t xml:space="preserve"> </w:t>
      </w:r>
      <w:r w:rsidR="00645C6D" w:rsidRPr="0089434E">
        <w:rPr>
          <w:rFonts w:ascii="Times New Roman" w:eastAsia="Times New Roman" w:hAnsi="Times New Roman" w:cs="Times New Roman"/>
          <w:sz w:val="24"/>
          <w:szCs w:val="24"/>
          <w:lang w:val="en-GB" w:eastAsia="zh-CN"/>
        </w:rPr>
        <w:t xml:space="preserve">from developing countries </w:t>
      </w:r>
      <w:r w:rsidR="00A425F6" w:rsidRPr="0089434E">
        <w:rPr>
          <w:rFonts w:ascii="Times New Roman" w:eastAsia="Times New Roman" w:hAnsi="Times New Roman" w:cs="Times New Roman"/>
          <w:sz w:val="24"/>
          <w:szCs w:val="24"/>
          <w:lang w:val="en-GB" w:eastAsia="zh-CN"/>
        </w:rPr>
        <w:t xml:space="preserve">to </w:t>
      </w:r>
      <w:r w:rsidR="00EF7BAA" w:rsidRPr="0089434E">
        <w:rPr>
          <w:rFonts w:ascii="Times New Roman" w:eastAsia="Times New Roman" w:hAnsi="Times New Roman" w:cs="Times New Roman"/>
          <w:sz w:val="24"/>
          <w:szCs w:val="24"/>
          <w:lang w:val="en-GB" w:eastAsia="zh-CN"/>
        </w:rPr>
        <w:t xml:space="preserve">a number of </w:t>
      </w:r>
      <w:r w:rsidR="00A425F6" w:rsidRPr="0089434E">
        <w:rPr>
          <w:rFonts w:ascii="Times New Roman" w:eastAsia="Times New Roman" w:hAnsi="Times New Roman" w:cs="Times New Roman"/>
          <w:sz w:val="24"/>
          <w:szCs w:val="24"/>
          <w:lang w:val="en-GB" w:eastAsia="zh-CN"/>
        </w:rPr>
        <w:t>meetings</w:t>
      </w:r>
      <w:r w:rsidR="00EF7BAA" w:rsidRPr="0089434E">
        <w:rPr>
          <w:rFonts w:ascii="Times New Roman" w:eastAsia="Times New Roman" w:hAnsi="Times New Roman" w:cs="Times New Roman"/>
          <w:sz w:val="24"/>
          <w:szCs w:val="24"/>
          <w:lang w:val="en-GB" w:eastAsia="zh-CN"/>
        </w:rPr>
        <w:t>, including those</w:t>
      </w:r>
      <w:r w:rsidR="00A425F6" w:rsidRPr="0089434E">
        <w:rPr>
          <w:rFonts w:ascii="Times New Roman" w:eastAsia="Times New Roman" w:hAnsi="Times New Roman" w:cs="Times New Roman"/>
          <w:sz w:val="24"/>
          <w:szCs w:val="24"/>
          <w:lang w:val="en-GB" w:eastAsia="zh-CN"/>
        </w:rPr>
        <w:t xml:space="preserve"> of the Ad Hoc Working Group of the Whole, </w:t>
      </w:r>
      <w:r w:rsidR="00060F74" w:rsidRPr="0089434E">
        <w:rPr>
          <w:rFonts w:ascii="Times New Roman" w:eastAsia="Times New Roman" w:hAnsi="Times New Roman" w:cs="Times New Roman"/>
          <w:sz w:val="24"/>
          <w:szCs w:val="24"/>
          <w:lang w:val="en-GB" w:eastAsia="zh-CN"/>
        </w:rPr>
        <w:t>the Group of Experts and the writing teams.</w:t>
      </w:r>
    </w:p>
    <w:p w14:paraId="04D1EC01" w14:textId="1C149A65" w:rsidR="00FD2695" w:rsidRDefault="00EF7BAA"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How did you find the operation of this voluntary trust fund during the second cycle?</w:t>
      </w:r>
    </w:p>
    <w:p w14:paraId="785DC292" w14:textId="364FDB2C" w:rsidR="00EF7BAA"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EF7BAA">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further </w:t>
      </w:r>
      <w:r w:rsidR="00EF7BAA">
        <w:rPr>
          <w:rFonts w:ascii="Times New Roman" w:hAnsi="Times New Roman" w:cs="Times New Roman"/>
          <w:sz w:val="24"/>
          <w:szCs w:val="24"/>
          <w:lang w:val="en-GB"/>
        </w:rPr>
        <w:t>improv</w:t>
      </w:r>
      <w:r>
        <w:rPr>
          <w:rFonts w:ascii="Times New Roman" w:hAnsi="Times New Roman" w:cs="Times New Roman"/>
          <w:sz w:val="24"/>
          <w:szCs w:val="24"/>
          <w:lang w:val="en-GB"/>
        </w:rPr>
        <w:t>ing</w:t>
      </w:r>
      <w:r w:rsidR="00EF7BAA">
        <w:rPr>
          <w:rFonts w:ascii="Times New Roman" w:hAnsi="Times New Roman" w:cs="Times New Roman"/>
          <w:sz w:val="24"/>
          <w:szCs w:val="24"/>
          <w:lang w:val="en-GB"/>
        </w:rPr>
        <w:t xml:space="preserve"> the operation of this voluntary trust fund?</w:t>
      </w:r>
    </w:p>
    <w:p w14:paraId="3F1DBBBD" w14:textId="4E81DD12" w:rsidR="00EA3DFA" w:rsidRPr="00677147" w:rsidRDefault="00691E0E" w:rsidP="00677147">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EF7BAA">
        <w:rPr>
          <w:rFonts w:ascii="Times New Roman" w:hAnsi="Times New Roman" w:cs="Times New Roman"/>
          <w:sz w:val="24"/>
          <w:szCs w:val="24"/>
          <w:lang w:val="en-GB"/>
        </w:rPr>
        <w:t xml:space="preserve"> to encourag</w:t>
      </w:r>
      <w:r>
        <w:rPr>
          <w:rFonts w:ascii="Times New Roman" w:hAnsi="Times New Roman" w:cs="Times New Roman"/>
          <w:sz w:val="24"/>
          <w:szCs w:val="24"/>
          <w:lang w:val="en-GB"/>
        </w:rPr>
        <w:t>ing</w:t>
      </w:r>
      <w:r w:rsidR="00EF7BAA">
        <w:rPr>
          <w:rFonts w:ascii="Times New Roman" w:hAnsi="Times New Roman" w:cs="Times New Roman"/>
          <w:sz w:val="24"/>
          <w:szCs w:val="24"/>
          <w:lang w:val="en-GB"/>
        </w:rPr>
        <w:t xml:space="preserve"> contributions to this voluntary trust fund?</w:t>
      </w:r>
    </w:p>
    <w:p w14:paraId="4C802792" w14:textId="465B3E26" w:rsidR="002142AD" w:rsidRPr="0089434E" w:rsidRDefault="002142AD"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 xml:space="preserve">The Regular Process special scholarship fund was established pursuant to </w:t>
      </w:r>
      <w:r w:rsidR="000123CD" w:rsidRPr="0089434E">
        <w:rPr>
          <w:rFonts w:ascii="Times New Roman" w:eastAsia="Times New Roman" w:hAnsi="Times New Roman" w:cs="Times New Roman"/>
          <w:sz w:val="24"/>
          <w:szCs w:val="24"/>
          <w:lang w:val="en-GB" w:eastAsia="zh-CN"/>
        </w:rPr>
        <w:t xml:space="preserve">General Assembly </w:t>
      </w:r>
      <w:r w:rsidRPr="0089434E">
        <w:rPr>
          <w:rFonts w:ascii="Times New Roman" w:eastAsia="Times New Roman" w:hAnsi="Times New Roman" w:cs="Times New Roman"/>
          <w:sz w:val="24"/>
          <w:szCs w:val="24"/>
          <w:lang w:val="en-GB" w:eastAsia="zh-CN"/>
        </w:rPr>
        <w:t>resolution 64/71 to support training programmes for developing countries</w:t>
      </w:r>
      <w:r w:rsidR="000123CD" w:rsidRPr="0089434E">
        <w:rPr>
          <w:rFonts w:ascii="Times New Roman" w:eastAsia="Times New Roman" w:hAnsi="Times New Roman" w:cs="Times New Roman"/>
          <w:sz w:val="24"/>
          <w:szCs w:val="24"/>
          <w:lang w:val="en-GB" w:eastAsia="zh-CN"/>
        </w:rPr>
        <w:t xml:space="preserve">. </w:t>
      </w:r>
      <w:r w:rsidR="004E6453" w:rsidRPr="0089434E">
        <w:rPr>
          <w:rFonts w:ascii="Times New Roman" w:eastAsia="Times New Roman" w:hAnsi="Times New Roman" w:cs="Times New Roman"/>
          <w:sz w:val="24"/>
          <w:szCs w:val="24"/>
          <w:lang w:val="en-GB" w:eastAsia="zh-CN"/>
        </w:rPr>
        <w:t>N</w:t>
      </w:r>
      <w:r w:rsidR="000123CD" w:rsidRPr="0089434E">
        <w:rPr>
          <w:rFonts w:ascii="Times New Roman" w:eastAsia="Times New Roman" w:hAnsi="Times New Roman" w:cs="Times New Roman"/>
          <w:sz w:val="24"/>
          <w:szCs w:val="24"/>
          <w:lang w:val="en-GB" w:eastAsia="zh-CN"/>
        </w:rPr>
        <w:t xml:space="preserve">o contributions have </w:t>
      </w:r>
      <w:r w:rsidR="00B80E06" w:rsidRPr="0089434E">
        <w:rPr>
          <w:rFonts w:ascii="Times New Roman" w:eastAsia="Times New Roman" w:hAnsi="Times New Roman" w:cs="Times New Roman"/>
          <w:sz w:val="24"/>
          <w:szCs w:val="24"/>
          <w:lang w:val="en-GB" w:eastAsia="zh-CN"/>
        </w:rPr>
        <w:t xml:space="preserve">yet </w:t>
      </w:r>
      <w:r w:rsidR="000123CD" w:rsidRPr="0089434E">
        <w:rPr>
          <w:rFonts w:ascii="Times New Roman" w:eastAsia="Times New Roman" w:hAnsi="Times New Roman" w:cs="Times New Roman"/>
          <w:sz w:val="24"/>
          <w:szCs w:val="24"/>
          <w:lang w:val="en-GB" w:eastAsia="zh-CN"/>
        </w:rPr>
        <w:t>been made to the special scholarship fund</w:t>
      </w:r>
      <w:r w:rsidR="00B80E06" w:rsidRPr="0089434E">
        <w:rPr>
          <w:rFonts w:ascii="Times New Roman" w:eastAsia="Times New Roman" w:hAnsi="Times New Roman" w:cs="Times New Roman"/>
          <w:sz w:val="24"/>
          <w:szCs w:val="24"/>
          <w:lang w:val="en-GB" w:eastAsia="zh-CN"/>
        </w:rPr>
        <w:t>. In its resolution 74/19, the General Assembly recalled the potential of the special scholarship fund to support training programme for developing countries, including through cooperation projects among various stakeholders, in order to strengthen the human and institutional capacity of those countries to carry out integrated assessments, and encouraged States, international financial institutions, donor agencies, intergovernmental organizations, non-governmental organizations and natural and juridical person to make financial contributions to that fund.</w:t>
      </w:r>
    </w:p>
    <w:p w14:paraId="091E8330" w14:textId="268EB191" w:rsidR="007A2660"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B80E06">
        <w:rPr>
          <w:rFonts w:ascii="Times New Roman" w:hAnsi="Times New Roman" w:cs="Times New Roman"/>
          <w:sz w:val="24"/>
          <w:szCs w:val="24"/>
          <w:lang w:val="en-GB"/>
        </w:rPr>
        <w:t xml:space="preserve"> to encourag</w:t>
      </w:r>
      <w:r>
        <w:rPr>
          <w:rFonts w:ascii="Times New Roman" w:hAnsi="Times New Roman" w:cs="Times New Roman"/>
          <w:sz w:val="24"/>
          <w:szCs w:val="24"/>
          <w:lang w:val="en-GB"/>
        </w:rPr>
        <w:t>ing</w:t>
      </w:r>
      <w:r w:rsidR="00B80E06">
        <w:rPr>
          <w:rFonts w:ascii="Times New Roman" w:hAnsi="Times New Roman" w:cs="Times New Roman"/>
          <w:sz w:val="24"/>
          <w:szCs w:val="24"/>
          <w:lang w:val="en-GB"/>
        </w:rPr>
        <w:t xml:space="preserve"> contributions to this special scholarship fund</w:t>
      </w:r>
      <w:r w:rsidR="007A2660" w:rsidRPr="00F22461">
        <w:rPr>
          <w:rFonts w:ascii="Times New Roman" w:hAnsi="Times New Roman" w:cs="Times New Roman"/>
          <w:sz w:val="24"/>
          <w:szCs w:val="24"/>
          <w:lang w:val="en-GB"/>
        </w:rPr>
        <w:t>?</w:t>
      </w:r>
    </w:p>
    <w:p w14:paraId="3D5AD40B" w14:textId="42E33EB7" w:rsidR="00F5423C"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B80E06">
        <w:rPr>
          <w:rFonts w:ascii="Times New Roman" w:hAnsi="Times New Roman" w:cs="Times New Roman"/>
          <w:sz w:val="24"/>
          <w:szCs w:val="24"/>
          <w:lang w:val="en-GB"/>
        </w:rPr>
        <w:t xml:space="preserve"> to realiz</w:t>
      </w:r>
      <w:r>
        <w:rPr>
          <w:rFonts w:ascii="Times New Roman" w:hAnsi="Times New Roman" w:cs="Times New Roman"/>
          <w:sz w:val="24"/>
          <w:szCs w:val="24"/>
          <w:lang w:val="en-GB"/>
        </w:rPr>
        <w:t>ing</w:t>
      </w:r>
      <w:r w:rsidR="00B80E06">
        <w:rPr>
          <w:rFonts w:ascii="Times New Roman" w:hAnsi="Times New Roman" w:cs="Times New Roman"/>
          <w:sz w:val="24"/>
          <w:szCs w:val="24"/>
          <w:lang w:val="en-GB"/>
        </w:rPr>
        <w:t xml:space="preserve"> the potential of this special scholarship fund?</w:t>
      </w:r>
    </w:p>
    <w:p w14:paraId="2AB80B16" w14:textId="77777777" w:rsidR="00677147" w:rsidRPr="00677147" w:rsidRDefault="00677147" w:rsidP="00677147">
      <w:pPr>
        <w:pStyle w:val="ListParagraph"/>
        <w:spacing w:after="0" w:line="240" w:lineRule="auto"/>
        <w:jc w:val="both"/>
        <w:rPr>
          <w:rFonts w:ascii="Times New Roman" w:hAnsi="Times New Roman" w:cs="Times New Roman"/>
          <w:sz w:val="24"/>
          <w:szCs w:val="24"/>
          <w:lang w:val="en-GB"/>
        </w:rPr>
      </w:pPr>
    </w:p>
    <w:p w14:paraId="7C33C504" w14:textId="718E1192" w:rsidR="00F5423C" w:rsidRPr="00677147" w:rsidRDefault="002B7870" w:rsidP="00677147">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Multilingualism</w:t>
      </w:r>
    </w:p>
    <w:p w14:paraId="3BCF1DB5" w14:textId="48912EAA" w:rsidR="00C86949" w:rsidRPr="00F22461" w:rsidRDefault="00C86949" w:rsidP="0089434E">
      <w:pPr>
        <w:pStyle w:val="ListParagraph"/>
        <w:numPr>
          <w:ilvl w:val="0"/>
          <w:numId w:val="2"/>
        </w:numPr>
        <w:snapToGrid w:val="0"/>
        <w:spacing w:before="240" w:after="0" w:line="240" w:lineRule="auto"/>
        <w:contextualSpacing w:val="0"/>
        <w:jc w:val="both"/>
        <w:rPr>
          <w:rFonts w:ascii="Times New Roman" w:hAnsi="Times New Roman" w:cs="Times New Roman"/>
          <w:sz w:val="24"/>
          <w:szCs w:val="24"/>
          <w:lang w:val="en-GB"/>
        </w:rPr>
      </w:pPr>
      <w:r w:rsidRPr="00F22461">
        <w:rPr>
          <w:rFonts w:ascii="Times New Roman" w:hAnsi="Times New Roman" w:cs="Times New Roman"/>
          <w:sz w:val="24"/>
          <w:szCs w:val="24"/>
          <w:lang w:val="en-GB"/>
        </w:rPr>
        <w:lastRenderedPageBreak/>
        <w:t xml:space="preserve">The General Assembly has emphasized in its resolutions on </w:t>
      </w:r>
      <w:r w:rsidR="008278B6">
        <w:rPr>
          <w:rFonts w:ascii="Times New Roman" w:hAnsi="Times New Roman" w:cs="Times New Roman"/>
          <w:sz w:val="24"/>
          <w:szCs w:val="24"/>
          <w:lang w:val="en-GB"/>
        </w:rPr>
        <w:t>m</w:t>
      </w:r>
      <w:r w:rsidRPr="00F22461">
        <w:rPr>
          <w:rFonts w:ascii="Times New Roman" w:hAnsi="Times New Roman" w:cs="Times New Roman"/>
          <w:sz w:val="24"/>
          <w:szCs w:val="24"/>
          <w:lang w:val="en-GB"/>
        </w:rPr>
        <w:t xml:space="preserve">ultilingualism (most recently </w:t>
      </w:r>
      <w:hyperlink r:id="rId64" w:history="1">
        <w:r w:rsidRPr="00F22461">
          <w:rPr>
            <w:rStyle w:val="Hyperlink"/>
            <w:rFonts w:ascii="Times New Roman" w:hAnsi="Times New Roman" w:cs="Times New Roman"/>
            <w:sz w:val="24"/>
            <w:szCs w:val="24"/>
            <w:lang w:val="en-GB"/>
          </w:rPr>
          <w:t>73/346</w:t>
        </w:r>
      </w:hyperlink>
      <w:r w:rsidRPr="00F22461">
        <w:rPr>
          <w:rFonts w:ascii="Times New Roman" w:hAnsi="Times New Roman" w:cs="Times New Roman"/>
          <w:sz w:val="24"/>
          <w:szCs w:val="24"/>
          <w:lang w:val="en-GB"/>
        </w:rPr>
        <w:t xml:space="preserve">) the </w:t>
      </w:r>
      <w:r w:rsidRPr="0089434E">
        <w:rPr>
          <w:rFonts w:ascii="Times New Roman" w:eastAsia="Times New Roman" w:hAnsi="Times New Roman" w:cs="Times New Roman"/>
          <w:sz w:val="24"/>
          <w:szCs w:val="24"/>
          <w:lang w:val="en-GB" w:eastAsia="zh-CN"/>
        </w:rPr>
        <w:t>paramount importance of the equality of the six official languages of the United Nations</w:t>
      </w:r>
      <w:r w:rsidR="00C948E2" w:rsidRPr="0089434E">
        <w:rPr>
          <w:rFonts w:ascii="Times New Roman" w:eastAsia="Times New Roman" w:hAnsi="Times New Roman" w:cs="Times New Roman"/>
          <w:sz w:val="24"/>
          <w:szCs w:val="24"/>
          <w:lang w:val="en-GB" w:eastAsia="zh-CN"/>
        </w:rPr>
        <w:t>, and underlined the responsibility of the Secretariat of the United Nations in integrating multilingualism into its activities, from within existing resources, on an equitable basis.</w:t>
      </w:r>
      <w:r w:rsidR="00ED63AC" w:rsidRPr="0089434E">
        <w:rPr>
          <w:rFonts w:ascii="Times New Roman" w:eastAsia="Times New Roman" w:hAnsi="Times New Roman" w:cs="Times New Roman"/>
          <w:sz w:val="24"/>
          <w:szCs w:val="24"/>
          <w:lang w:val="en-GB" w:eastAsia="zh-CN"/>
        </w:rPr>
        <w:t xml:space="preserve"> </w:t>
      </w:r>
      <w:r w:rsidR="00FC17FF" w:rsidRPr="0089434E">
        <w:rPr>
          <w:rFonts w:ascii="Times New Roman" w:eastAsia="Times New Roman" w:hAnsi="Times New Roman" w:cs="Times New Roman"/>
          <w:sz w:val="24"/>
          <w:szCs w:val="24"/>
          <w:lang w:val="en-GB" w:eastAsia="zh-CN"/>
        </w:rPr>
        <w:t xml:space="preserve">As outputs of </w:t>
      </w:r>
      <w:r w:rsidR="00ED63AC" w:rsidRPr="0089434E">
        <w:rPr>
          <w:rFonts w:ascii="Times New Roman" w:eastAsia="Times New Roman" w:hAnsi="Times New Roman" w:cs="Times New Roman"/>
          <w:sz w:val="24"/>
          <w:szCs w:val="24"/>
          <w:lang w:val="en-GB" w:eastAsia="zh-CN"/>
        </w:rPr>
        <w:t xml:space="preserve">the second cycle, </w:t>
      </w:r>
      <w:r w:rsidR="00FC17FF" w:rsidRPr="0089434E">
        <w:rPr>
          <w:rFonts w:ascii="Times New Roman" w:eastAsia="Times New Roman" w:hAnsi="Times New Roman" w:cs="Times New Roman"/>
          <w:sz w:val="24"/>
          <w:szCs w:val="24"/>
          <w:lang w:val="en-GB" w:eastAsia="zh-CN"/>
        </w:rPr>
        <w:t xml:space="preserve">the technical abstracts of WOA I have been made available in all six official languages, and WOA II will be made available in all six official languages. </w:t>
      </w:r>
      <w:r w:rsidR="005E302D" w:rsidRPr="0089434E">
        <w:rPr>
          <w:rFonts w:ascii="Times New Roman" w:eastAsia="Times New Roman" w:hAnsi="Times New Roman" w:cs="Times New Roman"/>
          <w:sz w:val="24"/>
          <w:szCs w:val="24"/>
          <w:lang w:val="en-GB" w:eastAsia="zh-CN"/>
        </w:rPr>
        <w:t>The website of the Regular Process is currently available in English only.</w:t>
      </w:r>
    </w:p>
    <w:p w14:paraId="3BD057AB" w14:textId="5C836CAA" w:rsidR="00335884" w:rsidRDefault="008278B6"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did you find the integration of multilingualism </w:t>
      </w:r>
      <w:r w:rsidR="00DC2190">
        <w:rPr>
          <w:rFonts w:ascii="Times New Roman" w:hAnsi="Times New Roman" w:cs="Times New Roman"/>
          <w:sz w:val="24"/>
          <w:szCs w:val="24"/>
          <w:lang w:val="en-GB"/>
        </w:rPr>
        <w:t>in the activities of the second cycle?</w:t>
      </w:r>
    </w:p>
    <w:p w14:paraId="2AB84E3B" w14:textId="2721BB14" w:rsidR="00F5423C"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DC2190">
        <w:rPr>
          <w:rFonts w:ascii="Times New Roman" w:hAnsi="Times New Roman" w:cs="Times New Roman"/>
          <w:sz w:val="24"/>
          <w:szCs w:val="24"/>
          <w:lang w:val="en-GB"/>
        </w:rPr>
        <w:t xml:space="preserve"> to further integrat</w:t>
      </w:r>
      <w:r>
        <w:rPr>
          <w:rFonts w:ascii="Times New Roman" w:hAnsi="Times New Roman" w:cs="Times New Roman"/>
          <w:sz w:val="24"/>
          <w:szCs w:val="24"/>
          <w:lang w:val="en-GB"/>
        </w:rPr>
        <w:t>ing</w:t>
      </w:r>
      <w:r w:rsidR="00DC2190">
        <w:rPr>
          <w:rFonts w:ascii="Times New Roman" w:hAnsi="Times New Roman" w:cs="Times New Roman"/>
          <w:sz w:val="24"/>
          <w:szCs w:val="24"/>
          <w:lang w:val="en-GB"/>
        </w:rPr>
        <w:t xml:space="preserve"> multilingualism in the activities of the </w:t>
      </w:r>
      <w:r>
        <w:rPr>
          <w:rFonts w:ascii="Times New Roman" w:hAnsi="Times New Roman" w:cs="Times New Roman"/>
          <w:sz w:val="24"/>
          <w:szCs w:val="24"/>
          <w:lang w:val="en-GB"/>
        </w:rPr>
        <w:t>Regular Process</w:t>
      </w:r>
      <w:r w:rsidR="00DC2190">
        <w:rPr>
          <w:rFonts w:ascii="Times New Roman" w:hAnsi="Times New Roman" w:cs="Times New Roman"/>
          <w:sz w:val="24"/>
          <w:szCs w:val="24"/>
          <w:lang w:val="en-GB"/>
        </w:rPr>
        <w:t>?</w:t>
      </w:r>
    </w:p>
    <w:p w14:paraId="2EC8F767" w14:textId="77777777" w:rsidR="00677147" w:rsidRPr="00677147" w:rsidRDefault="00677147" w:rsidP="00677147">
      <w:pPr>
        <w:pStyle w:val="ListParagraph"/>
        <w:spacing w:after="0" w:line="240" w:lineRule="auto"/>
        <w:jc w:val="both"/>
        <w:rPr>
          <w:rFonts w:ascii="Times New Roman" w:hAnsi="Times New Roman" w:cs="Times New Roman"/>
          <w:sz w:val="24"/>
          <w:szCs w:val="24"/>
          <w:lang w:val="en-GB"/>
        </w:rPr>
      </w:pPr>
    </w:p>
    <w:p w14:paraId="74C125AE" w14:textId="6EC7EF93" w:rsidR="00F5423C" w:rsidRPr="00677147" w:rsidRDefault="00E634F7" w:rsidP="00677147">
      <w:pPr>
        <w:widowControl w:val="0"/>
        <w:autoSpaceDE w:val="0"/>
        <w:autoSpaceDN w:val="0"/>
        <w:adjustRightInd w:val="0"/>
        <w:spacing w:before="120" w:after="120"/>
        <w:jc w:val="both"/>
        <w:rPr>
          <w:rFonts w:eastAsia="SimSun"/>
          <w:b/>
          <w:bCs/>
          <w:i/>
          <w:iCs/>
          <w:sz w:val="28"/>
          <w:szCs w:val="28"/>
          <w:lang w:val="en-GB" w:eastAsia="en-GB"/>
        </w:rPr>
      </w:pPr>
      <w:r w:rsidRPr="002D0BD4">
        <w:rPr>
          <w:rFonts w:eastAsia="SimSun"/>
          <w:b/>
          <w:bCs/>
          <w:i/>
          <w:iCs/>
          <w:sz w:val="28"/>
          <w:szCs w:val="28"/>
          <w:lang w:val="en-GB" w:eastAsia="en-GB"/>
        </w:rPr>
        <w:t>Lessons learned process</w:t>
      </w:r>
    </w:p>
    <w:p w14:paraId="0E3D0289" w14:textId="668E7AD4" w:rsidR="00476C03" w:rsidRPr="0089434E" w:rsidRDefault="00476C03" w:rsidP="0089434E">
      <w:pPr>
        <w:pStyle w:val="ListParagraph"/>
        <w:numPr>
          <w:ilvl w:val="0"/>
          <w:numId w:val="2"/>
        </w:numPr>
        <w:snapToGrid w:val="0"/>
        <w:spacing w:before="240" w:after="0" w:line="240" w:lineRule="auto"/>
        <w:contextualSpacing w:val="0"/>
        <w:jc w:val="both"/>
        <w:rPr>
          <w:rFonts w:ascii="Times New Roman" w:eastAsia="Times New Roman" w:hAnsi="Times New Roman" w:cs="Times New Roman"/>
          <w:sz w:val="24"/>
          <w:szCs w:val="24"/>
          <w:lang w:val="en-GB" w:eastAsia="zh-CN"/>
        </w:rPr>
      </w:pPr>
      <w:r w:rsidRPr="0089434E">
        <w:rPr>
          <w:rFonts w:ascii="Times New Roman" w:eastAsia="Times New Roman" w:hAnsi="Times New Roman" w:cs="Times New Roman"/>
          <w:sz w:val="24"/>
          <w:szCs w:val="24"/>
          <w:lang w:val="en-GB" w:eastAsia="zh-CN"/>
        </w:rPr>
        <w:t>In its resolution 74/19, the General Assembly requested the Bureau to consider the lessons learned from the second cycle of the Regular Process</w:t>
      </w:r>
      <w:r w:rsidR="00677147">
        <w:rPr>
          <w:rFonts w:ascii="Times New Roman" w:eastAsia="Times New Roman" w:hAnsi="Times New Roman" w:cs="Times New Roman"/>
          <w:sz w:val="24"/>
          <w:szCs w:val="24"/>
          <w:lang w:val="en-GB" w:eastAsia="zh-CN"/>
        </w:rPr>
        <w:t>,</w:t>
      </w:r>
      <w:r w:rsidRPr="0089434E">
        <w:rPr>
          <w:rFonts w:ascii="Times New Roman" w:eastAsia="Times New Roman" w:hAnsi="Times New Roman" w:cs="Times New Roman"/>
          <w:sz w:val="24"/>
          <w:szCs w:val="24"/>
          <w:lang w:val="en-GB" w:eastAsia="zh-CN"/>
        </w:rPr>
        <w:t xml:space="preserve"> including with regard to the duration of the cycle and its outputs, in line with the modalities set forth in paragraph 282 of resolution 70/235 and on the basis of input received from Member States and other participants in the Ad Hoc Working Group and the Group of Experts, as well as from the secretariat.</w:t>
      </w:r>
      <w:r w:rsidR="00C470D6" w:rsidRPr="0089434E">
        <w:rPr>
          <w:rFonts w:ascii="Times New Roman" w:eastAsia="Times New Roman" w:hAnsi="Times New Roman" w:cs="Times New Roman"/>
          <w:sz w:val="24"/>
          <w:szCs w:val="24"/>
          <w:lang w:val="en-GB" w:eastAsia="zh-CN"/>
        </w:rPr>
        <w:t xml:space="preserve"> In its meeting on 19 February 2020, the Bureau agreed that the lessons learned exercise for the second cycle would consist only of the written submission of input, which would be compiled by the secretariat and submitted for </w:t>
      </w:r>
      <w:r w:rsidR="0021647D" w:rsidRPr="0089434E">
        <w:rPr>
          <w:rFonts w:ascii="Times New Roman" w:eastAsia="Times New Roman" w:hAnsi="Times New Roman" w:cs="Times New Roman"/>
          <w:sz w:val="24"/>
          <w:szCs w:val="24"/>
          <w:lang w:val="en-GB" w:eastAsia="zh-CN"/>
        </w:rPr>
        <w:t>c</w:t>
      </w:r>
      <w:r w:rsidR="00C470D6" w:rsidRPr="0089434E">
        <w:rPr>
          <w:rFonts w:ascii="Times New Roman" w:eastAsia="Times New Roman" w:hAnsi="Times New Roman" w:cs="Times New Roman"/>
          <w:sz w:val="24"/>
          <w:szCs w:val="24"/>
          <w:lang w:val="en-GB" w:eastAsia="zh-CN"/>
        </w:rPr>
        <w:t>onsideration by the Bureau and then by the Ad Hoc</w:t>
      </w:r>
      <w:r w:rsidR="007F4EFB" w:rsidRPr="0089434E">
        <w:rPr>
          <w:rFonts w:ascii="Times New Roman" w:eastAsia="Times New Roman" w:hAnsi="Times New Roman" w:cs="Times New Roman"/>
          <w:sz w:val="24"/>
          <w:szCs w:val="24"/>
          <w:lang w:val="en-GB" w:eastAsia="zh-CN"/>
        </w:rPr>
        <w:t xml:space="preserve"> </w:t>
      </w:r>
      <w:r w:rsidR="00C470D6" w:rsidRPr="0089434E">
        <w:rPr>
          <w:rFonts w:ascii="Times New Roman" w:eastAsia="Times New Roman" w:hAnsi="Times New Roman" w:cs="Times New Roman"/>
          <w:sz w:val="24"/>
          <w:szCs w:val="24"/>
          <w:lang w:val="en-GB" w:eastAsia="zh-CN"/>
        </w:rPr>
        <w:t>Working Group</w:t>
      </w:r>
      <w:r w:rsidR="00677147">
        <w:rPr>
          <w:rFonts w:ascii="Times New Roman" w:eastAsia="Times New Roman" w:hAnsi="Times New Roman" w:cs="Times New Roman"/>
          <w:sz w:val="24"/>
          <w:szCs w:val="24"/>
          <w:lang w:val="en-GB" w:eastAsia="zh-CN"/>
        </w:rPr>
        <w:t xml:space="preserve"> of the Whole</w:t>
      </w:r>
      <w:r w:rsidR="0021647D" w:rsidRPr="0089434E">
        <w:rPr>
          <w:rFonts w:ascii="Times New Roman" w:eastAsia="Times New Roman" w:hAnsi="Times New Roman" w:cs="Times New Roman"/>
          <w:sz w:val="24"/>
          <w:szCs w:val="24"/>
          <w:lang w:val="en-GB" w:eastAsia="zh-CN"/>
        </w:rPr>
        <w:t xml:space="preserve">. </w:t>
      </w:r>
      <w:r w:rsidR="00EA3DFA" w:rsidRPr="0089434E">
        <w:rPr>
          <w:rFonts w:ascii="Times New Roman" w:eastAsia="Times New Roman" w:hAnsi="Times New Roman" w:cs="Times New Roman"/>
          <w:sz w:val="24"/>
          <w:szCs w:val="24"/>
          <w:lang w:val="en-GB" w:eastAsia="zh-CN"/>
        </w:rPr>
        <w:t xml:space="preserve">A list of relevant documents and questions for consideration was developed by the secretariat for Member States and other participants in the Ad Hoc Working Group of the Whole to take into consideration in </w:t>
      </w:r>
      <w:r w:rsidR="00677147">
        <w:rPr>
          <w:rFonts w:ascii="Times New Roman" w:eastAsia="Times New Roman" w:hAnsi="Times New Roman" w:cs="Times New Roman"/>
          <w:sz w:val="24"/>
          <w:szCs w:val="24"/>
          <w:lang w:val="en-GB" w:eastAsia="zh-CN"/>
        </w:rPr>
        <w:t>preparing</w:t>
      </w:r>
      <w:r w:rsidR="00EA3DFA" w:rsidRPr="0089434E">
        <w:rPr>
          <w:rFonts w:ascii="Times New Roman" w:eastAsia="Times New Roman" w:hAnsi="Times New Roman" w:cs="Times New Roman"/>
          <w:sz w:val="24"/>
          <w:szCs w:val="24"/>
          <w:lang w:val="en-GB" w:eastAsia="zh-CN"/>
        </w:rPr>
        <w:t xml:space="preserve"> their written input on lessons learned from the second cycle. </w:t>
      </w:r>
    </w:p>
    <w:p w14:paraId="23DEB14A" w14:textId="1866A863" w:rsidR="00892BB6" w:rsidRDefault="00EA3DFA"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the lessons learned exercise for the second cycle useful</w:t>
      </w:r>
      <w:r w:rsidR="00691E0E">
        <w:rPr>
          <w:rFonts w:ascii="Times New Roman" w:hAnsi="Times New Roman" w:cs="Times New Roman"/>
          <w:sz w:val="24"/>
          <w:szCs w:val="24"/>
          <w:lang w:val="en-GB"/>
        </w:rPr>
        <w:t xml:space="preserve"> and relevant</w:t>
      </w:r>
      <w:r w:rsidR="00C75C54" w:rsidRPr="00F22461">
        <w:rPr>
          <w:rFonts w:ascii="Times New Roman" w:hAnsi="Times New Roman" w:cs="Times New Roman"/>
          <w:sz w:val="24"/>
          <w:szCs w:val="24"/>
          <w:lang w:val="en-GB"/>
        </w:rPr>
        <w:t>?</w:t>
      </w:r>
    </w:p>
    <w:p w14:paraId="5541419E" w14:textId="13DC0E20" w:rsidR="00EA3DFA" w:rsidRPr="00F22461"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EA3DFA">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further</w:t>
      </w:r>
      <w:r w:rsidR="00EA3DFA">
        <w:rPr>
          <w:rFonts w:ascii="Times New Roman" w:hAnsi="Times New Roman" w:cs="Times New Roman"/>
          <w:sz w:val="24"/>
          <w:szCs w:val="24"/>
          <w:lang w:val="en-GB"/>
        </w:rPr>
        <w:t xml:space="preserve"> improv</w:t>
      </w:r>
      <w:r>
        <w:rPr>
          <w:rFonts w:ascii="Times New Roman" w:hAnsi="Times New Roman" w:cs="Times New Roman"/>
          <w:sz w:val="24"/>
          <w:szCs w:val="24"/>
          <w:lang w:val="en-GB"/>
        </w:rPr>
        <w:t>ing</w:t>
      </w:r>
      <w:r w:rsidR="00EA3DFA">
        <w:rPr>
          <w:rFonts w:ascii="Times New Roman" w:hAnsi="Times New Roman" w:cs="Times New Roman"/>
          <w:sz w:val="24"/>
          <w:szCs w:val="24"/>
          <w:lang w:val="en-GB"/>
        </w:rPr>
        <w:t xml:space="preserve"> </w:t>
      </w:r>
      <w:proofErr w:type="gramStart"/>
      <w:r w:rsidR="00EA3DFA">
        <w:rPr>
          <w:rFonts w:ascii="Times New Roman" w:hAnsi="Times New Roman" w:cs="Times New Roman"/>
          <w:sz w:val="24"/>
          <w:szCs w:val="24"/>
          <w:lang w:val="en-GB"/>
        </w:rPr>
        <w:t>th</w:t>
      </w:r>
      <w:r>
        <w:rPr>
          <w:rFonts w:ascii="Times New Roman" w:hAnsi="Times New Roman" w:cs="Times New Roman"/>
          <w:sz w:val="24"/>
          <w:szCs w:val="24"/>
          <w:lang w:val="en-GB"/>
        </w:rPr>
        <w:t>is</w:t>
      </w:r>
      <w:r w:rsidR="00EA3DFA">
        <w:rPr>
          <w:rFonts w:ascii="Times New Roman" w:hAnsi="Times New Roman" w:cs="Times New Roman"/>
          <w:sz w:val="24"/>
          <w:szCs w:val="24"/>
          <w:lang w:val="en-GB"/>
        </w:rPr>
        <w:t xml:space="preserve"> lessons</w:t>
      </w:r>
      <w:proofErr w:type="gramEnd"/>
      <w:r w:rsidR="00EA3DFA">
        <w:rPr>
          <w:rFonts w:ascii="Times New Roman" w:hAnsi="Times New Roman" w:cs="Times New Roman"/>
          <w:sz w:val="24"/>
          <w:szCs w:val="24"/>
          <w:lang w:val="en-GB"/>
        </w:rPr>
        <w:t xml:space="preserve"> learned exercise?</w:t>
      </w:r>
    </w:p>
    <w:p w14:paraId="5EDC5069" w14:textId="1B4B4BF8" w:rsidR="00EA3DFA" w:rsidRDefault="00EA3DFA"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Did you find this list of relevant documents and questions for consideration useful</w:t>
      </w:r>
      <w:r w:rsidR="00691E0E">
        <w:rPr>
          <w:rFonts w:ascii="Times New Roman" w:hAnsi="Times New Roman" w:cs="Times New Roman"/>
          <w:sz w:val="24"/>
          <w:szCs w:val="24"/>
          <w:lang w:val="en-GB"/>
        </w:rPr>
        <w:t xml:space="preserve"> and relevant</w:t>
      </w:r>
      <w:r w:rsidR="00892BB6" w:rsidRPr="00F22461">
        <w:rPr>
          <w:rFonts w:ascii="Times New Roman" w:hAnsi="Times New Roman" w:cs="Times New Roman"/>
          <w:sz w:val="24"/>
          <w:szCs w:val="24"/>
          <w:lang w:val="en-GB"/>
        </w:rPr>
        <w:t xml:space="preserve">? </w:t>
      </w:r>
    </w:p>
    <w:p w14:paraId="3F3415BF" w14:textId="08C4BF3C" w:rsidR="007E57B4" w:rsidRPr="00F22461" w:rsidRDefault="00691E0E" w:rsidP="002D0BD4">
      <w:pPr>
        <w:pStyle w:val="ListParagraph"/>
        <w:numPr>
          <w:ilvl w:val="0"/>
          <w:numId w:val="1"/>
        </w:num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Could you provide any suggestions with a view</w:t>
      </w:r>
      <w:r w:rsidR="00EA3DFA">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further</w:t>
      </w:r>
      <w:r w:rsidR="00EA3DFA">
        <w:rPr>
          <w:rFonts w:ascii="Times New Roman" w:hAnsi="Times New Roman" w:cs="Times New Roman"/>
          <w:sz w:val="24"/>
          <w:szCs w:val="24"/>
          <w:lang w:val="en-GB"/>
        </w:rPr>
        <w:t xml:space="preserve"> improv</w:t>
      </w:r>
      <w:r>
        <w:rPr>
          <w:rFonts w:ascii="Times New Roman" w:hAnsi="Times New Roman" w:cs="Times New Roman"/>
          <w:sz w:val="24"/>
          <w:szCs w:val="24"/>
          <w:lang w:val="en-GB"/>
        </w:rPr>
        <w:t>ing</w:t>
      </w:r>
      <w:r w:rsidR="00EA3DFA">
        <w:rPr>
          <w:rFonts w:ascii="Times New Roman" w:hAnsi="Times New Roman" w:cs="Times New Roman"/>
          <w:sz w:val="24"/>
          <w:szCs w:val="24"/>
          <w:lang w:val="en-GB"/>
        </w:rPr>
        <w:t xml:space="preserve"> this list of relevant documents and questions for consideration</w:t>
      </w:r>
      <w:r w:rsidR="00892BB6" w:rsidRPr="00F22461">
        <w:rPr>
          <w:rFonts w:ascii="Times New Roman" w:hAnsi="Times New Roman" w:cs="Times New Roman"/>
          <w:sz w:val="24"/>
          <w:szCs w:val="24"/>
          <w:lang w:val="en-GB"/>
        </w:rPr>
        <w:t>?</w:t>
      </w:r>
    </w:p>
    <w:sectPr w:rsidR="007E57B4" w:rsidRPr="00F22461">
      <w:footerReference w:type="even"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9A95" w14:textId="77777777" w:rsidR="00D27104" w:rsidRDefault="00D27104" w:rsidP="005A70B0">
      <w:r>
        <w:separator/>
      </w:r>
    </w:p>
  </w:endnote>
  <w:endnote w:type="continuationSeparator" w:id="0">
    <w:p w14:paraId="23B629F6" w14:textId="77777777" w:rsidR="00D27104" w:rsidRDefault="00D27104" w:rsidP="005A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1139331"/>
      <w:docPartObj>
        <w:docPartGallery w:val="Page Numbers (Bottom of Page)"/>
        <w:docPartUnique/>
      </w:docPartObj>
    </w:sdtPr>
    <w:sdtEndPr>
      <w:rPr>
        <w:rStyle w:val="PageNumber"/>
      </w:rPr>
    </w:sdtEndPr>
    <w:sdtContent>
      <w:p w14:paraId="35710EE6" w14:textId="5D0286AD" w:rsidR="00CB3F20" w:rsidRDefault="00CB3F20" w:rsidP="00D61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13451" w14:textId="77777777" w:rsidR="00CB3F20" w:rsidRDefault="00CB3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8757019"/>
      <w:docPartObj>
        <w:docPartGallery w:val="Page Numbers (Bottom of Page)"/>
        <w:docPartUnique/>
      </w:docPartObj>
    </w:sdtPr>
    <w:sdtEndPr>
      <w:rPr>
        <w:rStyle w:val="PageNumber"/>
      </w:rPr>
    </w:sdtEndPr>
    <w:sdtContent>
      <w:p w14:paraId="28010228" w14:textId="43C3F30D" w:rsidR="00CB3F20" w:rsidRDefault="00CB3F20" w:rsidP="00D61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4574">
          <w:rPr>
            <w:rStyle w:val="PageNumber"/>
            <w:noProof/>
          </w:rPr>
          <w:t>14</w:t>
        </w:r>
        <w:r>
          <w:rPr>
            <w:rStyle w:val="PageNumber"/>
          </w:rPr>
          <w:fldChar w:fldCharType="end"/>
        </w:r>
      </w:p>
    </w:sdtContent>
  </w:sdt>
  <w:p w14:paraId="1F9165F4" w14:textId="77777777" w:rsidR="00CB3F20" w:rsidRDefault="00CB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12BB" w14:textId="77777777" w:rsidR="00D27104" w:rsidRDefault="00D27104" w:rsidP="005A70B0">
      <w:r>
        <w:separator/>
      </w:r>
    </w:p>
  </w:footnote>
  <w:footnote w:type="continuationSeparator" w:id="0">
    <w:p w14:paraId="079F6CE1" w14:textId="77777777" w:rsidR="00D27104" w:rsidRDefault="00D27104" w:rsidP="005A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293B"/>
    <w:multiLevelType w:val="hybridMultilevel"/>
    <w:tmpl w:val="8946CE5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86EF2"/>
    <w:multiLevelType w:val="hybridMultilevel"/>
    <w:tmpl w:val="91E8F9B2"/>
    <w:lvl w:ilvl="0" w:tplc="4336D1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1A33F7A"/>
    <w:multiLevelType w:val="hybridMultilevel"/>
    <w:tmpl w:val="B456BBB0"/>
    <w:lvl w:ilvl="0" w:tplc="4336D1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1A"/>
    <w:rsid w:val="00000507"/>
    <w:rsid w:val="00004F68"/>
    <w:rsid w:val="000067A8"/>
    <w:rsid w:val="00006947"/>
    <w:rsid w:val="000123CD"/>
    <w:rsid w:val="00012F8C"/>
    <w:rsid w:val="00015A3E"/>
    <w:rsid w:val="00015A95"/>
    <w:rsid w:val="00017CBB"/>
    <w:rsid w:val="000205F1"/>
    <w:rsid w:val="00022717"/>
    <w:rsid w:val="00023FAA"/>
    <w:rsid w:val="0002699D"/>
    <w:rsid w:val="00026CA0"/>
    <w:rsid w:val="0003063B"/>
    <w:rsid w:val="00032FF6"/>
    <w:rsid w:val="00035148"/>
    <w:rsid w:val="00036635"/>
    <w:rsid w:val="000402D3"/>
    <w:rsid w:val="00054041"/>
    <w:rsid w:val="00054F2D"/>
    <w:rsid w:val="0005755F"/>
    <w:rsid w:val="00060F74"/>
    <w:rsid w:val="00062A93"/>
    <w:rsid w:val="00067652"/>
    <w:rsid w:val="000679A4"/>
    <w:rsid w:val="00071B81"/>
    <w:rsid w:val="00073795"/>
    <w:rsid w:val="00081F1A"/>
    <w:rsid w:val="000851C5"/>
    <w:rsid w:val="00085292"/>
    <w:rsid w:val="00085E18"/>
    <w:rsid w:val="00091363"/>
    <w:rsid w:val="00093931"/>
    <w:rsid w:val="00094AE7"/>
    <w:rsid w:val="00096D20"/>
    <w:rsid w:val="000A04C0"/>
    <w:rsid w:val="000A1483"/>
    <w:rsid w:val="000A2EA9"/>
    <w:rsid w:val="000A3F4E"/>
    <w:rsid w:val="000A479E"/>
    <w:rsid w:val="000B17DF"/>
    <w:rsid w:val="000B5F34"/>
    <w:rsid w:val="000C3A47"/>
    <w:rsid w:val="000C6FCA"/>
    <w:rsid w:val="000D36DA"/>
    <w:rsid w:val="000D3C21"/>
    <w:rsid w:val="000D3D29"/>
    <w:rsid w:val="000D5BEE"/>
    <w:rsid w:val="000D7B9D"/>
    <w:rsid w:val="000F071B"/>
    <w:rsid w:val="000F2E84"/>
    <w:rsid w:val="000F4660"/>
    <w:rsid w:val="000F54C7"/>
    <w:rsid w:val="000F70B5"/>
    <w:rsid w:val="000F761B"/>
    <w:rsid w:val="000F7C27"/>
    <w:rsid w:val="001000FB"/>
    <w:rsid w:val="00106CF0"/>
    <w:rsid w:val="00111726"/>
    <w:rsid w:val="0011270E"/>
    <w:rsid w:val="00112877"/>
    <w:rsid w:val="0011753E"/>
    <w:rsid w:val="00120890"/>
    <w:rsid w:val="00125CF6"/>
    <w:rsid w:val="00126FEA"/>
    <w:rsid w:val="00132BEF"/>
    <w:rsid w:val="00133ACA"/>
    <w:rsid w:val="00136DEC"/>
    <w:rsid w:val="001417B5"/>
    <w:rsid w:val="0014331A"/>
    <w:rsid w:val="0014702F"/>
    <w:rsid w:val="00150A60"/>
    <w:rsid w:val="00153A20"/>
    <w:rsid w:val="00155B3C"/>
    <w:rsid w:val="001566FF"/>
    <w:rsid w:val="00167618"/>
    <w:rsid w:val="00167E02"/>
    <w:rsid w:val="00170376"/>
    <w:rsid w:val="001762B0"/>
    <w:rsid w:val="00177739"/>
    <w:rsid w:val="0018307B"/>
    <w:rsid w:val="00183809"/>
    <w:rsid w:val="00184DBC"/>
    <w:rsid w:val="00187674"/>
    <w:rsid w:val="00190091"/>
    <w:rsid w:val="00191C06"/>
    <w:rsid w:val="001921A7"/>
    <w:rsid w:val="001926C3"/>
    <w:rsid w:val="001961DB"/>
    <w:rsid w:val="00197025"/>
    <w:rsid w:val="001A6450"/>
    <w:rsid w:val="001A771D"/>
    <w:rsid w:val="001B089E"/>
    <w:rsid w:val="001C4376"/>
    <w:rsid w:val="001D48C0"/>
    <w:rsid w:val="001D49AD"/>
    <w:rsid w:val="001D7658"/>
    <w:rsid w:val="001E0263"/>
    <w:rsid w:val="001E1588"/>
    <w:rsid w:val="001E1B05"/>
    <w:rsid w:val="001E2039"/>
    <w:rsid w:val="001E336B"/>
    <w:rsid w:val="001F2123"/>
    <w:rsid w:val="001F28C6"/>
    <w:rsid w:val="001F3FFD"/>
    <w:rsid w:val="00206DCC"/>
    <w:rsid w:val="00206F6D"/>
    <w:rsid w:val="00213C94"/>
    <w:rsid w:val="002142AD"/>
    <w:rsid w:val="0021552A"/>
    <w:rsid w:val="0021647D"/>
    <w:rsid w:val="002237CF"/>
    <w:rsid w:val="00224ACB"/>
    <w:rsid w:val="00224D4E"/>
    <w:rsid w:val="0022728B"/>
    <w:rsid w:val="00233D94"/>
    <w:rsid w:val="0023505D"/>
    <w:rsid w:val="002361FE"/>
    <w:rsid w:val="002433EA"/>
    <w:rsid w:val="00246ACA"/>
    <w:rsid w:val="00251FDF"/>
    <w:rsid w:val="0025365B"/>
    <w:rsid w:val="00255B9F"/>
    <w:rsid w:val="00256835"/>
    <w:rsid w:val="00260453"/>
    <w:rsid w:val="00260D03"/>
    <w:rsid w:val="00260E50"/>
    <w:rsid w:val="00263352"/>
    <w:rsid w:val="0026373C"/>
    <w:rsid w:val="00263CC5"/>
    <w:rsid w:val="00264A09"/>
    <w:rsid w:val="0026663F"/>
    <w:rsid w:val="00271178"/>
    <w:rsid w:val="00271192"/>
    <w:rsid w:val="00271FDF"/>
    <w:rsid w:val="00275963"/>
    <w:rsid w:val="002801FD"/>
    <w:rsid w:val="00284172"/>
    <w:rsid w:val="00284C08"/>
    <w:rsid w:val="00293FFC"/>
    <w:rsid w:val="002A0B73"/>
    <w:rsid w:val="002A164D"/>
    <w:rsid w:val="002A1DAC"/>
    <w:rsid w:val="002A1EA3"/>
    <w:rsid w:val="002A3980"/>
    <w:rsid w:val="002A404B"/>
    <w:rsid w:val="002A73CD"/>
    <w:rsid w:val="002A7820"/>
    <w:rsid w:val="002A7CF1"/>
    <w:rsid w:val="002B64B3"/>
    <w:rsid w:val="002B6D11"/>
    <w:rsid w:val="002B763D"/>
    <w:rsid w:val="002B7870"/>
    <w:rsid w:val="002C434B"/>
    <w:rsid w:val="002C6E64"/>
    <w:rsid w:val="002D0BD4"/>
    <w:rsid w:val="002D1FBA"/>
    <w:rsid w:val="002D37D9"/>
    <w:rsid w:val="002D49D4"/>
    <w:rsid w:val="002D614A"/>
    <w:rsid w:val="002D742B"/>
    <w:rsid w:val="002E55C9"/>
    <w:rsid w:val="002E62A1"/>
    <w:rsid w:val="002E649D"/>
    <w:rsid w:val="002E74D3"/>
    <w:rsid w:val="002F3DF4"/>
    <w:rsid w:val="002F623D"/>
    <w:rsid w:val="00300140"/>
    <w:rsid w:val="003021E5"/>
    <w:rsid w:val="00304592"/>
    <w:rsid w:val="00305704"/>
    <w:rsid w:val="00306496"/>
    <w:rsid w:val="00312D7E"/>
    <w:rsid w:val="00320622"/>
    <w:rsid w:val="003260E7"/>
    <w:rsid w:val="003317A1"/>
    <w:rsid w:val="003343E0"/>
    <w:rsid w:val="00335884"/>
    <w:rsid w:val="003365D5"/>
    <w:rsid w:val="00340452"/>
    <w:rsid w:val="00342AE4"/>
    <w:rsid w:val="0034765B"/>
    <w:rsid w:val="0035272D"/>
    <w:rsid w:val="00353BC5"/>
    <w:rsid w:val="00354C91"/>
    <w:rsid w:val="00354CE5"/>
    <w:rsid w:val="00357B1B"/>
    <w:rsid w:val="00357EE6"/>
    <w:rsid w:val="003621B9"/>
    <w:rsid w:val="0036361B"/>
    <w:rsid w:val="00366EBB"/>
    <w:rsid w:val="003710DB"/>
    <w:rsid w:val="00371A49"/>
    <w:rsid w:val="003720A3"/>
    <w:rsid w:val="00374DE7"/>
    <w:rsid w:val="00376094"/>
    <w:rsid w:val="00376A94"/>
    <w:rsid w:val="003779CE"/>
    <w:rsid w:val="00377E4B"/>
    <w:rsid w:val="00382C8A"/>
    <w:rsid w:val="003838A7"/>
    <w:rsid w:val="00383F16"/>
    <w:rsid w:val="003863F8"/>
    <w:rsid w:val="00387B72"/>
    <w:rsid w:val="003977F9"/>
    <w:rsid w:val="003A517E"/>
    <w:rsid w:val="003A789F"/>
    <w:rsid w:val="003B0D5E"/>
    <w:rsid w:val="003B1924"/>
    <w:rsid w:val="003B33D4"/>
    <w:rsid w:val="003C0D5E"/>
    <w:rsid w:val="003C3C5C"/>
    <w:rsid w:val="003D4E6B"/>
    <w:rsid w:val="003E18FC"/>
    <w:rsid w:val="003E71F4"/>
    <w:rsid w:val="003E7869"/>
    <w:rsid w:val="003E7E7A"/>
    <w:rsid w:val="003F06D4"/>
    <w:rsid w:val="003F1D1A"/>
    <w:rsid w:val="003F25A1"/>
    <w:rsid w:val="0041052C"/>
    <w:rsid w:val="00410677"/>
    <w:rsid w:val="004109E8"/>
    <w:rsid w:val="00415FDE"/>
    <w:rsid w:val="00417437"/>
    <w:rsid w:val="004214E7"/>
    <w:rsid w:val="0042211A"/>
    <w:rsid w:val="00423244"/>
    <w:rsid w:val="004238BC"/>
    <w:rsid w:val="00423930"/>
    <w:rsid w:val="00432617"/>
    <w:rsid w:val="004369A4"/>
    <w:rsid w:val="00442288"/>
    <w:rsid w:val="0044305E"/>
    <w:rsid w:val="00444929"/>
    <w:rsid w:val="004504F7"/>
    <w:rsid w:val="00450D2D"/>
    <w:rsid w:val="00452D3D"/>
    <w:rsid w:val="00461245"/>
    <w:rsid w:val="00462DC1"/>
    <w:rsid w:val="0046362C"/>
    <w:rsid w:val="0046513E"/>
    <w:rsid w:val="004704D1"/>
    <w:rsid w:val="00472ED9"/>
    <w:rsid w:val="004736CE"/>
    <w:rsid w:val="00476974"/>
    <w:rsid w:val="00476C03"/>
    <w:rsid w:val="00484946"/>
    <w:rsid w:val="00487ACD"/>
    <w:rsid w:val="00490182"/>
    <w:rsid w:val="0049127E"/>
    <w:rsid w:val="0049748C"/>
    <w:rsid w:val="004A02EC"/>
    <w:rsid w:val="004A1032"/>
    <w:rsid w:val="004A20EB"/>
    <w:rsid w:val="004A6804"/>
    <w:rsid w:val="004A7A00"/>
    <w:rsid w:val="004B16F6"/>
    <w:rsid w:val="004B20DA"/>
    <w:rsid w:val="004B2BFB"/>
    <w:rsid w:val="004B629E"/>
    <w:rsid w:val="004B72B4"/>
    <w:rsid w:val="004C2473"/>
    <w:rsid w:val="004C269F"/>
    <w:rsid w:val="004C277B"/>
    <w:rsid w:val="004C2C36"/>
    <w:rsid w:val="004C4411"/>
    <w:rsid w:val="004C4E40"/>
    <w:rsid w:val="004D06B5"/>
    <w:rsid w:val="004D36BB"/>
    <w:rsid w:val="004D6E5B"/>
    <w:rsid w:val="004D7CAD"/>
    <w:rsid w:val="004E0F7B"/>
    <w:rsid w:val="004E2A18"/>
    <w:rsid w:val="004E60A0"/>
    <w:rsid w:val="004E6453"/>
    <w:rsid w:val="004E74B5"/>
    <w:rsid w:val="004F4791"/>
    <w:rsid w:val="004F6399"/>
    <w:rsid w:val="004F7564"/>
    <w:rsid w:val="004F76CF"/>
    <w:rsid w:val="0051518E"/>
    <w:rsid w:val="00515266"/>
    <w:rsid w:val="00517AB1"/>
    <w:rsid w:val="0052331C"/>
    <w:rsid w:val="005255C6"/>
    <w:rsid w:val="00530C26"/>
    <w:rsid w:val="00532DB9"/>
    <w:rsid w:val="00537D48"/>
    <w:rsid w:val="005419AF"/>
    <w:rsid w:val="005425E0"/>
    <w:rsid w:val="00550CC8"/>
    <w:rsid w:val="005510AC"/>
    <w:rsid w:val="0055142B"/>
    <w:rsid w:val="00552A5A"/>
    <w:rsid w:val="00552E33"/>
    <w:rsid w:val="005624F5"/>
    <w:rsid w:val="00562E5E"/>
    <w:rsid w:val="005674FC"/>
    <w:rsid w:val="00572644"/>
    <w:rsid w:val="00575ADE"/>
    <w:rsid w:val="00577372"/>
    <w:rsid w:val="005810A9"/>
    <w:rsid w:val="00584A52"/>
    <w:rsid w:val="00585019"/>
    <w:rsid w:val="0058689F"/>
    <w:rsid w:val="00587660"/>
    <w:rsid w:val="005912DA"/>
    <w:rsid w:val="0059239F"/>
    <w:rsid w:val="00594EEF"/>
    <w:rsid w:val="005A1250"/>
    <w:rsid w:val="005A28D9"/>
    <w:rsid w:val="005A2E16"/>
    <w:rsid w:val="005A43D4"/>
    <w:rsid w:val="005A57AD"/>
    <w:rsid w:val="005A70B0"/>
    <w:rsid w:val="005A7866"/>
    <w:rsid w:val="005B111A"/>
    <w:rsid w:val="005B2A4D"/>
    <w:rsid w:val="005B6B4A"/>
    <w:rsid w:val="005B7533"/>
    <w:rsid w:val="005C132C"/>
    <w:rsid w:val="005C31D0"/>
    <w:rsid w:val="005C496E"/>
    <w:rsid w:val="005D1AFA"/>
    <w:rsid w:val="005D2A7D"/>
    <w:rsid w:val="005D5B61"/>
    <w:rsid w:val="005D6B19"/>
    <w:rsid w:val="005E0302"/>
    <w:rsid w:val="005E191D"/>
    <w:rsid w:val="005E302D"/>
    <w:rsid w:val="005E4019"/>
    <w:rsid w:val="005E794A"/>
    <w:rsid w:val="005F1D49"/>
    <w:rsid w:val="005F2476"/>
    <w:rsid w:val="005F5E49"/>
    <w:rsid w:val="005F67DE"/>
    <w:rsid w:val="005F6F2D"/>
    <w:rsid w:val="00605D2C"/>
    <w:rsid w:val="006104EF"/>
    <w:rsid w:val="00611758"/>
    <w:rsid w:val="006127D1"/>
    <w:rsid w:val="006139EF"/>
    <w:rsid w:val="006221CD"/>
    <w:rsid w:val="00625E73"/>
    <w:rsid w:val="00630612"/>
    <w:rsid w:val="00632728"/>
    <w:rsid w:val="0063625E"/>
    <w:rsid w:val="00644238"/>
    <w:rsid w:val="00645C6D"/>
    <w:rsid w:val="00652B09"/>
    <w:rsid w:val="00653FD2"/>
    <w:rsid w:val="006543C4"/>
    <w:rsid w:val="00654BE8"/>
    <w:rsid w:val="006557F9"/>
    <w:rsid w:val="00656424"/>
    <w:rsid w:val="006601E3"/>
    <w:rsid w:val="00660B63"/>
    <w:rsid w:val="00661C22"/>
    <w:rsid w:val="00665214"/>
    <w:rsid w:val="00677147"/>
    <w:rsid w:val="006771EC"/>
    <w:rsid w:val="00680C92"/>
    <w:rsid w:val="006907F2"/>
    <w:rsid w:val="0069138F"/>
    <w:rsid w:val="00691E0E"/>
    <w:rsid w:val="00693ACB"/>
    <w:rsid w:val="006967C7"/>
    <w:rsid w:val="006A3425"/>
    <w:rsid w:val="006A5B38"/>
    <w:rsid w:val="006A66F4"/>
    <w:rsid w:val="006B0757"/>
    <w:rsid w:val="006B1989"/>
    <w:rsid w:val="006B208E"/>
    <w:rsid w:val="006C0A7F"/>
    <w:rsid w:val="006C2650"/>
    <w:rsid w:val="006C4397"/>
    <w:rsid w:val="006C45B6"/>
    <w:rsid w:val="006C7C3C"/>
    <w:rsid w:val="006D2683"/>
    <w:rsid w:val="006D3227"/>
    <w:rsid w:val="006D3CC8"/>
    <w:rsid w:val="006D545D"/>
    <w:rsid w:val="006E1404"/>
    <w:rsid w:val="006E1FCD"/>
    <w:rsid w:val="006E2A01"/>
    <w:rsid w:val="006E362F"/>
    <w:rsid w:val="006E71B8"/>
    <w:rsid w:val="006F2338"/>
    <w:rsid w:val="0070251E"/>
    <w:rsid w:val="007030D0"/>
    <w:rsid w:val="00703DF4"/>
    <w:rsid w:val="007124AD"/>
    <w:rsid w:val="00713D00"/>
    <w:rsid w:val="007200BD"/>
    <w:rsid w:val="00720AA6"/>
    <w:rsid w:val="00720E94"/>
    <w:rsid w:val="00722483"/>
    <w:rsid w:val="007277E5"/>
    <w:rsid w:val="00734D07"/>
    <w:rsid w:val="00735728"/>
    <w:rsid w:val="00742566"/>
    <w:rsid w:val="00742725"/>
    <w:rsid w:val="00744917"/>
    <w:rsid w:val="00750468"/>
    <w:rsid w:val="00751326"/>
    <w:rsid w:val="00754541"/>
    <w:rsid w:val="00761FCA"/>
    <w:rsid w:val="007628EB"/>
    <w:rsid w:val="0076393E"/>
    <w:rsid w:val="00766A7E"/>
    <w:rsid w:val="007703C3"/>
    <w:rsid w:val="0077098C"/>
    <w:rsid w:val="00771C84"/>
    <w:rsid w:val="007747F3"/>
    <w:rsid w:val="00774E73"/>
    <w:rsid w:val="007778D7"/>
    <w:rsid w:val="00782CEF"/>
    <w:rsid w:val="00786EF2"/>
    <w:rsid w:val="00791E40"/>
    <w:rsid w:val="00792C7D"/>
    <w:rsid w:val="007948BE"/>
    <w:rsid w:val="00795A76"/>
    <w:rsid w:val="007A129A"/>
    <w:rsid w:val="007A2660"/>
    <w:rsid w:val="007A2BB6"/>
    <w:rsid w:val="007A70FA"/>
    <w:rsid w:val="007B11F3"/>
    <w:rsid w:val="007B164A"/>
    <w:rsid w:val="007B447A"/>
    <w:rsid w:val="007B50CB"/>
    <w:rsid w:val="007B6E45"/>
    <w:rsid w:val="007B76A1"/>
    <w:rsid w:val="007C041F"/>
    <w:rsid w:val="007D0E83"/>
    <w:rsid w:val="007D1840"/>
    <w:rsid w:val="007D2025"/>
    <w:rsid w:val="007D26CE"/>
    <w:rsid w:val="007D790C"/>
    <w:rsid w:val="007D79F2"/>
    <w:rsid w:val="007E57B4"/>
    <w:rsid w:val="007E7CE3"/>
    <w:rsid w:val="007F0E1E"/>
    <w:rsid w:val="007F2607"/>
    <w:rsid w:val="007F4EFB"/>
    <w:rsid w:val="007F5F1C"/>
    <w:rsid w:val="007F696A"/>
    <w:rsid w:val="007F7C53"/>
    <w:rsid w:val="008021A1"/>
    <w:rsid w:val="008038A4"/>
    <w:rsid w:val="00812357"/>
    <w:rsid w:val="00815264"/>
    <w:rsid w:val="0081576B"/>
    <w:rsid w:val="008206B6"/>
    <w:rsid w:val="0082084B"/>
    <w:rsid w:val="00823CB9"/>
    <w:rsid w:val="00823DE4"/>
    <w:rsid w:val="0082432B"/>
    <w:rsid w:val="008248EF"/>
    <w:rsid w:val="008265A8"/>
    <w:rsid w:val="008278B6"/>
    <w:rsid w:val="00827A87"/>
    <w:rsid w:val="00827F29"/>
    <w:rsid w:val="00830C4E"/>
    <w:rsid w:val="0083226D"/>
    <w:rsid w:val="00837028"/>
    <w:rsid w:val="00840D93"/>
    <w:rsid w:val="00846798"/>
    <w:rsid w:val="00846857"/>
    <w:rsid w:val="00850B49"/>
    <w:rsid w:val="00854864"/>
    <w:rsid w:val="00855973"/>
    <w:rsid w:val="00863469"/>
    <w:rsid w:val="00863542"/>
    <w:rsid w:val="0086474D"/>
    <w:rsid w:val="00864815"/>
    <w:rsid w:val="008649D8"/>
    <w:rsid w:val="008709B6"/>
    <w:rsid w:val="00871EC1"/>
    <w:rsid w:val="00872761"/>
    <w:rsid w:val="00875B42"/>
    <w:rsid w:val="00875C4B"/>
    <w:rsid w:val="00877CB0"/>
    <w:rsid w:val="008815BB"/>
    <w:rsid w:val="0088267E"/>
    <w:rsid w:val="0088311B"/>
    <w:rsid w:val="00887DB4"/>
    <w:rsid w:val="00892BB6"/>
    <w:rsid w:val="00893CE1"/>
    <w:rsid w:val="0089434E"/>
    <w:rsid w:val="00894BB9"/>
    <w:rsid w:val="0089577D"/>
    <w:rsid w:val="00895BAF"/>
    <w:rsid w:val="00896263"/>
    <w:rsid w:val="008964E2"/>
    <w:rsid w:val="00896C55"/>
    <w:rsid w:val="008A0554"/>
    <w:rsid w:val="008A2AB6"/>
    <w:rsid w:val="008A3AAE"/>
    <w:rsid w:val="008B19B2"/>
    <w:rsid w:val="008B1F2D"/>
    <w:rsid w:val="008B2B94"/>
    <w:rsid w:val="008B4000"/>
    <w:rsid w:val="008B4DD1"/>
    <w:rsid w:val="008C10C7"/>
    <w:rsid w:val="008C19C9"/>
    <w:rsid w:val="008C393B"/>
    <w:rsid w:val="008C53C9"/>
    <w:rsid w:val="008C689B"/>
    <w:rsid w:val="008D1BB2"/>
    <w:rsid w:val="008D1C39"/>
    <w:rsid w:val="008D23B0"/>
    <w:rsid w:val="008E151A"/>
    <w:rsid w:val="008E2F11"/>
    <w:rsid w:val="008F3F88"/>
    <w:rsid w:val="008F78E4"/>
    <w:rsid w:val="00900DAF"/>
    <w:rsid w:val="00905867"/>
    <w:rsid w:val="009133AA"/>
    <w:rsid w:val="00915F36"/>
    <w:rsid w:val="009255A1"/>
    <w:rsid w:val="0093136B"/>
    <w:rsid w:val="00931C20"/>
    <w:rsid w:val="00934302"/>
    <w:rsid w:val="0094164D"/>
    <w:rsid w:val="00942060"/>
    <w:rsid w:val="00947AF9"/>
    <w:rsid w:val="00954921"/>
    <w:rsid w:val="00956508"/>
    <w:rsid w:val="00962B39"/>
    <w:rsid w:val="00967280"/>
    <w:rsid w:val="00967A50"/>
    <w:rsid w:val="00972015"/>
    <w:rsid w:val="00973BEC"/>
    <w:rsid w:val="00981A70"/>
    <w:rsid w:val="00987472"/>
    <w:rsid w:val="00987FC7"/>
    <w:rsid w:val="009943AD"/>
    <w:rsid w:val="00996946"/>
    <w:rsid w:val="009A0123"/>
    <w:rsid w:val="009A114C"/>
    <w:rsid w:val="009A18AD"/>
    <w:rsid w:val="009A2717"/>
    <w:rsid w:val="009A3D1A"/>
    <w:rsid w:val="009A44FE"/>
    <w:rsid w:val="009A4F31"/>
    <w:rsid w:val="009A697E"/>
    <w:rsid w:val="009A79D1"/>
    <w:rsid w:val="009B14BC"/>
    <w:rsid w:val="009B1987"/>
    <w:rsid w:val="009B2AD7"/>
    <w:rsid w:val="009C05B9"/>
    <w:rsid w:val="009C49B7"/>
    <w:rsid w:val="009C6059"/>
    <w:rsid w:val="009D13AE"/>
    <w:rsid w:val="009D1443"/>
    <w:rsid w:val="009D1A60"/>
    <w:rsid w:val="009D3806"/>
    <w:rsid w:val="009D6908"/>
    <w:rsid w:val="009E21CA"/>
    <w:rsid w:val="009E2D5F"/>
    <w:rsid w:val="009E73EE"/>
    <w:rsid w:val="009E782D"/>
    <w:rsid w:val="009E7DA7"/>
    <w:rsid w:val="009F7BA0"/>
    <w:rsid w:val="00A00251"/>
    <w:rsid w:val="00A02AF0"/>
    <w:rsid w:val="00A04FF2"/>
    <w:rsid w:val="00A076C1"/>
    <w:rsid w:val="00A10550"/>
    <w:rsid w:val="00A13F37"/>
    <w:rsid w:val="00A300B0"/>
    <w:rsid w:val="00A300B9"/>
    <w:rsid w:val="00A30FBA"/>
    <w:rsid w:val="00A34FBD"/>
    <w:rsid w:val="00A357E8"/>
    <w:rsid w:val="00A358DB"/>
    <w:rsid w:val="00A36042"/>
    <w:rsid w:val="00A40803"/>
    <w:rsid w:val="00A425F6"/>
    <w:rsid w:val="00A42B41"/>
    <w:rsid w:val="00A42C11"/>
    <w:rsid w:val="00A44615"/>
    <w:rsid w:val="00A470EF"/>
    <w:rsid w:val="00A5389F"/>
    <w:rsid w:val="00A544C8"/>
    <w:rsid w:val="00A578B4"/>
    <w:rsid w:val="00A57F13"/>
    <w:rsid w:val="00A61F1A"/>
    <w:rsid w:val="00A647B4"/>
    <w:rsid w:val="00A65D78"/>
    <w:rsid w:val="00A67FBB"/>
    <w:rsid w:val="00A718A2"/>
    <w:rsid w:val="00A72D82"/>
    <w:rsid w:val="00A73E3E"/>
    <w:rsid w:val="00A7489B"/>
    <w:rsid w:val="00A7758F"/>
    <w:rsid w:val="00A77F34"/>
    <w:rsid w:val="00A77FE8"/>
    <w:rsid w:val="00A809EB"/>
    <w:rsid w:val="00A81C35"/>
    <w:rsid w:val="00A83047"/>
    <w:rsid w:val="00A83DDB"/>
    <w:rsid w:val="00A83FD2"/>
    <w:rsid w:val="00A85BA7"/>
    <w:rsid w:val="00A90770"/>
    <w:rsid w:val="00A94441"/>
    <w:rsid w:val="00A973F9"/>
    <w:rsid w:val="00AA625E"/>
    <w:rsid w:val="00AB1D24"/>
    <w:rsid w:val="00AB3446"/>
    <w:rsid w:val="00AB66D3"/>
    <w:rsid w:val="00AC0E24"/>
    <w:rsid w:val="00AC1B7E"/>
    <w:rsid w:val="00AC3B18"/>
    <w:rsid w:val="00AC482D"/>
    <w:rsid w:val="00AC5115"/>
    <w:rsid w:val="00AC6C96"/>
    <w:rsid w:val="00AC6F0A"/>
    <w:rsid w:val="00AC6FCB"/>
    <w:rsid w:val="00AD534D"/>
    <w:rsid w:val="00AD54CE"/>
    <w:rsid w:val="00AE3459"/>
    <w:rsid w:val="00AE5E33"/>
    <w:rsid w:val="00AF1376"/>
    <w:rsid w:val="00AF688F"/>
    <w:rsid w:val="00AF7F1A"/>
    <w:rsid w:val="00B01C46"/>
    <w:rsid w:val="00B02079"/>
    <w:rsid w:val="00B10E54"/>
    <w:rsid w:val="00B135C2"/>
    <w:rsid w:val="00B147FB"/>
    <w:rsid w:val="00B14FDC"/>
    <w:rsid w:val="00B25C4E"/>
    <w:rsid w:val="00B26839"/>
    <w:rsid w:val="00B3242C"/>
    <w:rsid w:val="00B33C79"/>
    <w:rsid w:val="00B406EB"/>
    <w:rsid w:val="00B42775"/>
    <w:rsid w:val="00B45538"/>
    <w:rsid w:val="00B47884"/>
    <w:rsid w:val="00B5131B"/>
    <w:rsid w:val="00B53260"/>
    <w:rsid w:val="00B54353"/>
    <w:rsid w:val="00B56DC7"/>
    <w:rsid w:val="00B60A8C"/>
    <w:rsid w:val="00B629FC"/>
    <w:rsid w:val="00B6506C"/>
    <w:rsid w:val="00B675D4"/>
    <w:rsid w:val="00B74574"/>
    <w:rsid w:val="00B74EF0"/>
    <w:rsid w:val="00B764A5"/>
    <w:rsid w:val="00B77527"/>
    <w:rsid w:val="00B777DA"/>
    <w:rsid w:val="00B80E06"/>
    <w:rsid w:val="00B81B0E"/>
    <w:rsid w:val="00B82F78"/>
    <w:rsid w:val="00B856B9"/>
    <w:rsid w:val="00B86836"/>
    <w:rsid w:val="00B86C83"/>
    <w:rsid w:val="00B93FCA"/>
    <w:rsid w:val="00B95928"/>
    <w:rsid w:val="00BA4F11"/>
    <w:rsid w:val="00BA63CA"/>
    <w:rsid w:val="00BA6F3A"/>
    <w:rsid w:val="00BB0425"/>
    <w:rsid w:val="00BB1872"/>
    <w:rsid w:val="00BB7488"/>
    <w:rsid w:val="00BC75C9"/>
    <w:rsid w:val="00BC77A7"/>
    <w:rsid w:val="00BD481C"/>
    <w:rsid w:val="00BD5D44"/>
    <w:rsid w:val="00BD5E34"/>
    <w:rsid w:val="00BE0FBB"/>
    <w:rsid w:val="00BE2D4E"/>
    <w:rsid w:val="00BF12AD"/>
    <w:rsid w:val="00BF2DA2"/>
    <w:rsid w:val="00BF3320"/>
    <w:rsid w:val="00BF5813"/>
    <w:rsid w:val="00C023EA"/>
    <w:rsid w:val="00C041AF"/>
    <w:rsid w:val="00C138D7"/>
    <w:rsid w:val="00C1736D"/>
    <w:rsid w:val="00C17DD1"/>
    <w:rsid w:val="00C21435"/>
    <w:rsid w:val="00C2179B"/>
    <w:rsid w:val="00C3113D"/>
    <w:rsid w:val="00C37AB2"/>
    <w:rsid w:val="00C4323C"/>
    <w:rsid w:val="00C465E6"/>
    <w:rsid w:val="00C470D6"/>
    <w:rsid w:val="00C515DA"/>
    <w:rsid w:val="00C551DF"/>
    <w:rsid w:val="00C55EC0"/>
    <w:rsid w:val="00C60133"/>
    <w:rsid w:val="00C60F2C"/>
    <w:rsid w:val="00C6260B"/>
    <w:rsid w:val="00C646F2"/>
    <w:rsid w:val="00C65B43"/>
    <w:rsid w:val="00C66FFE"/>
    <w:rsid w:val="00C735B3"/>
    <w:rsid w:val="00C75C54"/>
    <w:rsid w:val="00C75EF7"/>
    <w:rsid w:val="00C8002C"/>
    <w:rsid w:val="00C816B7"/>
    <w:rsid w:val="00C85707"/>
    <w:rsid w:val="00C86761"/>
    <w:rsid w:val="00C86949"/>
    <w:rsid w:val="00C948E2"/>
    <w:rsid w:val="00C975B1"/>
    <w:rsid w:val="00CA091C"/>
    <w:rsid w:val="00CA1A17"/>
    <w:rsid w:val="00CA3F38"/>
    <w:rsid w:val="00CA4625"/>
    <w:rsid w:val="00CA6505"/>
    <w:rsid w:val="00CB009B"/>
    <w:rsid w:val="00CB1914"/>
    <w:rsid w:val="00CB192A"/>
    <w:rsid w:val="00CB3F20"/>
    <w:rsid w:val="00CB6BD3"/>
    <w:rsid w:val="00CB718B"/>
    <w:rsid w:val="00CC22C3"/>
    <w:rsid w:val="00CC3AE4"/>
    <w:rsid w:val="00CC4203"/>
    <w:rsid w:val="00CD0126"/>
    <w:rsid w:val="00CD02B7"/>
    <w:rsid w:val="00CD0769"/>
    <w:rsid w:val="00CD78C9"/>
    <w:rsid w:val="00CE08F5"/>
    <w:rsid w:val="00CE1582"/>
    <w:rsid w:val="00CE4F3F"/>
    <w:rsid w:val="00CE7A94"/>
    <w:rsid w:val="00CF32DE"/>
    <w:rsid w:val="00D024B1"/>
    <w:rsid w:val="00D026A2"/>
    <w:rsid w:val="00D06852"/>
    <w:rsid w:val="00D100C8"/>
    <w:rsid w:val="00D10198"/>
    <w:rsid w:val="00D12B05"/>
    <w:rsid w:val="00D20A52"/>
    <w:rsid w:val="00D22AAA"/>
    <w:rsid w:val="00D236F2"/>
    <w:rsid w:val="00D27104"/>
    <w:rsid w:val="00D3242E"/>
    <w:rsid w:val="00D326BC"/>
    <w:rsid w:val="00D32B1A"/>
    <w:rsid w:val="00D32EFC"/>
    <w:rsid w:val="00D3368B"/>
    <w:rsid w:val="00D33C86"/>
    <w:rsid w:val="00D3640D"/>
    <w:rsid w:val="00D36C78"/>
    <w:rsid w:val="00D372D3"/>
    <w:rsid w:val="00D37876"/>
    <w:rsid w:val="00D431A9"/>
    <w:rsid w:val="00D46358"/>
    <w:rsid w:val="00D46870"/>
    <w:rsid w:val="00D47E2C"/>
    <w:rsid w:val="00D52BAD"/>
    <w:rsid w:val="00D612EC"/>
    <w:rsid w:val="00D61924"/>
    <w:rsid w:val="00D652F7"/>
    <w:rsid w:val="00D66183"/>
    <w:rsid w:val="00D6766E"/>
    <w:rsid w:val="00D74F31"/>
    <w:rsid w:val="00D752E8"/>
    <w:rsid w:val="00D771BE"/>
    <w:rsid w:val="00D775A6"/>
    <w:rsid w:val="00D8329B"/>
    <w:rsid w:val="00D876A2"/>
    <w:rsid w:val="00D87AAE"/>
    <w:rsid w:val="00D87FF1"/>
    <w:rsid w:val="00D9085C"/>
    <w:rsid w:val="00D91B0C"/>
    <w:rsid w:val="00D91FA8"/>
    <w:rsid w:val="00D9377A"/>
    <w:rsid w:val="00D94487"/>
    <w:rsid w:val="00D96AEF"/>
    <w:rsid w:val="00DA38F3"/>
    <w:rsid w:val="00DA3E46"/>
    <w:rsid w:val="00DA4427"/>
    <w:rsid w:val="00DA473F"/>
    <w:rsid w:val="00DA48EB"/>
    <w:rsid w:val="00DA501E"/>
    <w:rsid w:val="00DA53A6"/>
    <w:rsid w:val="00DB2D35"/>
    <w:rsid w:val="00DB4F4D"/>
    <w:rsid w:val="00DB4F99"/>
    <w:rsid w:val="00DC169F"/>
    <w:rsid w:val="00DC2190"/>
    <w:rsid w:val="00DC6C80"/>
    <w:rsid w:val="00DD388E"/>
    <w:rsid w:val="00DD4C56"/>
    <w:rsid w:val="00DD634E"/>
    <w:rsid w:val="00DD7893"/>
    <w:rsid w:val="00DE0835"/>
    <w:rsid w:val="00DE23A7"/>
    <w:rsid w:val="00DE2E20"/>
    <w:rsid w:val="00DE3797"/>
    <w:rsid w:val="00DE3E69"/>
    <w:rsid w:val="00DF2D94"/>
    <w:rsid w:val="00E0006A"/>
    <w:rsid w:val="00E11235"/>
    <w:rsid w:val="00E16C40"/>
    <w:rsid w:val="00E17D9D"/>
    <w:rsid w:val="00E23940"/>
    <w:rsid w:val="00E24E42"/>
    <w:rsid w:val="00E25846"/>
    <w:rsid w:val="00E25F4D"/>
    <w:rsid w:val="00E26B0C"/>
    <w:rsid w:val="00E26D27"/>
    <w:rsid w:val="00E36115"/>
    <w:rsid w:val="00E4005A"/>
    <w:rsid w:val="00E4261E"/>
    <w:rsid w:val="00E42D2E"/>
    <w:rsid w:val="00E46C0B"/>
    <w:rsid w:val="00E47736"/>
    <w:rsid w:val="00E57A86"/>
    <w:rsid w:val="00E61D7F"/>
    <w:rsid w:val="00E634F7"/>
    <w:rsid w:val="00E714DF"/>
    <w:rsid w:val="00E803BE"/>
    <w:rsid w:val="00E82C4F"/>
    <w:rsid w:val="00E872CC"/>
    <w:rsid w:val="00E92B14"/>
    <w:rsid w:val="00E9516B"/>
    <w:rsid w:val="00E95940"/>
    <w:rsid w:val="00E95E3B"/>
    <w:rsid w:val="00E96CD4"/>
    <w:rsid w:val="00E96E1C"/>
    <w:rsid w:val="00EA07DE"/>
    <w:rsid w:val="00EA3DFA"/>
    <w:rsid w:val="00EA52C3"/>
    <w:rsid w:val="00EA68D2"/>
    <w:rsid w:val="00EB0B98"/>
    <w:rsid w:val="00EB363A"/>
    <w:rsid w:val="00EB5846"/>
    <w:rsid w:val="00EB7655"/>
    <w:rsid w:val="00ED1B94"/>
    <w:rsid w:val="00ED4F51"/>
    <w:rsid w:val="00ED637A"/>
    <w:rsid w:val="00ED63AC"/>
    <w:rsid w:val="00ED670B"/>
    <w:rsid w:val="00ED6AEA"/>
    <w:rsid w:val="00EE6986"/>
    <w:rsid w:val="00EE6A0D"/>
    <w:rsid w:val="00EF2143"/>
    <w:rsid w:val="00EF788C"/>
    <w:rsid w:val="00EF7BAA"/>
    <w:rsid w:val="00F03023"/>
    <w:rsid w:val="00F140F3"/>
    <w:rsid w:val="00F168B0"/>
    <w:rsid w:val="00F2045E"/>
    <w:rsid w:val="00F22461"/>
    <w:rsid w:val="00F22E27"/>
    <w:rsid w:val="00F25384"/>
    <w:rsid w:val="00F266AE"/>
    <w:rsid w:val="00F306E7"/>
    <w:rsid w:val="00F36A21"/>
    <w:rsid w:val="00F37D55"/>
    <w:rsid w:val="00F41946"/>
    <w:rsid w:val="00F45A45"/>
    <w:rsid w:val="00F52D10"/>
    <w:rsid w:val="00F539B4"/>
    <w:rsid w:val="00F541DD"/>
    <w:rsid w:val="00F5423C"/>
    <w:rsid w:val="00F54486"/>
    <w:rsid w:val="00F55E15"/>
    <w:rsid w:val="00F56B01"/>
    <w:rsid w:val="00F5792F"/>
    <w:rsid w:val="00F5799B"/>
    <w:rsid w:val="00F62A6B"/>
    <w:rsid w:val="00F64D41"/>
    <w:rsid w:val="00F658F0"/>
    <w:rsid w:val="00F66011"/>
    <w:rsid w:val="00F66606"/>
    <w:rsid w:val="00F67A9B"/>
    <w:rsid w:val="00F67CDF"/>
    <w:rsid w:val="00F733E7"/>
    <w:rsid w:val="00F769AA"/>
    <w:rsid w:val="00F77DB6"/>
    <w:rsid w:val="00F873E9"/>
    <w:rsid w:val="00F9212C"/>
    <w:rsid w:val="00F92386"/>
    <w:rsid w:val="00F9378C"/>
    <w:rsid w:val="00F95310"/>
    <w:rsid w:val="00FA1C9F"/>
    <w:rsid w:val="00FA30F9"/>
    <w:rsid w:val="00FA325B"/>
    <w:rsid w:val="00FA3792"/>
    <w:rsid w:val="00FA37A9"/>
    <w:rsid w:val="00FA47CE"/>
    <w:rsid w:val="00FA5C5B"/>
    <w:rsid w:val="00FB14F3"/>
    <w:rsid w:val="00FB3AF0"/>
    <w:rsid w:val="00FC09D4"/>
    <w:rsid w:val="00FC17FF"/>
    <w:rsid w:val="00FC31D5"/>
    <w:rsid w:val="00FD2695"/>
    <w:rsid w:val="00FD59B4"/>
    <w:rsid w:val="00FE49A7"/>
    <w:rsid w:val="00FE6AFA"/>
    <w:rsid w:val="00FE70C1"/>
    <w:rsid w:val="00FE774F"/>
    <w:rsid w:val="00FE7BBF"/>
    <w:rsid w:val="00FF334E"/>
    <w:rsid w:val="00FF7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438A"/>
  <w15:docId w15:val="{A5528DEA-E1D6-6C4F-9960-A6BC16CF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3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A789F"/>
    <w:pPr>
      <w:keepNext/>
      <w:keepLines/>
      <w:spacing w:before="240" w:line="259" w:lineRule="auto"/>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unhideWhenUsed/>
    <w:qFormat/>
    <w:rsid w:val="003A789F"/>
    <w:pPr>
      <w:keepNext/>
      <w:keepLines/>
      <w:spacing w:before="40" w:line="259" w:lineRule="auto"/>
      <w:outlineLvl w:val="1"/>
    </w:pPr>
    <w:rPr>
      <w:rFonts w:eastAsiaTheme="majorEastAsia" w:cstheme="majorBidi"/>
      <w: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A"/>
    <w:pPr>
      <w:spacing w:after="160" w:line="259" w:lineRule="auto"/>
      <w:ind w:left="720"/>
      <w:contextualSpacing/>
    </w:pPr>
    <w:rPr>
      <w:rFonts w:asciiTheme="minorHAnsi" w:eastAsia="SimSun" w:hAnsiTheme="minorHAnsi" w:cstheme="minorBidi"/>
      <w:sz w:val="22"/>
      <w:szCs w:val="22"/>
      <w:lang w:eastAsia="en-US"/>
    </w:rPr>
  </w:style>
  <w:style w:type="paragraph" w:styleId="BalloonText">
    <w:name w:val="Balloon Text"/>
    <w:basedOn w:val="Normal"/>
    <w:link w:val="BalloonTextChar"/>
    <w:uiPriority w:val="99"/>
    <w:semiHidden/>
    <w:unhideWhenUsed/>
    <w:rsid w:val="002E62A1"/>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2E62A1"/>
    <w:rPr>
      <w:rFonts w:ascii="Segoe UI" w:hAnsi="Segoe UI" w:cs="Segoe UI"/>
      <w:sz w:val="18"/>
      <w:szCs w:val="18"/>
    </w:rPr>
  </w:style>
  <w:style w:type="character" w:styleId="Hyperlink">
    <w:name w:val="Hyperlink"/>
    <w:basedOn w:val="DefaultParagraphFont"/>
    <w:uiPriority w:val="99"/>
    <w:unhideWhenUsed/>
    <w:rsid w:val="00C2179B"/>
    <w:rPr>
      <w:color w:val="0563C1" w:themeColor="hyperlink"/>
      <w:u w:val="single"/>
    </w:rPr>
  </w:style>
  <w:style w:type="character" w:customStyle="1" w:styleId="UnresolvedMention1">
    <w:name w:val="Unresolved Mention1"/>
    <w:basedOn w:val="DefaultParagraphFont"/>
    <w:uiPriority w:val="99"/>
    <w:semiHidden/>
    <w:unhideWhenUsed/>
    <w:rsid w:val="00C2179B"/>
    <w:rPr>
      <w:color w:val="605E5C"/>
      <w:shd w:val="clear" w:color="auto" w:fill="E1DFDD"/>
    </w:rPr>
  </w:style>
  <w:style w:type="character" w:styleId="FollowedHyperlink">
    <w:name w:val="FollowedHyperlink"/>
    <w:basedOn w:val="DefaultParagraphFont"/>
    <w:uiPriority w:val="99"/>
    <w:semiHidden/>
    <w:unhideWhenUsed/>
    <w:rsid w:val="006D3CC8"/>
    <w:rPr>
      <w:color w:val="954F72" w:themeColor="followedHyperlink"/>
      <w:u w:val="single"/>
    </w:rPr>
  </w:style>
  <w:style w:type="character" w:customStyle="1" w:styleId="Heading1Char">
    <w:name w:val="Heading 1 Char"/>
    <w:basedOn w:val="DefaultParagraphFont"/>
    <w:link w:val="Heading1"/>
    <w:uiPriority w:val="9"/>
    <w:rsid w:val="003A789F"/>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A789F"/>
    <w:rPr>
      <w:rFonts w:ascii="Times New Roman" w:eastAsiaTheme="majorEastAsia" w:hAnsi="Times New Roman" w:cstheme="majorBidi"/>
      <w:i/>
      <w:sz w:val="28"/>
      <w:szCs w:val="26"/>
    </w:rPr>
  </w:style>
  <w:style w:type="character" w:styleId="CommentReference">
    <w:name w:val="annotation reference"/>
    <w:basedOn w:val="DefaultParagraphFont"/>
    <w:uiPriority w:val="99"/>
    <w:semiHidden/>
    <w:unhideWhenUsed/>
    <w:rsid w:val="00D06852"/>
    <w:rPr>
      <w:sz w:val="16"/>
      <w:szCs w:val="16"/>
    </w:rPr>
  </w:style>
  <w:style w:type="paragraph" w:styleId="CommentText">
    <w:name w:val="annotation text"/>
    <w:basedOn w:val="Normal"/>
    <w:link w:val="CommentTextChar"/>
    <w:uiPriority w:val="99"/>
    <w:unhideWhenUsed/>
    <w:rsid w:val="00D06852"/>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rsid w:val="00D06852"/>
    <w:rPr>
      <w:sz w:val="20"/>
      <w:szCs w:val="20"/>
    </w:rPr>
  </w:style>
  <w:style w:type="paragraph" w:styleId="CommentSubject">
    <w:name w:val="annotation subject"/>
    <w:basedOn w:val="CommentText"/>
    <w:next w:val="CommentText"/>
    <w:link w:val="CommentSubjectChar"/>
    <w:uiPriority w:val="99"/>
    <w:semiHidden/>
    <w:unhideWhenUsed/>
    <w:rsid w:val="00D06852"/>
    <w:rPr>
      <w:b/>
      <w:bCs/>
    </w:rPr>
  </w:style>
  <w:style w:type="character" w:customStyle="1" w:styleId="CommentSubjectChar">
    <w:name w:val="Comment Subject Char"/>
    <w:basedOn w:val="CommentTextChar"/>
    <w:link w:val="CommentSubject"/>
    <w:uiPriority w:val="99"/>
    <w:semiHidden/>
    <w:rsid w:val="00D06852"/>
    <w:rPr>
      <w:b/>
      <w:bCs/>
      <w:sz w:val="20"/>
      <w:szCs w:val="20"/>
    </w:rPr>
  </w:style>
  <w:style w:type="paragraph" w:styleId="Footer">
    <w:name w:val="footer"/>
    <w:basedOn w:val="Normal"/>
    <w:link w:val="FooterChar"/>
    <w:uiPriority w:val="99"/>
    <w:unhideWhenUsed/>
    <w:rsid w:val="005A70B0"/>
    <w:pPr>
      <w:tabs>
        <w:tab w:val="center" w:pos="4680"/>
        <w:tab w:val="right" w:pos="9360"/>
      </w:tabs>
    </w:pPr>
    <w:rPr>
      <w:rFonts w:asciiTheme="minorHAnsi" w:eastAsia="SimSun" w:hAnsiTheme="minorHAnsi" w:cstheme="minorBidi"/>
      <w:sz w:val="22"/>
      <w:szCs w:val="22"/>
      <w:lang w:eastAsia="en-US"/>
    </w:rPr>
  </w:style>
  <w:style w:type="character" w:customStyle="1" w:styleId="FooterChar">
    <w:name w:val="Footer Char"/>
    <w:basedOn w:val="DefaultParagraphFont"/>
    <w:link w:val="Footer"/>
    <w:uiPriority w:val="99"/>
    <w:rsid w:val="005A70B0"/>
  </w:style>
  <w:style w:type="character" w:styleId="PageNumber">
    <w:name w:val="page number"/>
    <w:basedOn w:val="DefaultParagraphFont"/>
    <w:uiPriority w:val="99"/>
    <w:semiHidden/>
    <w:unhideWhenUsed/>
    <w:rsid w:val="005A70B0"/>
  </w:style>
  <w:style w:type="paragraph" w:styleId="Revision">
    <w:name w:val="Revision"/>
    <w:hidden/>
    <w:uiPriority w:val="99"/>
    <w:semiHidden/>
    <w:rsid w:val="00F2045E"/>
    <w:pPr>
      <w:spacing w:after="0" w:line="240" w:lineRule="auto"/>
    </w:pPr>
  </w:style>
  <w:style w:type="paragraph" w:styleId="Header">
    <w:name w:val="header"/>
    <w:basedOn w:val="Normal"/>
    <w:link w:val="HeaderChar"/>
    <w:uiPriority w:val="99"/>
    <w:unhideWhenUsed/>
    <w:rsid w:val="005E302D"/>
    <w:pPr>
      <w:tabs>
        <w:tab w:val="center" w:pos="4680"/>
        <w:tab w:val="right" w:pos="9360"/>
      </w:tabs>
    </w:pPr>
  </w:style>
  <w:style w:type="character" w:customStyle="1" w:styleId="HeaderChar">
    <w:name w:val="Header Char"/>
    <w:basedOn w:val="DefaultParagraphFont"/>
    <w:link w:val="Header"/>
    <w:uiPriority w:val="99"/>
    <w:rsid w:val="005E302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17531">
      <w:bodyDiv w:val="1"/>
      <w:marLeft w:val="0"/>
      <w:marRight w:val="0"/>
      <w:marTop w:val="0"/>
      <w:marBottom w:val="0"/>
      <w:divBdr>
        <w:top w:val="none" w:sz="0" w:space="0" w:color="auto"/>
        <w:left w:val="none" w:sz="0" w:space="0" w:color="auto"/>
        <w:bottom w:val="none" w:sz="0" w:space="0" w:color="auto"/>
        <w:right w:val="none" w:sz="0" w:space="0" w:color="auto"/>
      </w:divBdr>
    </w:div>
    <w:div w:id="384109893">
      <w:bodyDiv w:val="1"/>
      <w:marLeft w:val="0"/>
      <w:marRight w:val="0"/>
      <w:marTop w:val="0"/>
      <w:marBottom w:val="0"/>
      <w:divBdr>
        <w:top w:val="none" w:sz="0" w:space="0" w:color="auto"/>
        <w:left w:val="none" w:sz="0" w:space="0" w:color="auto"/>
        <w:bottom w:val="none" w:sz="0" w:space="0" w:color="auto"/>
        <w:right w:val="none" w:sz="0" w:space="0" w:color="auto"/>
      </w:divBdr>
    </w:div>
    <w:div w:id="513616848">
      <w:bodyDiv w:val="1"/>
      <w:marLeft w:val="0"/>
      <w:marRight w:val="0"/>
      <w:marTop w:val="0"/>
      <w:marBottom w:val="0"/>
      <w:divBdr>
        <w:top w:val="none" w:sz="0" w:space="0" w:color="auto"/>
        <w:left w:val="none" w:sz="0" w:space="0" w:color="auto"/>
        <w:bottom w:val="none" w:sz="0" w:space="0" w:color="auto"/>
        <w:right w:val="none" w:sz="0" w:space="0" w:color="auto"/>
      </w:divBdr>
    </w:div>
    <w:div w:id="522326680">
      <w:bodyDiv w:val="1"/>
      <w:marLeft w:val="0"/>
      <w:marRight w:val="0"/>
      <w:marTop w:val="0"/>
      <w:marBottom w:val="0"/>
      <w:divBdr>
        <w:top w:val="none" w:sz="0" w:space="0" w:color="auto"/>
        <w:left w:val="none" w:sz="0" w:space="0" w:color="auto"/>
        <w:bottom w:val="none" w:sz="0" w:space="0" w:color="auto"/>
        <w:right w:val="none" w:sz="0" w:space="0" w:color="auto"/>
      </w:divBdr>
    </w:div>
    <w:div w:id="717782688">
      <w:bodyDiv w:val="1"/>
      <w:marLeft w:val="0"/>
      <w:marRight w:val="0"/>
      <w:marTop w:val="0"/>
      <w:marBottom w:val="0"/>
      <w:divBdr>
        <w:top w:val="none" w:sz="0" w:space="0" w:color="auto"/>
        <w:left w:val="none" w:sz="0" w:space="0" w:color="auto"/>
        <w:bottom w:val="none" w:sz="0" w:space="0" w:color="auto"/>
        <w:right w:val="none" w:sz="0" w:space="0" w:color="auto"/>
      </w:divBdr>
    </w:div>
    <w:div w:id="1103300543">
      <w:bodyDiv w:val="1"/>
      <w:marLeft w:val="0"/>
      <w:marRight w:val="0"/>
      <w:marTop w:val="0"/>
      <w:marBottom w:val="0"/>
      <w:divBdr>
        <w:top w:val="none" w:sz="0" w:space="0" w:color="auto"/>
        <w:left w:val="none" w:sz="0" w:space="0" w:color="auto"/>
        <w:bottom w:val="none" w:sz="0" w:space="0" w:color="auto"/>
        <w:right w:val="none" w:sz="0" w:space="0" w:color="auto"/>
      </w:divBdr>
    </w:div>
    <w:div w:id="1525366401">
      <w:bodyDiv w:val="1"/>
      <w:marLeft w:val="0"/>
      <w:marRight w:val="0"/>
      <w:marTop w:val="0"/>
      <w:marBottom w:val="0"/>
      <w:divBdr>
        <w:top w:val="none" w:sz="0" w:space="0" w:color="auto"/>
        <w:left w:val="none" w:sz="0" w:space="0" w:color="auto"/>
        <w:bottom w:val="none" w:sz="0" w:space="0" w:color="auto"/>
        <w:right w:val="none" w:sz="0" w:space="0" w:color="auto"/>
      </w:divBdr>
    </w:div>
    <w:div w:id="18453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org/regularprocess/sites/www.un.org.regularprocess/files/list_of_lead_and_co-lead_members_revised_2019-11.pdf" TargetMode="External"/><Relationship Id="rId21" Type="http://schemas.openxmlformats.org/officeDocument/2006/relationships/hyperlink" Target="https://undocs.org/A/74/315" TargetMode="External"/><Relationship Id="rId34" Type="http://schemas.openxmlformats.org/officeDocument/2006/relationships/hyperlink" Target="https://www.un.org/regularprocess/content/technical-abstracts" TargetMode="External"/><Relationship Id="rId42" Type="http://schemas.openxmlformats.org/officeDocument/2006/relationships/hyperlink" Target="https://www.un.org/regularprocess/sites/www.un.org.regularprocess/files/ahwgw_july_2019_-_implementation_report.pdf" TargetMode="External"/><Relationship Id="rId47" Type="http://schemas.openxmlformats.org/officeDocument/2006/relationships/hyperlink" Target="http://www.un.org/depts/los/global_reporting/2017_NewZealand/Summary_NewZealand.pdf" TargetMode="External"/><Relationship Id="rId50" Type="http://schemas.openxmlformats.org/officeDocument/2006/relationships/hyperlink" Target="http://www.un.org/depts/los/global_reporting/2017_Tanzania/Summary_Tanzania.pdf" TargetMode="External"/><Relationship Id="rId55" Type="http://schemas.openxmlformats.org/officeDocument/2006/relationships/hyperlink" Target="https://www.un.org/regularprocess/sites/www.un.org.regularprocess/files/doha_report.pdf" TargetMode="External"/><Relationship Id="rId63" Type="http://schemas.openxmlformats.org/officeDocument/2006/relationships/hyperlink" Target="https://www.un.org/regularproces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docs.org/A/71/362" TargetMode="External"/><Relationship Id="rId29" Type="http://schemas.openxmlformats.org/officeDocument/2006/relationships/hyperlink" Target="https://undocs.org/A/72/494" TargetMode="External"/><Relationship Id="rId11" Type="http://schemas.openxmlformats.org/officeDocument/2006/relationships/hyperlink" Target="https://undocs.org/en/A/RES/70/235" TargetMode="External"/><Relationship Id="rId24" Type="http://schemas.openxmlformats.org/officeDocument/2006/relationships/hyperlink" Target="https://undocs.org/A/72/89" TargetMode="External"/><Relationship Id="rId32" Type="http://schemas.openxmlformats.org/officeDocument/2006/relationships/hyperlink" Target="https://www.un.org/regularprocess/sites/www.un.org.regularprocess/files/2020_04_27_pool_of_experts.xlsx" TargetMode="External"/><Relationship Id="rId37" Type="http://schemas.openxmlformats.org/officeDocument/2006/relationships/hyperlink" Target="https://www.un.org/regularprocess/sites/www.un.org.regularprocess/files/list_of_writing_teams_asof_13_april_2020.pdf" TargetMode="External"/><Relationship Id="rId40" Type="http://schemas.openxmlformats.org/officeDocument/2006/relationships/hyperlink" Target="https://undocs.org/en/A/73/373" TargetMode="External"/><Relationship Id="rId45" Type="http://schemas.openxmlformats.org/officeDocument/2006/relationships/hyperlink" Target="https://www.un.org/depts/los/global_reporting/10th_adhoc_2018/Elements.pdf" TargetMode="External"/><Relationship Id="rId53" Type="http://schemas.openxmlformats.org/officeDocument/2006/relationships/hyperlink" Target="https://www.un.org/regularprocess/sites/www.un.org.regularprocess/files/ukraine_regional_workshop_summary_of_discussions.pdf" TargetMode="External"/><Relationship Id="rId58" Type="http://schemas.openxmlformats.org/officeDocument/2006/relationships/hyperlink" Target="https://www.un.org/regularprocess/sites/www.un.org.regularprocess/files/ahwgw_july_2019_-_regional_workshops.pdf"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undocs.org/A/74/315" TargetMode="External"/><Relationship Id="rId19" Type="http://schemas.openxmlformats.org/officeDocument/2006/relationships/hyperlink" Target="https://undocs.org/A/73/74" TargetMode="External"/><Relationship Id="rId14" Type="http://schemas.openxmlformats.org/officeDocument/2006/relationships/hyperlink" Target="https://undocs.org/en/A/RES/73/124" TargetMode="External"/><Relationship Id="rId22" Type="http://schemas.openxmlformats.org/officeDocument/2006/relationships/hyperlink" Target="http://www.un.org/depts/los/global_reporting/7th_adhoc_2016/Abstract_on_Lessons_Learned_rev26072016.pdf" TargetMode="External"/><Relationship Id="rId27" Type="http://schemas.openxmlformats.org/officeDocument/2006/relationships/hyperlink" Target="https://undocs.org/A/72/494" TargetMode="External"/><Relationship Id="rId30" Type="http://schemas.openxmlformats.org/officeDocument/2006/relationships/hyperlink" Target="https://www.un.org/depts/los/global_reporting/8th_adhoc_2017/mech.pdf" TargetMode="External"/><Relationship Id="rId35" Type="http://schemas.openxmlformats.org/officeDocument/2006/relationships/hyperlink" Target="https://undocs.org/A/73/74" TargetMode="External"/><Relationship Id="rId43" Type="http://schemas.openxmlformats.org/officeDocument/2006/relationships/hyperlink" Target="https://www.un.org/regularprocess/sites/www.un.org.regularprocess/files/goerp_2019_revised_timetable_and_implementation_plan_october_2019_as_approved_by_bureau_on_15_nov_2019.pdf" TargetMode="External"/><Relationship Id="rId48" Type="http://schemas.openxmlformats.org/officeDocument/2006/relationships/hyperlink" Target="http://www.un.org/depts/los/global_reporting/2017_Brazil/Summary_Brazil.pdf" TargetMode="External"/><Relationship Id="rId56" Type="http://schemas.openxmlformats.org/officeDocument/2006/relationships/hyperlink" Target="https://www.un.org/regularprocess/sites/www.un.org.regularprocess/files/ghana_report.pdf" TargetMode="External"/><Relationship Id="rId64" Type="http://schemas.openxmlformats.org/officeDocument/2006/relationships/hyperlink" Target="https://undocs.org/A/RES/73/346" TargetMode="External"/><Relationship Id="rId8" Type="http://schemas.openxmlformats.org/officeDocument/2006/relationships/webSettings" Target="webSettings.xml"/><Relationship Id="rId51" Type="http://schemas.openxmlformats.org/officeDocument/2006/relationships/hyperlink" Target="https://www.un.org/regularprocess/sites/www.un.org.regularprocess/files/summary_of_discussions_koror.pdf" TargetMode="External"/><Relationship Id="rId3" Type="http://schemas.openxmlformats.org/officeDocument/2006/relationships/customXml" Target="../customXml/item3.xml"/><Relationship Id="rId12" Type="http://schemas.openxmlformats.org/officeDocument/2006/relationships/hyperlink" Target="https://undocs.org/en/A/RES/71/257" TargetMode="External"/><Relationship Id="rId17" Type="http://schemas.openxmlformats.org/officeDocument/2006/relationships/hyperlink" Target="https://undocs.org/A/72/89" TargetMode="External"/><Relationship Id="rId25" Type="http://schemas.openxmlformats.org/officeDocument/2006/relationships/hyperlink" Target="https://undocs.org/en/A/73/373" TargetMode="External"/><Relationship Id="rId33" Type="http://schemas.openxmlformats.org/officeDocument/2006/relationships/hyperlink" Target="https://undocs.org/A/72/494" TargetMode="External"/><Relationship Id="rId38" Type="http://schemas.openxmlformats.org/officeDocument/2006/relationships/hyperlink" Target="https://undocs.org/en/A/73/373" TargetMode="External"/><Relationship Id="rId46" Type="http://schemas.openxmlformats.org/officeDocument/2006/relationships/hyperlink" Target="http://www.un.org/depts/los/global_reporting/2017_Portugal/Summary_Portugal.pdf" TargetMode="External"/><Relationship Id="rId59" Type="http://schemas.openxmlformats.org/officeDocument/2006/relationships/hyperlink" Target="https://www.un.org/regularprocess/sites/www.un.org.regularprocess/files/regular_process_capacity-building_event_concept_note_.pdf" TargetMode="External"/><Relationship Id="rId67" Type="http://schemas.openxmlformats.org/officeDocument/2006/relationships/fontTable" Target="fontTable.xml"/><Relationship Id="rId20" Type="http://schemas.openxmlformats.org/officeDocument/2006/relationships/hyperlink" Target="https://undocs.org/A/73/373" TargetMode="External"/><Relationship Id="rId41" Type="http://schemas.openxmlformats.org/officeDocument/2006/relationships/hyperlink" Target="https://www.un.org/regularprocess/sites/www.un.org.regularprocess/files/revised_timetable_and_implementation_plan.pdf" TargetMode="External"/><Relationship Id="rId54" Type="http://schemas.openxmlformats.org/officeDocument/2006/relationships/hyperlink" Target="https://www.un.org/regularprocess/sites/www.un.org.regularprocess/files/bali_workshop.pdf" TargetMode="External"/><Relationship Id="rId62" Type="http://schemas.openxmlformats.org/officeDocument/2006/relationships/hyperlink" Target="https://undocs.org/a/74/31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en/A/RES/74/19" TargetMode="External"/><Relationship Id="rId23" Type="http://schemas.openxmlformats.org/officeDocument/2006/relationships/hyperlink" Target="https://undocs.org/A/71/362" TargetMode="External"/><Relationship Id="rId28" Type="http://schemas.openxmlformats.org/officeDocument/2006/relationships/hyperlink" Target="https://undocs.org/A/73/74" TargetMode="External"/><Relationship Id="rId36" Type="http://schemas.openxmlformats.org/officeDocument/2006/relationships/hyperlink" Target="https://undocs.org/en/A/73/373" TargetMode="External"/><Relationship Id="rId49" Type="http://schemas.openxmlformats.org/officeDocument/2006/relationships/hyperlink" Target="http://www.un.org/depts/los/global_reporting/2017_Thailand/Summary_Thailand.pdf" TargetMode="External"/><Relationship Id="rId57" Type="http://schemas.openxmlformats.org/officeDocument/2006/relationships/hyperlink" Target="https://www.un.org/regularprocess/sites/www.un.org.regularprocess/files/ecuador_report.pdf" TargetMode="External"/><Relationship Id="rId10" Type="http://schemas.openxmlformats.org/officeDocument/2006/relationships/endnotes" Target="endnotes.xml"/><Relationship Id="rId31" Type="http://schemas.openxmlformats.org/officeDocument/2006/relationships/hyperlink" Target="https://www.un.org/regularprocess/sites/www.un.org.regularprocess/files/gaps_in_expertise.pdf" TargetMode="External"/><Relationship Id="rId44" Type="http://schemas.openxmlformats.org/officeDocument/2006/relationships/hyperlink" Target="https://undocs.org/A/72/494" TargetMode="External"/><Relationship Id="rId52" Type="http://schemas.openxmlformats.org/officeDocument/2006/relationships/hyperlink" Target="https://www.un.org/regularprocess/sites/www.un.org.regularprocess/files/summary_of_discussions_malta.pdf" TargetMode="External"/><Relationship Id="rId60" Type="http://schemas.openxmlformats.org/officeDocument/2006/relationships/hyperlink" Target="https://www.un.org/regularprocess/sites/www.un.org.regularprocess/files/way_forward_conclusions_from_the_multi-stakeholder_event.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docs.org/en/A/RES/72/73" TargetMode="External"/><Relationship Id="rId18" Type="http://schemas.openxmlformats.org/officeDocument/2006/relationships/hyperlink" Target="https://undocs.org/A/72/494" TargetMode="External"/><Relationship Id="rId39" Type="http://schemas.openxmlformats.org/officeDocument/2006/relationships/hyperlink" Target="http://www.un.org/depts/los/global_reporting/10th_adhoc_2018/2018_GOERP_Time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2" ma:contentTypeDescription="Create a new document." ma:contentTypeScope="" ma:versionID="7e10419d2a9c6446c56330b6d682c3d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222e111d141db21c4aaf7cf7c6a7872"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79B3-E770-4438-8057-01814214C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D83C7-6E44-4557-95DC-71546B92B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FF710-41CE-49A1-BA8F-3B9BCEF6B1B0}">
  <ds:schemaRefs>
    <ds:schemaRef ds:uri="http://schemas.microsoft.com/sharepoint/v3/contenttype/forms"/>
  </ds:schemaRefs>
</ds:datastoreItem>
</file>

<file path=customXml/itemProps4.xml><?xml version="1.0" encoding="utf-8"?>
<ds:datastoreItem xmlns:ds="http://schemas.openxmlformats.org/officeDocument/2006/customXml" ds:itemID="{8995CFEC-F056-4547-9227-EB241A8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Døhl Diouf</dc:creator>
  <cp:keywords/>
  <dc:description/>
  <cp:lastModifiedBy>Bingzhuo Li</cp:lastModifiedBy>
  <cp:revision>3</cp:revision>
  <dcterms:created xsi:type="dcterms:W3CDTF">2020-05-13T18:20:00Z</dcterms:created>
  <dcterms:modified xsi:type="dcterms:W3CDTF">2020-05-13T18:38:00Z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