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2BE1" w14:textId="367B04AA" w:rsidR="006A5065" w:rsidRDefault="006A5065" w:rsidP="006A5065">
      <w:pPr>
        <w:spacing w:after="160" w:line="259" w:lineRule="auto"/>
        <w:jc w:val="center"/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</w:pPr>
      <w:r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>Peacebuilding Commission</w:t>
      </w:r>
      <w:r w:rsidR="00E252AB"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 xml:space="preserve"> Ambassadorial-level </w:t>
      </w:r>
      <w:r w:rsidR="00EC0B21"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>M</w:t>
      </w:r>
      <w:r w:rsidR="00E252AB"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 xml:space="preserve">eeting </w:t>
      </w:r>
    </w:p>
    <w:p w14:paraId="301A1382" w14:textId="595A2E36" w:rsidR="006A5065" w:rsidRDefault="000A195A" w:rsidP="006A5065">
      <w:pPr>
        <w:spacing w:after="160" w:line="259" w:lineRule="auto"/>
        <w:jc w:val="center"/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</w:pPr>
      <w:r w:rsidRPr="000A195A"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 xml:space="preserve">South-South and Triangular Cooperation </w:t>
      </w:r>
      <w:r w:rsidR="00CB75D5"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 xml:space="preserve">for </w:t>
      </w:r>
      <w:r w:rsidRPr="000A195A"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>Peacebuilding and Sustaining Peace</w:t>
      </w:r>
    </w:p>
    <w:p w14:paraId="736B2D1D" w14:textId="474E1F85" w:rsidR="006A5065" w:rsidRDefault="006A5065" w:rsidP="006A5065">
      <w:pPr>
        <w:spacing w:after="160" w:line="259" w:lineRule="auto"/>
        <w:jc w:val="center"/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</w:pPr>
      <w:r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>1</w:t>
      </w:r>
      <w:r w:rsidR="00EC0B21"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>1</w:t>
      </w:r>
      <w:r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 xml:space="preserve"> </w:t>
      </w:r>
      <w:r w:rsidR="00EC0B21"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>September</w:t>
      </w:r>
      <w:r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  <w:t xml:space="preserve"> 2019</w:t>
      </w:r>
    </w:p>
    <w:p w14:paraId="71AEB3A5" w14:textId="77777777" w:rsidR="006A5065" w:rsidRPr="00CB75D5" w:rsidRDefault="006A5065" w:rsidP="006A5065">
      <w:pPr>
        <w:spacing w:after="0" w:line="259" w:lineRule="auto"/>
        <w:jc w:val="center"/>
        <w:rPr>
          <w:rFonts w:asciiTheme="majorBidi" w:eastAsia="DengXian" w:hAnsiTheme="majorBidi" w:cstheme="majorBidi"/>
          <w:b/>
          <w:bCs/>
          <w:sz w:val="24"/>
          <w:szCs w:val="24"/>
          <w:u w:val="single"/>
          <w:lang w:val="en-US" w:eastAsia="zh-CN"/>
        </w:rPr>
      </w:pPr>
      <w:r w:rsidRPr="00CB75D5">
        <w:rPr>
          <w:rFonts w:asciiTheme="majorBidi" w:eastAsia="DengXian" w:hAnsiTheme="majorBidi" w:cstheme="majorBidi"/>
          <w:b/>
          <w:bCs/>
          <w:sz w:val="24"/>
          <w:szCs w:val="24"/>
          <w:u w:val="single"/>
          <w:lang w:val="en-US" w:eastAsia="zh-CN"/>
        </w:rPr>
        <w:t>Chair’s summary</w:t>
      </w:r>
    </w:p>
    <w:p w14:paraId="562EBE25" w14:textId="77777777" w:rsidR="006A5065" w:rsidRDefault="006A5065" w:rsidP="006A5065">
      <w:pPr>
        <w:spacing w:after="0" w:line="259" w:lineRule="auto"/>
        <w:jc w:val="center"/>
        <w:rPr>
          <w:rFonts w:asciiTheme="majorBidi" w:eastAsia="DengXian" w:hAnsiTheme="majorBidi" w:cstheme="majorBidi"/>
          <w:b/>
          <w:bCs/>
          <w:sz w:val="24"/>
          <w:szCs w:val="24"/>
          <w:lang w:val="en-US" w:eastAsia="zh-CN"/>
        </w:rPr>
      </w:pPr>
    </w:p>
    <w:p w14:paraId="3E2E423B" w14:textId="4FFD7BCE" w:rsidR="00783814" w:rsidRPr="00442BC8" w:rsidRDefault="006A5065" w:rsidP="00442B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1</w:t>
      </w:r>
      <w:r w:rsidR="00AD23B3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D23B3">
        <w:rPr>
          <w:rFonts w:asciiTheme="majorBidi" w:hAnsiTheme="majorBidi" w:cstheme="majorBidi"/>
          <w:sz w:val="24"/>
          <w:szCs w:val="24"/>
        </w:rPr>
        <w:t>September</w:t>
      </w:r>
      <w:r>
        <w:rPr>
          <w:rFonts w:asciiTheme="majorBidi" w:hAnsiTheme="majorBidi" w:cstheme="majorBidi"/>
          <w:sz w:val="24"/>
          <w:szCs w:val="24"/>
        </w:rPr>
        <w:t xml:space="preserve"> 2019, </w:t>
      </w:r>
      <w:r w:rsidRPr="001B7CF4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Peacebuilding Commission</w:t>
      </w:r>
      <w:r w:rsidR="00CB75D5">
        <w:rPr>
          <w:rFonts w:asciiTheme="majorBidi" w:hAnsiTheme="majorBidi" w:cstheme="majorBidi"/>
          <w:sz w:val="24"/>
          <w:szCs w:val="24"/>
        </w:rPr>
        <w:t xml:space="preserve"> (PBC)</w:t>
      </w:r>
      <w:r w:rsidRPr="001B7C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convened an Ambassadorial-level meeting on</w:t>
      </w:r>
      <w:r w:rsidRPr="001B7CF4">
        <w:rPr>
          <w:rFonts w:asciiTheme="majorBidi" w:hAnsiTheme="majorBidi" w:cstheme="majorBidi"/>
          <w:sz w:val="24"/>
          <w:szCs w:val="24"/>
        </w:rPr>
        <w:t xml:space="preserve"> </w:t>
      </w:r>
      <w:r w:rsidR="00AD23B3" w:rsidRPr="00AD23B3">
        <w:rPr>
          <w:rFonts w:asciiTheme="majorBidi" w:hAnsiTheme="majorBidi" w:cstheme="majorBidi"/>
          <w:sz w:val="24"/>
          <w:szCs w:val="24"/>
        </w:rPr>
        <w:t xml:space="preserve">South-South and Triangular Cooperation </w:t>
      </w:r>
      <w:r w:rsidR="00CB75D5">
        <w:rPr>
          <w:rFonts w:asciiTheme="majorBidi" w:hAnsiTheme="majorBidi" w:cstheme="majorBidi"/>
          <w:sz w:val="24"/>
          <w:szCs w:val="24"/>
        </w:rPr>
        <w:t xml:space="preserve">for </w:t>
      </w:r>
      <w:r w:rsidR="00AD23B3" w:rsidRPr="00AD23B3">
        <w:rPr>
          <w:rFonts w:asciiTheme="majorBidi" w:hAnsiTheme="majorBidi" w:cstheme="majorBidi"/>
          <w:sz w:val="24"/>
          <w:szCs w:val="24"/>
        </w:rPr>
        <w:t>Peacebuilding and Sustaining Peace</w:t>
      </w:r>
      <w:r w:rsidRPr="001B7CF4">
        <w:rPr>
          <w:rFonts w:asciiTheme="majorBidi" w:hAnsiTheme="majorBidi" w:cstheme="majorBidi"/>
          <w:sz w:val="24"/>
          <w:szCs w:val="24"/>
        </w:rPr>
        <w:t>. Th</w:t>
      </w:r>
      <w:r w:rsidR="009A27AB">
        <w:rPr>
          <w:rFonts w:asciiTheme="majorBidi" w:hAnsiTheme="majorBidi" w:cstheme="majorBidi"/>
          <w:sz w:val="24"/>
          <w:szCs w:val="24"/>
        </w:rPr>
        <w:t xml:space="preserve">e </w:t>
      </w:r>
      <w:proofErr w:type="gramStart"/>
      <w:r w:rsidRPr="001B7CF4">
        <w:rPr>
          <w:rFonts w:asciiTheme="majorBidi" w:hAnsiTheme="majorBidi" w:cstheme="majorBidi"/>
          <w:sz w:val="24"/>
          <w:szCs w:val="24"/>
        </w:rPr>
        <w:t>meeting</w:t>
      </w:r>
      <w:r w:rsidR="009A27AB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9A27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chaired by H.E. Mr. </w:t>
      </w:r>
      <w:r w:rsidRPr="00D326C9">
        <w:rPr>
          <w:rFonts w:asciiTheme="majorBidi" w:hAnsiTheme="majorBidi" w:cstheme="majorBidi"/>
          <w:sz w:val="24"/>
          <w:szCs w:val="24"/>
        </w:rPr>
        <w:t>Guillermo Fernández de Soto</w:t>
      </w:r>
      <w:r>
        <w:rPr>
          <w:rFonts w:asciiTheme="majorBidi" w:hAnsiTheme="majorBidi" w:cstheme="majorBidi"/>
          <w:sz w:val="24"/>
          <w:szCs w:val="24"/>
        </w:rPr>
        <w:t>, Chair of the PBC, was convened to</w:t>
      </w:r>
      <w:r w:rsidR="009A27AB">
        <w:rPr>
          <w:rFonts w:asciiTheme="majorBidi" w:hAnsiTheme="majorBidi" w:cstheme="majorBidi"/>
          <w:sz w:val="24"/>
          <w:szCs w:val="24"/>
        </w:rPr>
        <w:t xml:space="preserve"> </w:t>
      </w:r>
      <w:r w:rsidR="00065B43">
        <w:rPr>
          <w:rFonts w:asciiTheme="majorBidi" w:hAnsiTheme="majorBidi" w:cstheme="majorBidi"/>
          <w:sz w:val="24"/>
          <w:szCs w:val="24"/>
        </w:rPr>
        <w:t>discuss</w:t>
      </w:r>
      <w:r w:rsidR="009A27AB">
        <w:rPr>
          <w:rFonts w:asciiTheme="majorBidi" w:hAnsiTheme="majorBidi" w:cstheme="majorBidi"/>
          <w:sz w:val="24"/>
          <w:szCs w:val="24"/>
        </w:rPr>
        <w:t xml:space="preserve"> the </w:t>
      </w:r>
      <w:r w:rsidR="00A75979" w:rsidRPr="00A75979">
        <w:rPr>
          <w:rFonts w:asciiTheme="majorBidi" w:hAnsiTheme="majorBidi" w:cstheme="majorBidi"/>
          <w:sz w:val="24"/>
          <w:szCs w:val="24"/>
        </w:rPr>
        <w:t xml:space="preserve">role of </w:t>
      </w:r>
      <w:r w:rsidR="00A75979">
        <w:rPr>
          <w:rFonts w:asciiTheme="majorBidi" w:hAnsiTheme="majorBidi" w:cstheme="majorBidi"/>
          <w:sz w:val="24"/>
          <w:szCs w:val="24"/>
        </w:rPr>
        <w:t>South</w:t>
      </w:r>
      <w:r w:rsidR="00FE465E">
        <w:rPr>
          <w:rFonts w:asciiTheme="majorBidi" w:hAnsiTheme="majorBidi" w:cstheme="majorBidi"/>
          <w:sz w:val="24"/>
          <w:szCs w:val="24"/>
        </w:rPr>
        <w:t>-</w:t>
      </w:r>
      <w:r w:rsidR="00A75979">
        <w:rPr>
          <w:rFonts w:asciiTheme="majorBidi" w:hAnsiTheme="majorBidi" w:cstheme="majorBidi"/>
          <w:sz w:val="24"/>
          <w:szCs w:val="24"/>
        </w:rPr>
        <w:t xml:space="preserve">South and </w:t>
      </w:r>
      <w:r w:rsidR="008E51A3">
        <w:rPr>
          <w:rFonts w:asciiTheme="majorBidi" w:hAnsiTheme="majorBidi" w:cstheme="majorBidi"/>
          <w:sz w:val="24"/>
          <w:szCs w:val="24"/>
        </w:rPr>
        <w:t>t</w:t>
      </w:r>
      <w:r w:rsidR="00A75979">
        <w:rPr>
          <w:rFonts w:asciiTheme="majorBidi" w:hAnsiTheme="majorBidi" w:cstheme="majorBidi"/>
          <w:sz w:val="24"/>
          <w:szCs w:val="24"/>
        </w:rPr>
        <w:t xml:space="preserve">riangular </w:t>
      </w:r>
      <w:r w:rsidR="008E51A3">
        <w:rPr>
          <w:rFonts w:asciiTheme="majorBidi" w:hAnsiTheme="majorBidi" w:cstheme="majorBidi"/>
          <w:sz w:val="24"/>
          <w:szCs w:val="24"/>
        </w:rPr>
        <w:t>c</w:t>
      </w:r>
      <w:r w:rsidR="00A75979">
        <w:rPr>
          <w:rFonts w:asciiTheme="majorBidi" w:hAnsiTheme="majorBidi" w:cstheme="majorBidi"/>
          <w:sz w:val="24"/>
          <w:szCs w:val="24"/>
        </w:rPr>
        <w:t>ooperation (</w:t>
      </w:r>
      <w:r w:rsidR="00A75979" w:rsidRPr="00A75979">
        <w:rPr>
          <w:rFonts w:asciiTheme="majorBidi" w:hAnsiTheme="majorBidi" w:cstheme="majorBidi"/>
          <w:sz w:val="24"/>
          <w:szCs w:val="24"/>
        </w:rPr>
        <w:t>SSC/TC</w:t>
      </w:r>
      <w:r w:rsidR="00A75979">
        <w:rPr>
          <w:rFonts w:asciiTheme="majorBidi" w:hAnsiTheme="majorBidi" w:cstheme="majorBidi"/>
          <w:sz w:val="24"/>
          <w:szCs w:val="24"/>
        </w:rPr>
        <w:t>)</w:t>
      </w:r>
      <w:r w:rsidR="00A75979" w:rsidRPr="00A75979">
        <w:rPr>
          <w:rFonts w:asciiTheme="majorBidi" w:hAnsiTheme="majorBidi" w:cstheme="majorBidi"/>
          <w:sz w:val="24"/>
          <w:szCs w:val="24"/>
        </w:rPr>
        <w:t xml:space="preserve"> in peacebuilding and sustaining peace</w:t>
      </w:r>
      <w:r w:rsidR="005E01CF">
        <w:rPr>
          <w:rFonts w:asciiTheme="majorBidi" w:hAnsiTheme="majorBidi" w:cstheme="majorBidi"/>
          <w:sz w:val="24"/>
          <w:szCs w:val="24"/>
        </w:rPr>
        <w:t xml:space="preserve"> processes</w:t>
      </w:r>
      <w:r w:rsidR="00065B43">
        <w:rPr>
          <w:rFonts w:asciiTheme="majorBidi" w:hAnsiTheme="majorBidi" w:cstheme="majorBidi"/>
          <w:sz w:val="24"/>
          <w:szCs w:val="24"/>
        </w:rPr>
        <w:t xml:space="preserve"> and </w:t>
      </w:r>
      <w:r w:rsidR="00C255D9">
        <w:rPr>
          <w:rFonts w:asciiTheme="majorBidi" w:hAnsiTheme="majorBidi" w:cstheme="majorBidi"/>
          <w:sz w:val="24"/>
          <w:szCs w:val="24"/>
        </w:rPr>
        <w:t xml:space="preserve">share </w:t>
      </w:r>
      <w:r w:rsidR="00065B43">
        <w:rPr>
          <w:rFonts w:asciiTheme="majorBidi" w:hAnsiTheme="majorBidi" w:cstheme="majorBidi"/>
          <w:sz w:val="24"/>
          <w:szCs w:val="24"/>
        </w:rPr>
        <w:t>good practices</w:t>
      </w:r>
      <w:r w:rsidR="00C255D9">
        <w:rPr>
          <w:rFonts w:asciiTheme="majorBidi" w:hAnsiTheme="majorBidi" w:cstheme="majorBidi"/>
          <w:sz w:val="24"/>
          <w:szCs w:val="24"/>
        </w:rPr>
        <w:t xml:space="preserve"> in this area</w:t>
      </w:r>
      <w:r w:rsidR="00A75979" w:rsidRPr="00A75979">
        <w:rPr>
          <w:rFonts w:asciiTheme="majorBidi" w:hAnsiTheme="majorBidi" w:cstheme="majorBidi"/>
          <w:sz w:val="24"/>
          <w:szCs w:val="24"/>
        </w:rPr>
        <w:t>.</w:t>
      </w:r>
    </w:p>
    <w:p w14:paraId="1DBFD82C" w14:textId="77777777" w:rsidR="006A5065" w:rsidRDefault="006A5065" w:rsidP="006A506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4CB1A" w14:textId="50A047BB" w:rsidR="006A5065" w:rsidRDefault="006A5065" w:rsidP="006A5065">
      <w:pPr>
        <w:pStyle w:val="ListParagraph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90C4D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 xml:space="preserve">In his introductory remarks, the Chair </w:t>
      </w:r>
      <w:r w:rsidR="00654FB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recalled </w:t>
      </w:r>
      <w:r w:rsidR="006624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Secretary-General’s 2018 report on Peacebuilding </w:t>
      </w:r>
      <w:r w:rsidR="00551B2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Sustaining Peace, which </w:t>
      </w:r>
      <w:r w:rsidR="00321FD0" w:rsidRPr="00321FD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encourage</w:t>
      </w:r>
      <w:r w:rsidR="00321FD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</w:t>
      </w:r>
      <w:r w:rsidR="00321FD0" w:rsidRPr="00321FD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United Nations senior leadership to support </w:t>
      </w:r>
      <w:r w:rsidR="00625583" w:rsidRPr="006255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SSC/TC</w:t>
      </w:r>
      <w:r w:rsidR="00321FD0" w:rsidRPr="00321FD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peacebuilding</w:t>
      </w:r>
      <w:r w:rsidR="00321FD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as well</w:t>
      </w:r>
      <w:r w:rsidR="002817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as</w:t>
      </w:r>
      <w:r w:rsidR="00551B2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654FB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430D7A" w:rsidRPr="00430D7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outcome document of the Second High-level United Nations Conference on South-South Cooperation </w:t>
      </w:r>
      <w:r w:rsidR="00316F2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als</w:t>
      </w:r>
      <w:r w:rsidR="00561A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known as “</w:t>
      </w:r>
      <w:r w:rsidR="00316F27" w:rsidRPr="00316F2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BAPA+40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”</w:t>
      </w:r>
      <w:r w:rsidR="00316F2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  <w:r w:rsidR="00316F27" w:rsidRPr="00316F2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30D7A" w:rsidRPr="00430D7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held in Buenos Aires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Argentina, 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from </w:t>
      </w:r>
      <w:r w:rsidR="00430D7A" w:rsidRPr="00430D7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20-22 March 2019</w:t>
      </w:r>
      <w:r w:rsidR="00C006E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(A/73/L.80)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which was endorsed by the General Assembly. 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Chair </w:t>
      </w:r>
      <w:r w:rsidR="00FF41B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outlined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FE465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linkage</w:t>
      </w:r>
      <w:r w:rsidR="00FF41B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between SSC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/TC</w:t>
      </w:r>
      <w:r w:rsidR="00FF41B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initiatives in support of </w:t>
      </w:r>
      <w:r w:rsidR="00FF41B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peacebuilding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sustaining </w:t>
      </w:r>
      <w:proofErr w:type="gramStart"/>
      <w:r w:rsidR="00FE465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peace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FE465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F236C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underscor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ing</w:t>
      </w:r>
      <w:proofErr w:type="gramEnd"/>
      <w:r w:rsidR="00F236C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0610B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positive role of such </w:t>
      </w:r>
      <w:r w:rsidR="00561A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cooperation 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support sustainable development based on </w:t>
      </w:r>
      <w:r w:rsidR="002817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0610B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guiding principles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</w:t>
      </w:r>
      <w:r w:rsidR="006959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non-</w:t>
      </w:r>
      <w:r w:rsidR="00FE465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interference</w:t>
      </w:r>
      <w:r w:rsidR="006959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non-intervention</w:t>
      </w:r>
      <w:r w:rsidR="007D2E6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respect for 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national </w:t>
      </w:r>
      <w:r w:rsidR="00507D4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sovereignty</w:t>
      </w:r>
      <w:r w:rsidR="006959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national ownership.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To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illustrate 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/TC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’s 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potential in peacebuilding contexts, the </w:t>
      </w:r>
      <w:r w:rsidR="00782B4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Chair shared three examples 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involving </w:t>
      </w:r>
      <w:r w:rsidR="00782B4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Colombia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</w:t>
      </w:r>
      <w:r w:rsidR="00CB75D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i) C</w:t>
      </w:r>
      <w:r w:rsidR="006626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olombia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’s</w:t>
      </w:r>
      <w:r w:rsidR="006626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contribut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ion to </w:t>
      </w:r>
      <w:r w:rsidR="006872B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proofErr w:type="spellStart"/>
      <w:r w:rsidR="006872B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Contadora</w:t>
      </w:r>
      <w:proofErr w:type="spellEnd"/>
      <w:r w:rsidR="006872B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Group</w:t>
      </w:r>
      <w:r w:rsidR="006626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together with Mexico, Panama and Venezuela, to promote cooperation, democratization, international </w:t>
      </w:r>
      <w:r w:rsidR="003119FD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law</w:t>
      </w:r>
      <w:r w:rsidR="003119F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6626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</w:t>
      </w:r>
      <w:r w:rsidR="002817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prevent </w:t>
      </w:r>
      <w:r w:rsidR="006626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armed conflict in the region; 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ii) how </w:t>
      </w:r>
      <w:r w:rsidR="007D2E6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Colombia benefited from </w:t>
      </w:r>
      <w:r w:rsidR="002817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support from </w:t>
      </w:r>
      <w:r w:rsidR="007D2E6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</w:t>
      </w:r>
      <w:r w:rsidR="002817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r w:rsidR="007D2E6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temala, Brazil and Mexico 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</w:t>
      </w:r>
      <w:r w:rsidR="008F083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facilitat</w:t>
      </w:r>
      <w:r w:rsidR="00FF1D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ing</w:t>
      </w:r>
      <w:r w:rsidR="008F083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peace </w:t>
      </w:r>
      <w:r w:rsidR="00FE465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negotiation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8F083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between the Government and </w:t>
      </w:r>
      <w:r w:rsidR="005F0EE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Revolutionary Armed Forces of Colombia (</w:t>
      </w:r>
      <w:r w:rsidR="008F083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FA</w:t>
      </w:r>
      <w:r w:rsidR="00513B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</w:t>
      </w:r>
      <w:r w:rsidR="008F083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</w:t>
      </w:r>
      <w:r w:rsidR="005F0EE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  <w:r w:rsidR="00513B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</w:t>
      </w:r>
      <w:r w:rsidR="00507D4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end of the </w:t>
      </w:r>
      <w:r w:rsidR="00513B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1990</w:t>
      </w:r>
      <w:r w:rsidR="00507D4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; and iii) support provided by the </w:t>
      </w:r>
      <w:r w:rsidR="009A178B" w:rsidRP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international community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D139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during </w:t>
      </w:r>
      <w:r w:rsidR="00507D4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implementation of </w:t>
      </w:r>
      <w:r w:rsidR="00513B2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more recent Havana Peace Process</w:t>
      </w:r>
      <w:r w:rsidR="00D139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D1396D" w:rsidRPr="00D1396D">
        <w:t xml:space="preserve"> </w:t>
      </w:r>
      <w:r w:rsidR="00D1396D" w:rsidRPr="00D139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which led to the signature of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 historic peace </w:t>
      </w:r>
      <w:r w:rsidR="00D1396D" w:rsidRPr="00D139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agreement between the Government and the FA</w:t>
      </w:r>
      <w:r w:rsidR="00D139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</w:t>
      </w:r>
      <w:r w:rsidR="00D1396D" w:rsidRPr="00D139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</w:t>
      </w:r>
      <w:r w:rsidR="00507D4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bookmarkStart w:id="0" w:name="_GoBack"/>
      <w:bookmarkEnd w:id="0"/>
      <w:r w:rsidR="00507D42" w:rsidRPr="00507D42">
        <w:t xml:space="preserve"> </w:t>
      </w:r>
      <w:r w:rsidR="00507D42" w:rsidRPr="00507D4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by countries as China, El Salvador or Argentina in critical issues as historical memory and search of missing persons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The Chair stressed how </w:t>
      </w:r>
      <w:r w:rsidR="00DE7FD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SSC/TC</w:t>
      </w:r>
      <w:r w:rsidR="0033626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efforts did</w:t>
      </w:r>
      <w:r w:rsidR="00DE7FD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not only </w:t>
      </w:r>
      <w:r w:rsidR="00F21E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facilitate the peace process in Colombia, but also allow</w:t>
      </w:r>
      <w:r w:rsidR="002817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r w:rsidR="00F21E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his country </w:t>
      </w:r>
      <w:r w:rsidR="00F21E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</w:t>
      </w:r>
      <w:proofErr w:type="gramStart"/>
      <w:r w:rsidR="00F21E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extend  </w:t>
      </w:r>
      <w:r w:rsidR="00FE465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economic</w:t>
      </w:r>
      <w:proofErr w:type="gramEnd"/>
      <w:r w:rsidR="00F21E6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tie</w:t>
      </w:r>
      <w:r w:rsidR="002D19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 and build trust with </w:t>
      </w:r>
      <w:r w:rsidR="009A17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regional </w:t>
      </w:r>
      <w:r w:rsidR="002D19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partners.</w:t>
      </w:r>
    </w:p>
    <w:p w14:paraId="24C68A3F" w14:textId="77777777" w:rsidR="00DE7FDE" w:rsidRPr="00442BC8" w:rsidRDefault="00DE7FDE" w:rsidP="00DE7FDE">
      <w:pPr>
        <w:pStyle w:val="ListParagraph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B3F5B18" w14:textId="4BD7CDA8" w:rsidR="00693EFB" w:rsidRPr="007A17A7" w:rsidRDefault="002F69FF" w:rsidP="00311C59">
      <w:pPr>
        <w:pStyle w:val="ListParagraph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311C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Director of the United Nations Office for South-South Cooperation (UNOSSC) and Envoy of the Secretary-General on South-South Cooperation, </w:t>
      </w:r>
      <w:r w:rsidR="002D1967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Mr. Jorge Chediek, </w:t>
      </w:r>
      <w:r w:rsidR="00034B81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underlined the genesis of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034B81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</w:t>
      </w:r>
      <w:r w:rsidR="00C07552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/TC</w:t>
      </w:r>
      <w:r w:rsidR="00034B81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approach and its principles</w:t>
      </w:r>
      <w:r w:rsidR="00604E4B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particularly noting how the </w:t>
      </w:r>
      <w:r w:rsidR="00034B81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former Technical Cooperation for Developing Countries (TCDC) </w:t>
      </w:r>
      <w:r w:rsidR="00604E4B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was </w:t>
      </w:r>
      <w:r w:rsidR="00034B81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transformed into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034B81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SSC/TC</w:t>
      </w:r>
      <w:r w:rsidR="00546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approach by countries of the 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546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outh</w:t>
      </w:r>
      <w:r w:rsidR="00034B81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Key factors that </w:t>
      </w:r>
      <w:r w:rsidR="003968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have 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contributed to the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new approach 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included the emergence of </w:t>
      </w:r>
      <w:r w:rsidR="00034B81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middle-income countries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among developing countries</w:t>
      </w:r>
      <w:r w:rsidR="00740550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546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growing </w:t>
      </w:r>
      <w:r w:rsidR="00546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 xml:space="preserve">trade among countries of the 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546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outh, and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 </w:t>
      </w:r>
      <w:r w:rsidR="00546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increasing n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umber of countries of the 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orth </w:t>
      </w:r>
      <w:r w:rsidR="00D06AC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interested in </w:t>
      </w:r>
      <w:proofErr w:type="gramStart"/>
      <w:r w:rsidR="00546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facilitate</w:t>
      </w:r>
      <w:proofErr w:type="gramEnd"/>
      <w:r w:rsidR="00546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SSC/TC. 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On this basis, SSC/TC has seen </w:t>
      </w:r>
      <w:r w:rsidR="00FE465E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expansion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D67DB7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and diversification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evidenced by examples </w:t>
      </w:r>
      <w:r w:rsidR="00C973FE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of</w:t>
      </w:r>
      <w:r w:rsidR="00D67DB7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32585D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developing </w:t>
      </w:r>
      <w:r w:rsidR="005A1F6E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countries find</w:t>
      </w:r>
      <w:r w:rsidR="00D67DB7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ing</w:t>
      </w:r>
      <w:r w:rsidR="005A1F6E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892A8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their own solutions, swif</w:t>
      </w:r>
      <w:r w:rsidR="00D67DB7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892A8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="0089745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</w:t>
      </w:r>
      <w:r w:rsidR="00892A8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responses </w:t>
      </w:r>
      <w:r w:rsidR="0089745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</w:t>
      </w:r>
      <w:r w:rsidR="004B029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other Southern countries’ needs, </w:t>
      </w:r>
      <w:r w:rsidR="007138D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the establishment of </w:t>
      </w:r>
      <w:proofErr w:type="spellStart"/>
      <w:r w:rsidR="007138D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cooperational</w:t>
      </w:r>
      <w:proofErr w:type="spellEnd"/>
      <w:r w:rsidR="007138D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FE465E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institutions</w:t>
      </w:r>
      <w:r w:rsidR="00BD3449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7138D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</w:t>
      </w:r>
      <w:r w:rsidR="00D67DB7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D67DB7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outh that facilitat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="00D67DB7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SSC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including the establishment of financing institutions </w:t>
      </w:r>
      <w:r w:rsidR="00BD3449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like the Asian Infrastructure Investment Bank, the New Development Bank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BD3449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the </w:t>
      </w:r>
      <w:r w:rsidR="00BD3449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Islamic Development Bank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32585D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However, SSC still faces barriers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expansion due to </w:t>
      </w:r>
      <w:r w:rsidR="0032585D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information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gap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32585D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2B7A24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institution</w:t>
      </w:r>
      <w:r w:rsidR="00C07552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al limitations</w:t>
      </w:r>
      <w:r w:rsidR="006273FD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</w:t>
      </w:r>
      <w:r w:rsidR="0032585D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political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considerations. According to </w:t>
      </w:r>
      <w:r w:rsidR="007138D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Director, 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</w:t>
      </w:r>
      <w:r w:rsidR="00200B83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such </w:t>
      </w:r>
      <w:r w:rsidR="00200B83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context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200B83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6273FD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200B83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triangular cooperation, supported by developed countries or multilateral organizations, is </w:t>
      </w:r>
      <w:r w:rsidR="002208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instrumental</w:t>
      </w:r>
      <w:r w:rsidR="002208A7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870F48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 facilitate equal exchange of knowledge and expertise</w:t>
      </w:r>
      <w:r w:rsidR="00200B83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6D361A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271A0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Director </w:t>
      </w:r>
      <w:r w:rsidR="006D361A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briefly introduced the work of UNOSSC</w:t>
      </w:r>
      <w:r w:rsidR="00311C59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support of SSC/TC,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include </w:t>
      </w:r>
      <w:r w:rsidR="00311C59" w:rsidRPr="002C672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three </w:t>
      </w:r>
      <w:r w:rsidR="00311C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development </w:t>
      </w:r>
      <w:r w:rsidR="00311C59" w:rsidRPr="00311C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funds administered by </w:t>
      </w:r>
      <w:r w:rsidR="007138D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his </w:t>
      </w:r>
      <w:r w:rsidR="00311C59" w:rsidRPr="00311C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office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the </w:t>
      </w:r>
      <w:r w:rsidR="00311C59" w:rsidRPr="00311C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India, Brazil and South Africa (IBSA) Facility;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311C59" w:rsidRPr="00311C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Perez-Guerre</w:t>
      </w:r>
      <w:r w:rsidR="004D740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</w:t>
      </w:r>
      <w:r w:rsidR="00311C59" w:rsidRPr="00311C5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 Trust Fund; and the India-UN Development Partnership Fund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; as well as </w:t>
      </w:r>
      <w:r w:rsidR="00312879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177D6D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South-South Global Thinkers</w:t>
      </w:r>
      <w:r w:rsidR="00693EFB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the Global South-South Development Expo</w:t>
      </w:r>
      <w:r w:rsidR="002A064C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initiatives</w:t>
      </w:r>
      <w:r w:rsidR="00693EFB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he Director highlighted th</w:t>
      </w:r>
      <w:r w:rsidR="00A7650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 significance of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BAPA+40</w:t>
      </w:r>
      <w:r w:rsidR="00A7650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which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opened up</w:t>
      </w:r>
      <w:proofErr w:type="gramEnd"/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7650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 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new discussion for countries</w:t>
      </w:r>
      <w:r w:rsidR="00A171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A1715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North and South</w:t>
      </w:r>
      <w:r w:rsidR="00A7650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693EFB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2A064C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Director</w:t>
      </w:r>
      <w:r w:rsidR="00482894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concluded by inviting PBC members to the official </w:t>
      </w:r>
      <w:r w:rsidR="003247F7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launch</w:t>
      </w:r>
      <w:r w:rsidR="00482894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its SSC/</w:t>
      </w:r>
      <w:r w:rsidR="00FE465E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TC knowledge</w:t>
      </w:r>
      <w:r w:rsidR="003247F7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-sharing and partnership brokering </w:t>
      </w:r>
      <w:r w:rsidR="00482894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online </w:t>
      </w:r>
      <w:r w:rsidR="003247F7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platform called “</w:t>
      </w:r>
      <w:bookmarkStart w:id="1" w:name="_Hlk19198795"/>
      <w:r w:rsidR="003247F7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South-South Galaxy</w:t>
      </w:r>
      <w:bookmarkEnd w:id="1"/>
      <w:r w:rsidR="003247F7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” on </w:t>
      </w:r>
      <w:r w:rsidR="00C33D70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United </w:t>
      </w:r>
      <w:r w:rsidR="00EE708C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r w:rsidR="00C33D70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ations Inter</w:t>
      </w:r>
      <w:r w:rsidR="00E0521C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national </w:t>
      </w:r>
      <w:r w:rsidR="00C33D70" w:rsidRPr="007A17A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Day for South-South Cooperation, 12 September 2019.</w:t>
      </w:r>
    </w:p>
    <w:p w14:paraId="4F4EB4A1" w14:textId="77777777" w:rsidR="00742136" w:rsidRDefault="00742136" w:rsidP="00742136">
      <w:pPr>
        <w:pStyle w:val="ListParagraph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34BC379F" w14:textId="46B5CD90" w:rsidR="00742136" w:rsidRPr="00D84B54" w:rsidRDefault="009620B4" w:rsidP="00D84B54">
      <w:pPr>
        <w:pStyle w:val="ListParagraph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D</w:t>
      </w:r>
      <w:r w:rsidRPr="00D84B54"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ire</w:t>
      </w:r>
      <w:r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ctor and Deputy Head of the Peacebuilding Support Office (PBSO)</w:t>
      </w:r>
      <w:r w:rsidR="002F3200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Ms. Barrie Freeman,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described the PBC </w:t>
      </w:r>
      <w:r w:rsidR="001F4623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meeting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as </w:t>
      </w:r>
      <w:r w:rsidR="00471ECF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opportunity to exchange view</w:t>
      </w:r>
      <w:r w:rsidR="00B20838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="00471ECF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on the BAPA+40 outcome and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</w:t>
      </w:r>
      <w:r w:rsidR="00471ECF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explore ways that the UN can build on lessons learned and good practices</w:t>
      </w:r>
      <w:r w:rsidR="00BE3D93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6720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</w:t>
      </w:r>
      <w:r w:rsidR="00BA17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support </w:t>
      </w:r>
      <w:r w:rsidR="006720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PBC </w:t>
      </w:r>
      <w:r w:rsidR="00FE465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consideration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</w:t>
      </w:r>
      <w:r w:rsidR="0083343B" w:rsidRPr="00137E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SSC/TC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83343B" w:rsidRPr="00FC037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BE3D93" w:rsidRPr="00FC037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Director </w:t>
      </w:r>
      <w:r w:rsidR="006720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noted </w:t>
      </w:r>
      <w:r w:rsidR="00C44C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 number of points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favor</w:t>
      </w:r>
      <w:r w:rsidR="006720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83343B" w:rsidRPr="00FC037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consistence between the twin resolutions on sustaining peace and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83343B" w:rsidRPr="00FC037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BAPA+40 outcome </w:t>
      </w:r>
      <w:r w:rsidR="008E51A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document</w:t>
      </w:r>
      <w:r w:rsidR="00C44C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; </w:t>
      </w:r>
      <w:r w:rsidR="00137E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2E37AA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</w:t>
      </w:r>
      <w:r w:rsidR="001F4623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rowing recognition</w:t>
      </w:r>
      <w:r w:rsidR="00137E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SSC </w:t>
      </w:r>
      <w:r w:rsidR="00BE3D93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r w:rsidR="001F4623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 an important element of international cooperation for sustainable development</w:t>
      </w:r>
      <w:r w:rsidR="00C44C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; </w:t>
      </w:r>
      <w:r w:rsid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FC037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shared commonality between </w:t>
      </w:r>
      <w:r w:rsid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8055B7" w:rsidRP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PBC’s approach to country-led engagements</w:t>
      </w:r>
      <w:r w:rsid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the </w:t>
      </w:r>
      <w:r w:rsidR="00D84B54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voluntary, participative, and demand-driven nature of</w:t>
      </w:r>
      <w:r w:rsidR="00137E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FC037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</w:t>
      </w:r>
      <w:r w:rsidR="007138D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/TC</w:t>
      </w:r>
      <w:r w:rsid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; and </w:t>
      </w:r>
      <w:r w:rsidR="00C44C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how </w:t>
      </w:r>
      <w:r w:rsidR="008055B7" w:rsidRP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PBC engagement  </w:t>
      </w:r>
      <w:r w:rsid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is </w:t>
      </w:r>
      <w:r w:rsidR="008055B7" w:rsidRP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consistent with </w:t>
      </w:r>
      <w:r w:rsid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</w:t>
      </w:r>
      <w:r w:rsidR="008055B7" w:rsidRP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principles</w:t>
      </w:r>
      <w:r w:rsid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2F3200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</w:t>
      </w:r>
      <w:r w:rsidR="007138D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She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further stressed that while </w:t>
      </w:r>
      <w:r w:rsidR="00572469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numerous studies and experiences illustrate the relevance of </w:t>
      </w:r>
      <w:r w:rsidR="008055B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</w:t>
      </w:r>
      <w:r w:rsidR="00572469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peacebuilding and sustaining peace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with </w:t>
      </w:r>
      <w:r w:rsidR="00D73C88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growing acceptance of and demand for</w:t>
      </w:r>
      <w:r w:rsidR="00BA17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it </w:t>
      </w:r>
      <w:r w:rsidR="00D73C88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conflict-affected countries</w:t>
      </w:r>
      <w:r w:rsidR="00297E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6720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tracking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cooper</w:t>
      </w:r>
      <w:r w:rsidR="00297E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ation r</w:t>
      </w:r>
      <w:r w:rsidR="0067206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emains a </w:t>
      </w:r>
      <w:r w:rsidR="00297E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challenge.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For example, the</w:t>
      </w:r>
      <w:r w:rsidR="00FE465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5C4ED2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PBC and the Peacebuilding Fund </w:t>
      </w:r>
      <w:r w:rsidR="00E70031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both facilitate and support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 variety of </w:t>
      </w:r>
      <w:r w:rsidR="00E70031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efforts that reflect and </w:t>
      </w:r>
      <w:proofErr w:type="gramStart"/>
      <w:r w:rsidR="00E70031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support </w:t>
      </w:r>
      <w:r w:rsidR="004F0F70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FE465E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SSC</w:t>
      </w:r>
      <w:proofErr w:type="gramEnd"/>
      <w:r w:rsidR="00FE465E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297E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but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this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has </w:t>
      </w:r>
      <w:r w:rsidR="0048289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not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been tracked </w:t>
      </w:r>
      <w:r w:rsidR="00297E7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systematically.</w:t>
      </w:r>
      <w:r w:rsidR="00AE61B3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803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terms of UN support, the Director referred to the </w:t>
      </w:r>
      <w:r w:rsidR="00341CAA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new DPPA structure</w:t>
      </w:r>
      <w:r w:rsidR="001204B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with PBSO as the </w:t>
      </w:r>
      <w:r w:rsidR="00256C5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designated </w:t>
      </w:r>
      <w:r w:rsidR="001204B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focal point for SSC</w:t>
      </w:r>
      <w:r w:rsidR="00256C5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/TC</w:t>
      </w:r>
      <w:r w:rsidR="001204B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256C5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as </w:t>
      </w:r>
      <w:r w:rsidR="00341CAA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 opportunity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to deepen UN</w:t>
      </w:r>
      <w:r w:rsidR="00341CAA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engagement on SSC</w:t>
      </w:r>
      <w:r w:rsidR="0057235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/TC</w:t>
      </w:r>
      <w:r w:rsidR="002C63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through </w:t>
      </w:r>
      <w:r w:rsidR="00341CAA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enhance</w:t>
      </w:r>
      <w:r w:rsidR="007C732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</w:t>
      </w:r>
      <w:r w:rsidR="00341CAA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collaboration with other pillars of the organization</w:t>
      </w:r>
      <w:r w:rsidR="0057235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The 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Director also noted the Secretary-General’s request for the development of </w:t>
      </w:r>
      <w:r w:rsidR="003B5D28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 system-wide</w:t>
      </w:r>
      <w:r w:rsidR="0057235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South-South Cooperation S</w:t>
      </w:r>
      <w:r w:rsidR="003B5D28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trategy</w:t>
      </w:r>
      <w:r w:rsidR="0049593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under the leadership of UNOSCC,</w:t>
      </w:r>
      <w:r w:rsidR="003B5D28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achieve more coherent and coordinated support by the United Nations system</w:t>
      </w:r>
      <w:r w:rsidR="0057235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3B5D28" w:rsidRPr="00D84B5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</w:t>
      </w:r>
    </w:p>
    <w:p w14:paraId="69AC1213" w14:textId="34ADD282" w:rsidR="006A5065" w:rsidRDefault="00693EFB" w:rsidP="00742136">
      <w:pPr>
        <w:pStyle w:val="ListParagraph"/>
        <w:ind w:left="360"/>
        <w:jc w:val="both"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r w:rsidRPr="00442BC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14:paraId="742DA82E" w14:textId="393CAFCC" w:rsidR="00D27BD7" w:rsidRPr="00E9172A" w:rsidRDefault="00742136" w:rsidP="007F539A">
      <w:pPr>
        <w:pStyle w:val="ListParagraph"/>
        <w:numPr>
          <w:ilvl w:val="0"/>
          <w:numId w:val="1"/>
        </w:numPr>
        <w:jc w:val="both"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  <w:bookmarkStart w:id="2" w:name="_Hlk19615296"/>
      <w:r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lastRenderedPageBreak/>
        <w:t xml:space="preserve">The Assistant Secretary-General, Assistant Administrator and Director </w:t>
      </w:r>
      <w:r w:rsidR="000D2CEC">
        <w:rPr>
          <w:rFonts w:asciiTheme="majorBidi" w:eastAsia="SimSun" w:hAnsiTheme="majorBidi" w:cstheme="majorBidi"/>
          <w:sz w:val="24"/>
          <w:szCs w:val="24"/>
          <w:lang w:val="en-US" w:eastAsia="zh-CN"/>
        </w:rPr>
        <w:t>of the</w:t>
      </w:r>
      <w:r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Crisis Bureau, UNDP</w:t>
      </w:r>
      <w:r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, Ms. Asako </w:t>
      </w:r>
      <w:proofErr w:type="spellStart"/>
      <w:proofErr w:type="gramStart"/>
      <w:r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>Okai</w:t>
      </w:r>
      <w:proofErr w:type="spellEnd"/>
      <w:r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, </w:t>
      </w:r>
      <w:r w:rsidR="00713340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3D5ED3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>briefed</w:t>
      </w:r>
      <w:proofErr w:type="gramEnd"/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713340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on </w:t>
      </w:r>
      <w:r w:rsidR="00D27BD7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>UNDP</w:t>
      </w:r>
      <w:r w:rsidR="00713340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’s </w:t>
      </w:r>
      <w:r w:rsidR="00D27BD7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>long history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D27BD7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>as a knowledge broker, partnership and capacity development</w:t>
      </w:r>
      <w:r w:rsidR="008E51A3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facilitator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>, describ</w:t>
      </w:r>
      <w:r w:rsidR="00BE7805">
        <w:rPr>
          <w:rFonts w:asciiTheme="majorBidi" w:eastAsia="SimSun" w:hAnsiTheme="majorBidi" w:cstheme="majorBidi"/>
          <w:sz w:val="24"/>
          <w:szCs w:val="24"/>
          <w:lang w:val="en-US" w:eastAsia="zh-CN"/>
        </w:rPr>
        <w:t>ing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how </w:t>
      </w:r>
      <w:r w:rsidR="00D27BD7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>SSC</w:t>
      </w:r>
      <w:r w:rsidR="00315BBE" w:rsidRPr="00CB75D5">
        <w:rPr>
          <w:rFonts w:asciiTheme="majorBidi" w:eastAsia="SimSun" w:hAnsiTheme="majorBidi" w:cstheme="majorBidi"/>
          <w:sz w:val="24"/>
          <w:szCs w:val="24"/>
          <w:lang w:val="en-US" w:eastAsia="zh-CN"/>
        </w:rPr>
        <w:t>/TC</w:t>
      </w:r>
      <w:r w:rsid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is </w:t>
      </w:r>
      <w:r w:rsidR="007F539A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>help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>ing</w:t>
      </w:r>
      <w:r w:rsidR="007F539A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countries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of the </w:t>
      </w:r>
      <w:r w:rsidR="00495930">
        <w:rPr>
          <w:rFonts w:asciiTheme="majorBidi" w:eastAsia="SimSun" w:hAnsiTheme="majorBidi" w:cstheme="majorBidi"/>
          <w:sz w:val="24"/>
          <w:szCs w:val="24"/>
          <w:lang w:val="en-US" w:eastAsia="zh-CN"/>
        </w:rPr>
        <w:t>S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outh to </w:t>
      </w:r>
      <w:r w:rsidR="007F539A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maximize 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their </w:t>
      </w:r>
      <w:r w:rsidR="007F539A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development impact towards the achievement of the SDGs. </w:t>
      </w:r>
      <w:r w:rsid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>The ASG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stated that UNDP’s experience</w:t>
      </w:r>
      <w:r w:rsidR="00BE7805">
        <w:rPr>
          <w:rFonts w:asciiTheme="majorBidi" w:eastAsia="SimSun" w:hAnsiTheme="majorBidi" w:cstheme="majorBidi"/>
          <w:sz w:val="24"/>
          <w:szCs w:val="24"/>
          <w:lang w:val="en-US" w:eastAsia="zh-CN"/>
        </w:rPr>
        <w:t>s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show </w:t>
      </w:r>
      <w:r w:rsid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>that SSC</w:t>
      </w:r>
      <w:r w:rsidR="007138D7">
        <w:rPr>
          <w:rFonts w:asciiTheme="majorBidi" w:eastAsia="SimSun" w:hAnsiTheme="majorBidi" w:cstheme="majorBidi"/>
          <w:sz w:val="24"/>
          <w:szCs w:val="24"/>
          <w:lang w:val="en-US" w:eastAsia="zh-CN"/>
        </w:rPr>
        <w:t>/TC</w:t>
      </w:r>
      <w:r w:rsid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713340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>offer</w:t>
      </w:r>
      <w:r w:rsidR="00495930">
        <w:rPr>
          <w:rFonts w:asciiTheme="majorBidi" w:eastAsia="SimSun" w:hAnsiTheme="majorBidi" w:cstheme="majorBidi"/>
          <w:sz w:val="24"/>
          <w:szCs w:val="24"/>
          <w:lang w:val="en-US" w:eastAsia="zh-CN"/>
        </w:rPr>
        <w:t>s</w:t>
      </w:r>
      <w:r w:rsidR="00713340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lasting benefits for peace and development</w:t>
      </w:r>
      <w:r w:rsidR="007F539A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, especially in areas like social cohesion, inclusive and accountable governance, development dialogue, and regional integration. </w:t>
      </w:r>
      <w:r w:rsidR="00315BBE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7138D7">
        <w:rPr>
          <w:rFonts w:asciiTheme="majorBidi" w:eastAsia="SimSun" w:hAnsiTheme="majorBidi" w:cstheme="majorBidi"/>
          <w:sz w:val="24"/>
          <w:szCs w:val="24"/>
          <w:lang w:val="en-US" w:eastAsia="zh-CN"/>
        </w:rPr>
        <w:t>She noted that in</w:t>
      </w:r>
      <w:r w:rsidR="00315BBE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2019 alone, UNDP collaborat</w:t>
      </w:r>
      <w:r w:rsidR="00C74F17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ed </w:t>
      </w:r>
      <w:r w:rsidR="00315BBE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with partners on more than </w:t>
      </w:r>
      <w:r w:rsidR="00495930">
        <w:rPr>
          <w:rFonts w:asciiTheme="majorBidi" w:eastAsia="SimSun" w:hAnsiTheme="majorBidi" w:cstheme="majorBidi"/>
          <w:sz w:val="24"/>
          <w:szCs w:val="24"/>
          <w:lang w:val="en-US" w:eastAsia="zh-CN"/>
        </w:rPr>
        <w:t>600</w:t>
      </w:r>
      <w:r w:rsidR="00713340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315BBE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>SSC</w:t>
      </w:r>
      <w:r w:rsidR="00495930">
        <w:rPr>
          <w:rFonts w:asciiTheme="majorBidi" w:eastAsia="SimSun" w:hAnsiTheme="majorBidi" w:cstheme="majorBidi"/>
          <w:sz w:val="24"/>
          <w:szCs w:val="24"/>
          <w:lang w:val="en-US" w:eastAsia="zh-CN"/>
        </w:rPr>
        <w:t>/TC</w:t>
      </w:r>
      <w:r w:rsidR="00315BBE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initiatives with a 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total funding of </w:t>
      </w:r>
      <w:r w:rsidR="00315BBE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over $840 million </w:t>
      </w:r>
      <w:r w:rsidR="00FE465E">
        <w:rPr>
          <w:rFonts w:asciiTheme="majorBidi" w:eastAsia="SimSun" w:hAnsiTheme="majorBidi" w:cstheme="majorBidi"/>
          <w:sz w:val="24"/>
          <w:szCs w:val="24"/>
          <w:lang w:val="en-US" w:eastAsia="zh-CN"/>
        </w:rPr>
        <w:t>provided</w:t>
      </w:r>
      <w:r w:rsidR="00817B3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by </w:t>
      </w:r>
      <w:r w:rsidR="00315BBE" w:rsidRPr="007F539A">
        <w:rPr>
          <w:rFonts w:asciiTheme="majorBidi" w:eastAsia="SimSun" w:hAnsiTheme="majorBidi" w:cstheme="majorBidi"/>
          <w:sz w:val="24"/>
          <w:szCs w:val="24"/>
          <w:lang w:val="en-US" w:eastAsia="zh-CN"/>
        </w:rPr>
        <w:t>218 donor</w:t>
      </w:r>
      <w:r w:rsidR="00713340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contributor</w:t>
      </w:r>
      <w:r w:rsidR="00315BBE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s.</w:t>
      </w:r>
      <w:r w:rsidR="00526982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495930">
        <w:rPr>
          <w:rFonts w:asciiTheme="majorBidi" w:eastAsia="SimSun" w:hAnsiTheme="majorBidi" w:cstheme="majorBidi"/>
          <w:sz w:val="24"/>
          <w:szCs w:val="24"/>
          <w:lang w:val="en-US" w:eastAsia="zh-CN"/>
        </w:rPr>
        <w:t>I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n addition to the UNOSSC</w:t>
      </w:r>
      <w:r w:rsidR="008E51A3">
        <w:rPr>
          <w:rFonts w:asciiTheme="majorBidi" w:eastAsia="SimSun" w:hAnsiTheme="majorBidi" w:cstheme="majorBidi"/>
          <w:sz w:val="24"/>
          <w:szCs w:val="24"/>
          <w:lang w:val="en-US" w:eastAsia="zh-CN"/>
        </w:rPr>
        <w:t>’s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Galaxy and South-South Global Thinkers, </w:t>
      </w:r>
      <w:r w:rsidR="002B3AF6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UNDP 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has developed many initiatives to </w:t>
      </w:r>
      <w:r w:rsidR="00D64A8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support its SSC/TC </w:t>
      </w:r>
      <w:r w:rsidR="00FE465E">
        <w:rPr>
          <w:rFonts w:asciiTheme="majorBidi" w:eastAsia="SimSun" w:hAnsiTheme="majorBidi" w:cstheme="majorBidi"/>
          <w:sz w:val="24"/>
          <w:szCs w:val="24"/>
          <w:lang w:val="en-US" w:eastAsia="zh-CN"/>
        </w:rPr>
        <w:t>endeavors</w:t>
      </w:r>
      <w:r w:rsidR="00D64A8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, including systems to 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connect partners (e.g. </w:t>
      </w:r>
      <w:r w:rsidR="00E9172A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Behavi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o</w:t>
      </w:r>
      <w:r w:rsidR="00E9172A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ral Insights Tool called Power BI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)</w:t>
      </w:r>
      <w:r w:rsidR="00D64A8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; 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dissemination of best practices and proven solutions (SSMart for SDGs</w:t>
      </w:r>
      <w:r w:rsidR="00D64A8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system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)</w:t>
      </w:r>
      <w:r w:rsidR="00C126A6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; </w:t>
      </w:r>
      <w:r w:rsidR="00495930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and </w:t>
      </w:r>
      <w:r w:rsidR="00950271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the </w:t>
      </w:r>
      <w:r w:rsidR="00BE67CF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YouthConnekt programme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(</w:t>
      </w:r>
      <w:r w:rsidR="00D64A8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a </w:t>
      </w:r>
      <w:r w:rsidR="00BE67CF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flagship programme in Africa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for gender-sen</w:t>
      </w:r>
      <w:r w:rsidR="00D64A8A">
        <w:rPr>
          <w:rFonts w:asciiTheme="majorBidi" w:eastAsia="SimSun" w:hAnsiTheme="majorBidi" w:cstheme="majorBidi"/>
          <w:sz w:val="24"/>
          <w:szCs w:val="24"/>
          <w:lang w:val="en-US" w:eastAsia="zh-CN"/>
        </w:rPr>
        <w:t>si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tive job, skills and leadership development). In addition, </w:t>
      </w:r>
      <w:r w:rsidR="002D6B45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UNDP also </w:t>
      </w:r>
      <w:r w:rsid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support</w:t>
      </w:r>
      <w:r w:rsidR="000E6EC7">
        <w:rPr>
          <w:rFonts w:asciiTheme="majorBidi" w:eastAsia="SimSun" w:hAnsiTheme="majorBidi" w:cstheme="majorBidi"/>
          <w:sz w:val="24"/>
          <w:szCs w:val="24"/>
          <w:lang w:val="en-US" w:eastAsia="zh-CN"/>
        </w:rPr>
        <w:t>s</w:t>
      </w:r>
      <w:r w:rsidR="002D6B45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cross-border initiatives </w:t>
      </w:r>
      <w:r w:rsid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in Africa </w:t>
      </w:r>
      <w:r w:rsidR="00D962E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that are based on</w:t>
      </w:r>
      <w:r w:rsidR="00C925D4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the</w:t>
      </w:r>
      <w:r w:rsidR="00D962E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SSC </w:t>
      </w:r>
      <w:r w:rsid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modality to promote conflict-sensitive investments, </w:t>
      </w:r>
      <w:r w:rsidR="00D962E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cross-border trade and private sector development</w:t>
      </w:r>
      <w:r w:rsid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, </w:t>
      </w:r>
      <w:r w:rsidR="00D962E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diversif</w:t>
      </w:r>
      <w:r w:rsid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ication of </w:t>
      </w:r>
      <w:r w:rsidR="00D962E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livelihood</w:t>
      </w:r>
      <w:r w:rsidR="009A536F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initiatives, </w:t>
      </w:r>
      <w:r w:rsidR="00D962E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and </w:t>
      </w:r>
      <w:r w:rsidR="009A536F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building capacity to </w:t>
      </w:r>
      <w:r w:rsidR="00D962E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manage shared natural resources. </w:t>
      </w:r>
      <w:r w:rsidR="00FE465E">
        <w:rPr>
          <w:rFonts w:asciiTheme="majorBidi" w:eastAsia="SimSun" w:hAnsiTheme="majorBidi" w:cstheme="majorBidi"/>
          <w:sz w:val="24"/>
          <w:szCs w:val="24"/>
          <w:lang w:val="en-US" w:eastAsia="zh-CN"/>
        </w:rPr>
        <w:t>Another</w:t>
      </w:r>
      <w:r w:rsidR="009A536F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important initiative the </w:t>
      </w:r>
      <w:r w:rsidR="00EA6453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ASG </w:t>
      </w:r>
      <w:r w:rsidR="00EA6453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underscored</w:t>
      </w:r>
      <w:r w:rsidR="00D962E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9A536F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is </w:t>
      </w:r>
      <w:r w:rsidR="0008757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>Fragile-to-Fragile Cooperation</w:t>
      </w:r>
      <w:r w:rsidR="000E6EC7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, </w:t>
      </w:r>
      <w:r w:rsidR="0008757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an important sub-set of South-South </w:t>
      </w:r>
      <w:r w:rsidR="008E51A3">
        <w:rPr>
          <w:rFonts w:asciiTheme="majorBidi" w:eastAsia="SimSun" w:hAnsiTheme="majorBidi" w:cstheme="majorBidi"/>
          <w:sz w:val="24"/>
          <w:szCs w:val="24"/>
          <w:lang w:val="en-US" w:eastAsia="zh-CN"/>
        </w:rPr>
        <w:t>c</w:t>
      </w:r>
      <w:r w:rsidR="00087574" w:rsidRPr="00E9172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ooperation </w:t>
      </w:r>
      <w:r w:rsidR="000E6EC7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designed </w:t>
      </w:r>
      <w:r w:rsidR="009A536F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to </w:t>
      </w:r>
      <w:r w:rsidR="00D43E56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draw </w:t>
      </w:r>
      <w:r w:rsidR="00E67456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lessons on </w:t>
      </w:r>
      <w:r w:rsid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how </w:t>
      </w:r>
      <w:r w:rsidR="00D42F2C" w:rsidRP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>the g7+</w:t>
      </w:r>
      <w:r w:rsid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9A536F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countries can </w:t>
      </w:r>
      <w:r w:rsidR="00E67456">
        <w:rPr>
          <w:rFonts w:asciiTheme="majorBidi" w:eastAsia="SimSun" w:hAnsiTheme="majorBidi" w:cstheme="majorBidi"/>
          <w:sz w:val="24"/>
          <w:szCs w:val="24"/>
          <w:lang w:val="en-US" w:eastAsia="zh-CN"/>
        </w:rPr>
        <w:t>collaborate and s</w:t>
      </w:r>
      <w:r w:rsidR="00D42F2C" w:rsidRP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hare technical expertise </w:t>
      </w:r>
      <w:r w:rsidR="009A536F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and similar experiences </w:t>
      </w:r>
      <w:r w:rsidR="00D42F2C" w:rsidRPr="00D42F2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to assist their transitions to resilience.  </w:t>
      </w:r>
    </w:p>
    <w:bookmarkEnd w:id="2"/>
    <w:p w14:paraId="36A9B44C" w14:textId="77777777" w:rsidR="006A5065" w:rsidRDefault="006A5065" w:rsidP="006A5065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A8DB919" w14:textId="7C60CB1E" w:rsidR="009A27AB" w:rsidRPr="009A27AB" w:rsidRDefault="006A5065" w:rsidP="009A27A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Member States welcomed the briefings and made the following observations: </w:t>
      </w:r>
    </w:p>
    <w:p w14:paraId="428E8B79" w14:textId="0A216774" w:rsidR="00EC6D48" w:rsidRDefault="006A5065" w:rsidP="006A506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</w:t>
      </w:r>
      <w:r w:rsidR="00EC6D48">
        <w:rPr>
          <w:rFonts w:asciiTheme="majorBidi" w:hAnsiTheme="majorBidi" w:cstheme="majorBidi"/>
          <w:sz w:val="24"/>
          <w:szCs w:val="24"/>
        </w:rPr>
        <w:t xml:space="preserve">commended the PBC Chair’s leadership for </w:t>
      </w:r>
      <w:r w:rsidR="00EA6453">
        <w:rPr>
          <w:rFonts w:asciiTheme="majorBidi" w:hAnsiTheme="majorBidi" w:cstheme="majorBidi"/>
          <w:sz w:val="24"/>
          <w:szCs w:val="24"/>
        </w:rPr>
        <w:t>convening the</w:t>
      </w:r>
      <w:r>
        <w:rPr>
          <w:rFonts w:asciiTheme="majorBidi" w:hAnsiTheme="majorBidi" w:cstheme="majorBidi"/>
          <w:sz w:val="24"/>
          <w:szCs w:val="24"/>
        </w:rPr>
        <w:t xml:space="preserve"> meeting</w:t>
      </w:r>
      <w:r w:rsidR="000E6EC7">
        <w:rPr>
          <w:rFonts w:asciiTheme="majorBidi" w:hAnsiTheme="majorBidi" w:cstheme="majorBidi"/>
          <w:sz w:val="24"/>
          <w:szCs w:val="24"/>
        </w:rPr>
        <w:t>,</w:t>
      </w:r>
      <w:r w:rsidR="00EC6D48">
        <w:rPr>
          <w:rFonts w:asciiTheme="majorBidi" w:hAnsiTheme="majorBidi" w:cstheme="majorBidi"/>
          <w:sz w:val="24"/>
          <w:szCs w:val="24"/>
        </w:rPr>
        <w:t xml:space="preserve"> which they considered </w:t>
      </w:r>
      <w:r>
        <w:rPr>
          <w:rFonts w:asciiTheme="majorBidi" w:hAnsiTheme="majorBidi" w:cstheme="majorBidi"/>
          <w:sz w:val="24"/>
          <w:szCs w:val="24"/>
        </w:rPr>
        <w:t xml:space="preserve">as </w:t>
      </w:r>
      <w:r w:rsidR="00EC6D48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 xml:space="preserve">timely </w:t>
      </w:r>
      <w:r w:rsidR="00EC6D48">
        <w:rPr>
          <w:rFonts w:asciiTheme="majorBidi" w:hAnsiTheme="majorBidi" w:cstheme="majorBidi"/>
          <w:sz w:val="24"/>
          <w:szCs w:val="24"/>
        </w:rPr>
        <w:t>follow</w:t>
      </w:r>
      <w:r w:rsidR="00C925D4">
        <w:rPr>
          <w:rFonts w:asciiTheme="majorBidi" w:hAnsiTheme="majorBidi" w:cstheme="majorBidi"/>
          <w:sz w:val="24"/>
          <w:szCs w:val="24"/>
        </w:rPr>
        <w:t>-up</w:t>
      </w:r>
      <w:r w:rsidR="00EC6D48">
        <w:rPr>
          <w:rFonts w:asciiTheme="majorBidi" w:hAnsiTheme="majorBidi" w:cstheme="majorBidi"/>
          <w:sz w:val="24"/>
          <w:szCs w:val="24"/>
        </w:rPr>
        <w:t xml:space="preserve"> to the BAPA+40 outcome </w:t>
      </w:r>
      <w:r w:rsidR="008E51A3">
        <w:rPr>
          <w:rFonts w:asciiTheme="majorBidi" w:hAnsiTheme="majorBidi" w:cstheme="majorBidi"/>
          <w:sz w:val="24"/>
          <w:szCs w:val="24"/>
        </w:rPr>
        <w:t>document</w:t>
      </w:r>
      <w:r w:rsidR="00B655DB">
        <w:rPr>
          <w:rFonts w:asciiTheme="majorBidi" w:hAnsiTheme="majorBidi" w:cstheme="majorBidi"/>
          <w:sz w:val="24"/>
          <w:szCs w:val="24"/>
        </w:rPr>
        <w:t xml:space="preserve">, and complementary to </w:t>
      </w:r>
      <w:r w:rsidR="00C925D4">
        <w:rPr>
          <w:rFonts w:asciiTheme="majorBidi" w:hAnsiTheme="majorBidi" w:cstheme="majorBidi"/>
          <w:sz w:val="24"/>
          <w:szCs w:val="24"/>
        </w:rPr>
        <w:t xml:space="preserve">the </w:t>
      </w:r>
      <w:r w:rsidR="00B655DB">
        <w:rPr>
          <w:rFonts w:asciiTheme="majorBidi" w:hAnsiTheme="majorBidi" w:cstheme="majorBidi"/>
          <w:sz w:val="24"/>
          <w:szCs w:val="24"/>
        </w:rPr>
        <w:t>twin resolutions on sustaining peace</w:t>
      </w:r>
      <w:r w:rsidR="00EC6D48">
        <w:rPr>
          <w:rFonts w:asciiTheme="majorBidi" w:hAnsiTheme="majorBidi" w:cstheme="majorBidi"/>
          <w:sz w:val="24"/>
          <w:szCs w:val="24"/>
        </w:rPr>
        <w:t xml:space="preserve">. </w:t>
      </w:r>
    </w:p>
    <w:p w14:paraId="09BE3140" w14:textId="60E850EA" w:rsidR="006A5065" w:rsidRDefault="00B655DB" w:rsidP="006A506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7138D7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6453">
        <w:rPr>
          <w:rFonts w:asciiTheme="majorBidi" w:hAnsiTheme="majorBidi" w:cstheme="majorBidi"/>
          <w:sz w:val="24"/>
          <w:szCs w:val="24"/>
        </w:rPr>
        <w:t>expressed support</w:t>
      </w:r>
      <w:r w:rsidR="00EC6D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for </w:t>
      </w:r>
      <w:r w:rsidR="000E6EC7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use of the </w:t>
      </w:r>
      <w:r w:rsidR="00EC6D48">
        <w:rPr>
          <w:rFonts w:asciiTheme="majorBidi" w:hAnsiTheme="majorBidi" w:cstheme="majorBidi"/>
          <w:sz w:val="24"/>
          <w:szCs w:val="24"/>
        </w:rPr>
        <w:t xml:space="preserve">PBC </w:t>
      </w:r>
      <w:r w:rsidR="00C925D4">
        <w:rPr>
          <w:rFonts w:asciiTheme="majorBidi" w:hAnsiTheme="majorBidi" w:cstheme="majorBidi"/>
          <w:sz w:val="24"/>
          <w:szCs w:val="24"/>
        </w:rPr>
        <w:t xml:space="preserve">as a </w:t>
      </w:r>
      <w:r>
        <w:rPr>
          <w:rFonts w:asciiTheme="majorBidi" w:hAnsiTheme="majorBidi" w:cstheme="majorBidi"/>
          <w:sz w:val="24"/>
          <w:szCs w:val="24"/>
        </w:rPr>
        <w:t xml:space="preserve">platform to facilitate </w:t>
      </w:r>
      <w:r w:rsidR="00CF0943">
        <w:rPr>
          <w:rFonts w:asciiTheme="majorBidi" w:hAnsiTheme="majorBidi" w:cstheme="majorBidi"/>
          <w:sz w:val="24"/>
          <w:szCs w:val="24"/>
        </w:rPr>
        <w:t xml:space="preserve">the sharing of </w:t>
      </w:r>
      <w:r w:rsidR="00065B43">
        <w:rPr>
          <w:rFonts w:asciiTheme="majorBidi" w:hAnsiTheme="majorBidi" w:cstheme="majorBidi"/>
          <w:sz w:val="24"/>
          <w:szCs w:val="24"/>
        </w:rPr>
        <w:t>good practices</w:t>
      </w:r>
      <w:r w:rsidR="008E51A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and experience </w:t>
      </w:r>
      <w:r w:rsidR="00CF0943">
        <w:rPr>
          <w:rFonts w:asciiTheme="majorBidi" w:hAnsiTheme="majorBidi" w:cstheme="majorBidi"/>
          <w:sz w:val="24"/>
          <w:szCs w:val="24"/>
        </w:rPr>
        <w:t xml:space="preserve">on </w:t>
      </w:r>
      <w:r w:rsidR="00EC6D48">
        <w:rPr>
          <w:rFonts w:asciiTheme="majorBidi" w:hAnsiTheme="majorBidi" w:cstheme="majorBidi"/>
          <w:sz w:val="24"/>
          <w:szCs w:val="24"/>
        </w:rPr>
        <w:t>SSC/TC for peacebuilding and sustaining peace</w:t>
      </w:r>
      <w:r w:rsidR="00CF0943">
        <w:rPr>
          <w:rFonts w:asciiTheme="majorBidi" w:hAnsiTheme="majorBidi" w:cstheme="majorBidi"/>
          <w:sz w:val="24"/>
          <w:szCs w:val="24"/>
        </w:rPr>
        <w:t xml:space="preserve">, </w:t>
      </w:r>
      <w:r w:rsidR="00EC6D48">
        <w:rPr>
          <w:rFonts w:asciiTheme="majorBidi" w:hAnsiTheme="majorBidi" w:cstheme="majorBidi"/>
          <w:sz w:val="24"/>
          <w:szCs w:val="24"/>
        </w:rPr>
        <w:t xml:space="preserve">and </w:t>
      </w:r>
      <w:r w:rsidR="00CF0943">
        <w:rPr>
          <w:rFonts w:asciiTheme="majorBidi" w:hAnsiTheme="majorBidi" w:cstheme="majorBidi"/>
          <w:sz w:val="24"/>
          <w:szCs w:val="24"/>
        </w:rPr>
        <w:t xml:space="preserve">further </w:t>
      </w:r>
      <w:r w:rsidR="00EC6D48">
        <w:rPr>
          <w:rFonts w:asciiTheme="majorBidi" w:hAnsiTheme="majorBidi" w:cstheme="majorBidi"/>
          <w:sz w:val="24"/>
          <w:szCs w:val="24"/>
        </w:rPr>
        <w:t xml:space="preserve">encouraged greater </w:t>
      </w:r>
      <w:r w:rsidR="009B5987">
        <w:rPr>
          <w:rFonts w:asciiTheme="majorBidi" w:hAnsiTheme="majorBidi" w:cstheme="majorBidi"/>
          <w:sz w:val="24"/>
          <w:szCs w:val="24"/>
        </w:rPr>
        <w:t>collaboration between the PBC and the UNOSCC.</w:t>
      </w:r>
    </w:p>
    <w:p w14:paraId="3200F525" w14:textId="2813286D" w:rsidR="005423B8" w:rsidRDefault="000E6EC7" w:rsidP="006A506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 number of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Members States took advantage of the meeting to </w:t>
      </w:r>
      <w:r w:rsidR="005423B8" w:rsidRPr="005423B8">
        <w:rPr>
          <w:rFonts w:asciiTheme="majorBidi" w:hAnsiTheme="majorBidi" w:cstheme="majorBidi"/>
          <w:sz w:val="24"/>
          <w:szCs w:val="24"/>
        </w:rPr>
        <w:t xml:space="preserve">share their own </w:t>
      </w:r>
      <w:r w:rsidR="00371253">
        <w:rPr>
          <w:rFonts w:asciiTheme="majorBidi" w:hAnsiTheme="majorBidi" w:cstheme="majorBidi"/>
          <w:sz w:val="24"/>
          <w:szCs w:val="24"/>
        </w:rPr>
        <w:t xml:space="preserve">relevant </w:t>
      </w:r>
      <w:r w:rsidR="00065B43">
        <w:rPr>
          <w:rFonts w:asciiTheme="majorBidi" w:hAnsiTheme="majorBidi" w:cstheme="majorBidi"/>
          <w:sz w:val="24"/>
          <w:szCs w:val="24"/>
        </w:rPr>
        <w:t>good practices</w:t>
      </w:r>
      <w:r w:rsidR="008E51A3">
        <w:rPr>
          <w:rFonts w:asciiTheme="majorBidi" w:hAnsiTheme="majorBidi" w:cstheme="majorBidi"/>
          <w:sz w:val="24"/>
          <w:szCs w:val="24"/>
        </w:rPr>
        <w:t xml:space="preserve"> </w:t>
      </w:r>
      <w:r w:rsidR="005423B8" w:rsidRPr="005423B8">
        <w:rPr>
          <w:rFonts w:asciiTheme="majorBidi" w:hAnsiTheme="majorBidi" w:cstheme="majorBidi"/>
          <w:sz w:val="24"/>
          <w:szCs w:val="24"/>
        </w:rPr>
        <w:t>and examples</w:t>
      </w:r>
      <w:r w:rsidR="00371253">
        <w:rPr>
          <w:rFonts w:asciiTheme="majorBidi" w:hAnsiTheme="majorBidi" w:cstheme="majorBidi"/>
          <w:sz w:val="24"/>
          <w:szCs w:val="24"/>
        </w:rPr>
        <w:t xml:space="preserve"> </w:t>
      </w:r>
      <w:r w:rsidR="005423B8" w:rsidRPr="005423B8">
        <w:rPr>
          <w:rFonts w:asciiTheme="majorBidi" w:hAnsiTheme="majorBidi" w:cstheme="majorBidi"/>
          <w:sz w:val="24"/>
          <w:szCs w:val="24"/>
        </w:rPr>
        <w:t>on South-South</w:t>
      </w:r>
      <w:r w:rsidR="008E51A3">
        <w:rPr>
          <w:rFonts w:asciiTheme="majorBidi" w:hAnsiTheme="majorBidi" w:cstheme="majorBidi"/>
          <w:sz w:val="24"/>
          <w:szCs w:val="24"/>
        </w:rPr>
        <w:t xml:space="preserve"> and triangular</w:t>
      </w:r>
      <w:r w:rsidR="005423B8" w:rsidRPr="005423B8">
        <w:rPr>
          <w:rFonts w:asciiTheme="majorBidi" w:hAnsiTheme="majorBidi" w:cstheme="majorBidi"/>
          <w:sz w:val="24"/>
          <w:szCs w:val="24"/>
        </w:rPr>
        <w:t xml:space="preserve"> </w:t>
      </w:r>
      <w:r w:rsidR="008E51A3">
        <w:rPr>
          <w:rFonts w:asciiTheme="majorBidi" w:hAnsiTheme="majorBidi" w:cstheme="majorBidi"/>
          <w:sz w:val="24"/>
          <w:szCs w:val="24"/>
        </w:rPr>
        <w:t>c</w:t>
      </w:r>
      <w:r w:rsidR="005423B8" w:rsidRPr="005423B8">
        <w:rPr>
          <w:rFonts w:asciiTheme="majorBidi" w:hAnsiTheme="majorBidi" w:cstheme="majorBidi"/>
          <w:sz w:val="24"/>
          <w:szCs w:val="24"/>
        </w:rPr>
        <w:t>ooperation in support of peacebuilding and sustaining peace efforts</w:t>
      </w:r>
      <w:r w:rsidR="00371253">
        <w:rPr>
          <w:rFonts w:asciiTheme="majorBidi" w:hAnsiTheme="majorBidi" w:cstheme="majorBidi"/>
          <w:sz w:val="24"/>
          <w:szCs w:val="24"/>
        </w:rPr>
        <w:t xml:space="preserve">. </w:t>
      </w:r>
    </w:p>
    <w:p w14:paraId="2ECA3104" w14:textId="3F762DC9" w:rsidR="00885C49" w:rsidRDefault="00006AF8" w:rsidP="006A506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</w:t>
      </w:r>
      <w:r w:rsidR="00371253">
        <w:rPr>
          <w:rFonts w:asciiTheme="majorBidi" w:hAnsiTheme="majorBidi" w:cstheme="majorBidi"/>
          <w:sz w:val="24"/>
          <w:szCs w:val="24"/>
        </w:rPr>
        <w:t>acknowledged the g</w:t>
      </w:r>
      <w:r w:rsidR="00885C49" w:rsidRPr="00885C49">
        <w:rPr>
          <w:rFonts w:asciiTheme="majorBidi" w:hAnsiTheme="majorBidi" w:cstheme="majorBidi"/>
          <w:sz w:val="24"/>
          <w:szCs w:val="24"/>
        </w:rPr>
        <w:t xml:space="preserve">rowing importance of </w:t>
      </w:r>
      <w:r w:rsidR="0059112B">
        <w:rPr>
          <w:rFonts w:asciiTheme="majorBidi" w:hAnsiTheme="majorBidi" w:cstheme="majorBidi"/>
          <w:sz w:val="24"/>
          <w:szCs w:val="24"/>
        </w:rPr>
        <w:t>SSC</w:t>
      </w:r>
      <w:r w:rsidR="009E562A">
        <w:rPr>
          <w:rFonts w:asciiTheme="majorBidi" w:hAnsiTheme="majorBidi" w:cstheme="majorBidi"/>
          <w:sz w:val="24"/>
          <w:szCs w:val="24"/>
        </w:rPr>
        <w:t>/TC</w:t>
      </w:r>
      <w:r w:rsidR="00B655DB">
        <w:rPr>
          <w:rFonts w:asciiTheme="majorBidi" w:hAnsiTheme="majorBidi" w:cstheme="majorBidi"/>
          <w:sz w:val="24"/>
          <w:szCs w:val="24"/>
        </w:rPr>
        <w:t xml:space="preserve"> in</w:t>
      </w:r>
      <w:r w:rsidR="00885C49" w:rsidRPr="00885C49">
        <w:rPr>
          <w:rFonts w:asciiTheme="majorBidi" w:hAnsiTheme="majorBidi" w:cstheme="majorBidi"/>
          <w:sz w:val="24"/>
          <w:szCs w:val="24"/>
        </w:rPr>
        <w:t xml:space="preserve"> international development cooperation</w:t>
      </w:r>
      <w:r w:rsidR="00B655DB">
        <w:rPr>
          <w:rFonts w:asciiTheme="majorBidi" w:hAnsiTheme="majorBidi" w:cstheme="majorBidi"/>
          <w:sz w:val="24"/>
          <w:szCs w:val="24"/>
        </w:rPr>
        <w:t xml:space="preserve"> in support of the achievement of </w:t>
      </w:r>
      <w:r w:rsidR="000E6EC7">
        <w:rPr>
          <w:rFonts w:asciiTheme="majorBidi" w:hAnsiTheme="majorBidi" w:cstheme="majorBidi"/>
          <w:sz w:val="24"/>
          <w:szCs w:val="24"/>
        </w:rPr>
        <w:t xml:space="preserve">the </w:t>
      </w:r>
      <w:r w:rsidR="008E51A3">
        <w:rPr>
          <w:rFonts w:asciiTheme="majorBidi" w:hAnsiTheme="majorBidi" w:cstheme="majorBidi"/>
          <w:sz w:val="24"/>
          <w:szCs w:val="24"/>
        </w:rPr>
        <w:t>S</w:t>
      </w:r>
      <w:r w:rsidR="00B655DB">
        <w:rPr>
          <w:rFonts w:asciiTheme="majorBidi" w:hAnsiTheme="majorBidi" w:cstheme="majorBidi"/>
          <w:sz w:val="24"/>
          <w:szCs w:val="24"/>
        </w:rPr>
        <w:t xml:space="preserve">ustainable </w:t>
      </w:r>
      <w:r w:rsidR="008E51A3">
        <w:rPr>
          <w:rFonts w:asciiTheme="majorBidi" w:hAnsiTheme="majorBidi" w:cstheme="majorBidi"/>
          <w:sz w:val="24"/>
          <w:szCs w:val="24"/>
        </w:rPr>
        <w:t>D</w:t>
      </w:r>
      <w:r w:rsidR="00B655DB">
        <w:rPr>
          <w:rFonts w:asciiTheme="majorBidi" w:hAnsiTheme="majorBidi" w:cstheme="majorBidi"/>
          <w:sz w:val="24"/>
          <w:szCs w:val="24"/>
        </w:rPr>
        <w:t xml:space="preserve">evelopment </w:t>
      </w:r>
      <w:r w:rsidR="008E51A3">
        <w:rPr>
          <w:rFonts w:asciiTheme="majorBidi" w:hAnsiTheme="majorBidi" w:cstheme="majorBidi"/>
          <w:sz w:val="24"/>
          <w:szCs w:val="24"/>
        </w:rPr>
        <w:t>G</w:t>
      </w:r>
      <w:r w:rsidR="00B655DB">
        <w:rPr>
          <w:rFonts w:asciiTheme="majorBidi" w:hAnsiTheme="majorBidi" w:cstheme="majorBidi"/>
          <w:sz w:val="24"/>
          <w:szCs w:val="24"/>
        </w:rPr>
        <w:t xml:space="preserve">oals and </w:t>
      </w:r>
      <w:r w:rsidR="0042680D">
        <w:rPr>
          <w:rFonts w:asciiTheme="majorBidi" w:hAnsiTheme="majorBidi" w:cstheme="majorBidi"/>
          <w:sz w:val="24"/>
          <w:szCs w:val="24"/>
        </w:rPr>
        <w:t xml:space="preserve">commended </w:t>
      </w:r>
      <w:r w:rsidR="0042680D" w:rsidRPr="0042680D">
        <w:rPr>
          <w:rFonts w:asciiTheme="majorBidi" w:hAnsiTheme="majorBidi" w:cstheme="majorBidi"/>
          <w:sz w:val="24"/>
          <w:szCs w:val="24"/>
        </w:rPr>
        <w:t xml:space="preserve">concrete steps taken by the </w:t>
      </w:r>
      <w:r w:rsidR="0059112B">
        <w:rPr>
          <w:rFonts w:asciiTheme="majorBidi" w:hAnsiTheme="majorBidi" w:cstheme="majorBidi"/>
          <w:sz w:val="24"/>
          <w:szCs w:val="24"/>
        </w:rPr>
        <w:t>UN</w:t>
      </w:r>
      <w:r w:rsidR="0042680D" w:rsidRPr="0042680D">
        <w:rPr>
          <w:rFonts w:asciiTheme="majorBidi" w:hAnsiTheme="majorBidi" w:cstheme="majorBidi"/>
          <w:sz w:val="24"/>
          <w:szCs w:val="24"/>
        </w:rPr>
        <w:t xml:space="preserve"> development system </w:t>
      </w:r>
      <w:r w:rsidR="0059112B">
        <w:rPr>
          <w:rFonts w:asciiTheme="majorBidi" w:hAnsiTheme="majorBidi" w:cstheme="majorBidi"/>
          <w:sz w:val="24"/>
          <w:szCs w:val="24"/>
        </w:rPr>
        <w:t xml:space="preserve">and other entities </w:t>
      </w:r>
      <w:r w:rsidR="0042680D" w:rsidRPr="0042680D">
        <w:rPr>
          <w:rFonts w:asciiTheme="majorBidi" w:hAnsiTheme="majorBidi" w:cstheme="majorBidi"/>
          <w:sz w:val="24"/>
          <w:szCs w:val="24"/>
        </w:rPr>
        <w:t xml:space="preserve">to enhance support </w:t>
      </w:r>
      <w:r w:rsidR="00B655DB">
        <w:rPr>
          <w:rFonts w:asciiTheme="majorBidi" w:hAnsiTheme="majorBidi" w:cstheme="majorBidi"/>
          <w:sz w:val="24"/>
          <w:szCs w:val="24"/>
        </w:rPr>
        <w:t>for</w:t>
      </w:r>
      <w:r w:rsidR="00371253">
        <w:rPr>
          <w:rFonts w:asciiTheme="majorBidi" w:hAnsiTheme="majorBidi" w:cstheme="majorBidi"/>
          <w:sz w:val="24"/>
          <w:szCs w:val="24"/>
        </w:rPr>
        <w:t xml:space="preserve"> </w:t>
      </w:r>
      <w:r w:rsidR="00EA6453">
        <w:rPr>
          <w:rFonts w:asciiTheme="majorBidi" w:hAnsiTheme="majorBidi" w:cstheme="majorBidi"/>
          <w:sz w:val="24"/>
          <w:szCs w:val="24"/>
        </w:rPr>
        <w:t>this</w:t>
      </w:r>
      <w:r w:rsidR="00371253">
        <w:rPr>
          <w:rFonts w:asciiTheme="majorBidi" w:hAnsiTheme="majorBidi" w:cstheme="majorBidi"/>
          <w:sz w:val="24"/>
          <w:szCs w:val="24"/>
        </w:rPr>
        <w:t xml:space="preserve"> modality. </w:t>
      </w:r>
      <w:r w:rsidR="0042680D" w:rsidRPr="0042680D">
        <w:rPr>
          <w:rFonts w:asciiTheme="majorBidi" w:hAnsiTheme="majorBidi" w:cstheme="majorBidi"/>
          <w:sz w:val="24"/>
          <w:szCs w:val="24"/>
        </w:rPr>
        <w:t xml:space="preserve">  </w:t>
      </w:r>
    </w:p>
    <w:p w14:paraId="398DA201" w14:textId="0117D109" w:rsidR="00FA4DB0" w:rsidRPr="00FA4DB0" w:rsidRDefault="00006AF8" w:rsidP="006A506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Some </w:t>
      </w:r>
      <w:r w:rsidR="00371253">
        <w:rPr>
          <w:rFonts w:asciiTheme="majorBidi" w:eastAsia="SimSun" w:hAnsiTheme="majorBidi" w:cstheme="majorBidi"/>
          <w:sz w:val="24"/>
          <w:szCs w:val="24"/>
          <w:lang w:val="en-US" w:eastAsia="zh-CN"/>
        </w:rPr>
        <w:t>Member States e</w:t>
      </w:r>
      <w:r w:rsidR="009B5987" w:rsidRPr="00FA4DB0">
        <w:rPr>
          <w:rFonts w:asciiTheme="majorBidi" w:eastAsia="SimSun" w:hAnsiTheme="majorBidi" w:cstheme="majorBidi"/>
          <w:sz w:val="24"/>
          <w:szCs w:val="24"/>
          <w:lang w:val="en-US" w:eastAsia="zh-CN"/>
        </w:rPr>
        <w:t>mphasized that SSC</w:t>
      </w:r>
      <w:r w:rsidR="00371253">
        <w:rPr>
          <w:rFonts w:asciiTheme="majorBidi" w:eastAsia="SimSun" w:hAnsiTheme="majorBidi" w:cstheme="majorBidi"/>
          <w:sz w:val="24"/>
          <w:szCs w:val="24"/>
          <w:lang w:val="en-US" w:eastAsia="zh-CN"/>
        </w:rPr>
        <w:t>/TC</w:t>
      </w:r>
      <w:r w:rsidR="009B5987" w:rsidRPr="00FA4DB0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must be a complement to, and not a substitute for</w:t>
      </w:r>
      <w:r w:rsidR="00C925D4">
        <w:rPr>
          <w:rFonts w:asciiTheme="majorBidi" w:eastAsia="SimSun" w:hAnsiTheme="majorBidi" w:cstheme="majorBidi"/>
          <w:sz w:val="24"/>
          <w:szCs w:val="24"/>
          <w:lang w:val="en-US" w:eastAsia="zh-CN"/>
        </w:rPr>
        <w:t>,</w:t>
      </w:r>
      <w:r w:rsidR="009B5987" w:rsidRPr="00FA4DB0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traditional North-South </w:t>
      </w:r>
      <w:r w:rsidR="008E51A3">
        <w:rPr>
          <w:rFonts w:asciiTheme="majorBidi" w:eastAsia="SimSun" w:hAnsiTheme="majorBidi" w:cstheme="majorBidi"/>
          <w:sz w:val="24"/>
          <w:szCs w:val="24"/>
          <w:lang w:val="en-US" w:eastAsia="zh-CN"/>
        </w:rPr>
        <w:t>c</w:t>
      </w:r>
      <w:r w:rsidR="009B5987" w:rsidRPr="00FA4DB0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ooperation. </w:t>
      </w:r>
    </w:p>
    <w:p w14:paraId="7E86FFE2" w14:textId="206BF7FF" w:rsidR="006A5065" w:rsidRPr="00FC0066" w:rsidRDefault="00FC0066" w:rsidP="00FC006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Member States </w:t>
      </w:r>
      <w:r w:rsidR="003C18CC">
        <w:rPr>
          <w:rFonts w:asciiTheme="majorBidi" w:eastAsia="SimSun" w:hAnsiTheme="majorBidi" w:cstheme="majorBidi"/>
          <w:sz w:val="24"/>
          <w:szCs w:val="24"/>
          <w:lang w:val="en-US" w:eastAsia="zh-CN"/>
        </w:rPr>
        <w:t>no</w:t>
      </w:r>
      <w:r w:rsidR="00885C1C">
        <w:rPr>
          <w:rFonts w:asciiTheme="majorBidi" w:eastAsia="SimSun" w:hAnsiTheme="majorBidi" w:cstheme="majorBidi"/>
          <w:sz w:val="24"/>
          <w:szCs w:val="24"/>
          <w:lang w:val="en-US" w:eastAsia="zh-CN"/>
        </w:rPr>
        <w:t>ted that the SSC</w:t>
      </w:r>
      <w:r w:rsidR="00AA16D0">
        <w:rPr>
          <w:rFonts w:asciiTheme="majorBidi" w:eastAsia="SimSun" w:hAnsiTheme="majorBidi" w:cstheme="majorBidi"/>
          <w:sz w:val="24"/>
          <w:szCs w:val="24"/>
          <w:lang w:val="en-US" w:eastAsia="zh-CN"/>
        </w:rPr>
        <w:t>/TC</w:t>
      </w:r>
      <w:r w:rsidR="00885C1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initiative </w:t>
      </w:r>
      <w:r w:rsidR="00885C1C">
        <w:rPr>
          <w:rFonts w:asciiTheme="majorBidi" w:eastAsia="SimSun" w:hAnsiTheme="majorBidi" w:cstheme="majorBidi"/>
          <w:sz w:val="24"/>
          <w:szCs w:val="24"/>
          <w:lang w:val="en-US" w:eastAsia="zh-CN"/>
        </w:rPr>
        <w:t>mus</w:t>
      </w:r>
      <w:r w:rsidR="00885C1C" w:rsidRPr="00885C1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t be driven by countries </w:t>
      </w:r>
      <w:r w:rsidR="00AA16D0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of the </w:t>
      </w:r>
      <w:r w:rsidR="008E51A3">
        <w:rPr>
          <w:rFonts w:asciiTheme="majorBidi" w:eastAsia="SimSun" w:hAnsiTheme="majorBidi" w:cstheme="majorBidi"/>
          <w:sz w:val="24"/>
          <w:szCs w:val="24"/>
          <w:lang w:val="en-US" w:eastAsia="zh-CN"/>
        </w:rPr>
        <w:t>S</w:t>
      </w:r>
      <w:r w:rsidR="00AA16D0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outh in line with SSC principles and </w:t>
      </w:r>
      <w:r w:rsidR="006E174A">
        <w:rPr>
          <w:rFonts w:asciiTheme="majorBidi" w:eastAsia="SimSun" w:hAnsiTheme="majorBidi" w:cstheme="majorBidi"/>
          <w:sz w:val="24"/>
          <w:szCs w:val="24"/>
          <w:lang w:val="en-US" w:eastAsia="zh-CN"/>
        </w:rPr>
        <w:t>harmonize</w:t>
      </w:r>
      <w:r w:rsidR="00AA16D0">
        <w:rPr>
          <w:rFonts w:asciiTheme="majorBidi" w:eastAsia="SimSun" w:hAnsiTheme="majorBidi" w:cstheme="majorBidi"/>
          <w:sz w:val="24"/>
          <w:szCs w:val="24"/>
          <w:lang w:val="en-US" w:eastAsia="zh-CN"/>
        </w:rPr>
        <w:t>d</w:t>
      </w:r>
      <w:r w:rsidR="006E174A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with national development plans under the </w:t>
      </w:r>
      <w:r w:rsidR="006E174A">
        <w:rPr>
          <w:rFonts w:asciiTheme="majorBidi" w:eastAsia="SimSun" w:hAnsiTheme="majorBidi" w:cstheme="majorBidi"/>
          <w:sz w:val="24"/>
          <w:szCs w:val="24"/>
          <w:lang w:val="en-US" w:eastAsia="zh-CN"/>
        </w:rPr>
        <w:lastRenderedPageBreak/>
        <w:t xml:space="preserve">principle of national ownership. 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Some </w:t>
      </w:r>
      <w:r w:rsidR="008E51A3">
        <w:rPr>
          <w:rFonts w:asciiTheme="majorBidi" w:eastAsia="SimSun" w:hAnsiTheme="majorBidi" w:cstheme="majorBidi"/>
          <w:sz w:val="24"/>
          <w:szCs w:val="24"/>
          <w:lang w:val="en-US" w:eastAsia="zh-CN"/>
        </w:rPr>
        <w:t>M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ember States called for greater </w:t>
      </w:r>
      <w:r w:rsidR="000E6EC7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SSC/TC 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attention to </w:t>
      </w:r>
      <w:r w:rsidR="00BB0EC4">
        <w:rPr>
          <w:rFonts w:asciiTheme="majorBidi" w:eastAsia="SimSun" w:hAnsiTheme="majorBidi" w:cstheme="majorBidi"/>
          <w:sz w:val="24"/>
          <w:szCs w:val="24"/>
          <w:lang w:val="en-US" w:eastAsia="zh-CN"/>
        </w:rPr>
        <w:t>Least Developed Countries</w:t>
      </w:r>
      <w:r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0E6EC7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and </w:t>
      </w:r>
      <w:r w:rsidR="009A3297">
        <w:rPr>
          <w:rFonts w:asciiTheme="majorBidi" w:eastAsia="SimSun" w:hAnsiTheme="majorBidi" w:cstheme="majorBidi"/>
          <w:sz w:val="24"/>
          <w:szCs w:val="24"/>
          <w:lang w:val="en-US" w:eastAsia="zh-CN"/>
        </w:rPr>
        <w:t>S</w:t>
      </w:r>
      <w:r w:rsidR="00F80D5B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mall </w:t>
      </w:r>
      <w:r w:rsidR="009A3297">
        <w:rPr>
          <w:rFonts w:asciiTheme="majorBidi" w:eastAsia="SimSun" w:hAnsiTheme="majorBidi" w:cstheme="majorBidi"/>
          <w:sz w:val="24"/>
          <w:szCs w:val="24"/>
          <w:lang w:val="en-US" w:eastAsia="zh-CN"/>
        </w:rPr>
        <w:t>I</w:t>
      </w:r>
      <w:r w:rsidR="00F80D5B">
        <w:rPr>
          <w:rFonts w:asciiTheme="majorBidi" w:eastAsia="SimSun" w:hAnsiTheme="majorBidi" w:cstheme="majorBidi"/>
          <w:sz w:val="24"/>
          <w:szCs w:val="24"/>
          <w:lang w:val="en-US" w:eastAsia="zh-CN"/>
        </w:rPr>
        <w:t>sland</w:t>
      </w:r>
      <w:r w:rsidR="008E51A3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Developing</w:t>
      </w:r>
      <w:r w:rsidR="003C18CC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</w:t>
      </w:r>
      <w:r w:rsidR="009A3297">
        <w:rPr>
          <w:rFonts w:asciiTheme="majorBidi" w:eastAsia="SimSun" w:hAnsiTheme="majorBidi" w:cstheme="majorBidi"/>
          <w:sz w:val="24"/>
          <w:szCs w:val="24"/>
          <w:lang w:val="en-US" w:eastAsia="zh-CN"/>
        </w:rPr>
        <w:t>S</w:t>
      </w:r>
      <w:r w:rsidR="003C18CC">
        <w:rPr>
          <w:rFonts w:asciiTheme="majorBidi" w:eastAsia="SimSun" w:hAnsiTheme="majorBidi" w:cstheme="majorBidi"/>
          <w:sz w:val="24"/>
          <w:szCs w:val="24"/>
          <w:lang w:val="en-US" w:eastAsia="zh-CN"/>
        </w:rPr>
        <w:t>tates.</w:t>
      </w:r>
    </w:p>
    <w:p w14:paraId="15961C7F" w14:textId="21E8F062" w:rsidR="001429A5" w:rsidRDefault="00065B43" w:rsidP="006A506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number of Member States </w:t>
      </w:r>
      <w:r w:rsidR="00F73EDB">
        <w:rPr>
          <w:rFonts w:asciiTheme="majorBidi" w:hAnsiTheme="majorBidi" w:cstheme="majorBidi"/>
          <w:sz w:val="24"/>
          <w:szCs w:val="24"/>
        </w:rPr>
        <w:t xml:space="preserve">noted the </w:t>
      </w:r>
      <w:proofErr w:type="gramStart"/>
      <w:r w:rsidR="00BA2F82">
        <w:rPr>
          <w:rFonts w:asciiTheme="majorBidi" w:hAnsiTheme="majorBidi" w:cstheme="majorBidi"/>
          <w:sz w:val="24"/>
          <w:szCs w:val="24"/>
        </w:rPr>
        <w:t xml:space="preserve">importance  </w:t>
      </w:r>
      <w:r w:rsidR="00F73EDB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="00F73EDB">
        <w:rPr>
          <w:rFonts w:asciiTheme="majorBidi" w:hAnsiTheme="majorBidi" w:cstheme="majorBidi"/>
          <w:sz w:val="24"/>
          <w:szCs w:val="24"/>
        </w:rPr>
        <w:t xml:space="preserve"> SSC/TC</w:t>
      </w:r>
      <w:r w:rsidR="00BA2F82">
        <w:rPr>
          <w:rFonts w:asciiTheme="majorBidi" w:hAnsiTheme="majorBidi" w:cstheme="majorBidi"/>
          <w:sz w:val="24"/>
          <w:szCs w:val="24"/>
        </w:rPr>
        <w:t xml:space="preserve"> in enhancing coherence across peace and development </w:t>
      </w:r>
      <w:r w:rsidR="000E6EC7">
        <w:rPr>
          <w:rFonts w:asciiTheme="majorBidi" w:hAnsiTheme="majorBidi" w:cstheme="majorBidi"/>
          <w:sz w:val="24"/>
          <w:szCs w:val="24"/>
        </w:rPr>
        <w:t xml:space="preserve">continuums </w:t>
      </w:r>
      <w:r w:rsidR="00BA2F82">
        <w:rPr>
          <w:rFonts w:asciiTheme="majorBidi" w:hAnsiTheme="majorBidi" w:cstheme="majorBidi"/>
          <w:sz w:val="24"/>
          <w:szCs w:val="24"/>
        </w:rPr>
        <w:t>in support of national priorities</w:t>
      </w:r>
      <w:r w:rsidR="00F73ED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DD02FFE" w14:textId="2F6CE50F" w:rsidR="001429A5" w:rsidRDefault="00006AF8" w:rsidP="006A506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also noted that </w:t>
      </w:r>
      <w:r w:rsidR="001429A5">
        <w:rPr>
          <w:rFonts w:asciiTheme="majorBidi" w:hAnsiTheme="majorBidi" w:cstheme="majorBidi"/>
          <w:sz w:val="24"/>
          <w:szCs w:val="24"/>
        </w:rPr>
        <w:t xml:space="preserve">SSC/TC can take </w:t>
      </w:r>
      <w:r w:rsidR="00EA6453">
        <w:rPr>
          <w:rFonts w:asciiTheme="majorBidi" w:hAnsiTheme="majorBidi" w:cstheme="majorBidi"/>
          <w:sz w:val="24"/>
          <w:szCs w:val="24"/>
        </w:rPr>
        <w:t>many</w:t>
      </w:r>
      <w:r w:rsidR="001429A5">
        <w:rPr>
          <w:rFonts w:asciiTheme="majorBidi" w:hAnsiTheme="majorBidi" w:cstheme="majorBidi"/>
          <w:sz w:val="24"/>
          <w:szCs w:val="24"/>
        </w:rPr>
        <w:t xml:space="preserve"> forms</w:t>
      </w:r>
      <w:r w:rsidR="000E6EC7">
        <w:rPr>
          <w:rFonts w:asciiTheme="majorBidi" w:hAnsiTheme="majorBidi" w:cstheme="majorBidi"/>
          <w:sz w:val="24"/>
          <w:szCs w:val="24"/>
        </w:rPr>
        <w:t>,</w:t>
      </w:r>
      <w:r w:rsidR="001429A5">
        <w:rPr>
          <w:rFonts w:asciiTheme="majorBidi" w:hAnsiTheme="majorBidi" w:cstheme="majorBidi"/>
          <w:sz w:val="24"/>
          <w:szCs w:val="24"/>
        </w:rPr>
        <w:t xml:space="preserve"> including </w:t>
      </w:r>
      <w:r w:rsidR="000E6EC7">
        <w:rPr>
          <w:rFonts w:asciiTheme="majorBidi" w:hAnsiTheme="majorBidi" w:cstheme="majorBidi"/>
          <w:sz w:val="24"/>
          <w:szCs w:val="24"/>
        </w:rPr>
        <w:t xml:space="preserve">facilitation and support to </w:t>
      </w:r>
      <w:r w:rsidR="001429A5">
        <w:rPr>
          <w:rFonts w:asciiTheme="majorBidi" w:hAnsiTheme="majorBidi" w:cstheme="majorBidi"/>
          <w:sz w:val="24"/>
          <w:szCs w:val="24"/>
        </w:rPr>
        <w:t xml:space="preserve">peace and reconciliation </w:t>
      </w:r>
      <w:r w:rsidR="000E6EC7">
        <w:rPr>
          <w:rFonts w:asciiTheme="majorBidi" w:hAnsiTheme="majorBidi" w:cstheme="majorBidi"/>
          <w:sz w:val="24"/>
          <w:szCs w:val="24"/>
        </w:rPr>
        <w:t xml:space="preserve">processes </w:t>
      </w:r>
      <w:r w:rsidR="001429A5">
        <w:rPr>
          <w:rFonts w:asciiTheme="majorBidi" w:hAnsiTheme="majorBidi" w:cstheme="majorBidi"/>
          <w:sz w:val="24"/>
          <w:szCs w:val="24"/>
        </w:rPr>
        <w:t xml:space="preserve">by countries of the </w:t>
      </w:r>
      <w:r w:rsidR="000E6EC7">
        <w:rPr>
          <w:rFonts w:asciiTheme="majorBidi" w:hAnsiTheme="majorBidi" w:cstheme="majorBidi"/>
          <w:sz w:val="24"/>
          <w:szCs w:val="24"/>
        </w:rPr>
        <w:t>N</w:t>
      </w:r>
      <w:r w:rsidR="001429A5">
        <w:rPr>
          <w:rFonts w:asciiTheme="majorBidi" w:hAnsiTheme="majorBidi" w:cstheme="majorBidi"/>
          <w:sz w:val="24"/>
          <w:szCs w:val="24"/>
        </w:rPr>
        <w:t xml:space="preserve">orth based on the </w:t>
      </w:r>
      <w:r w:rsidR="00FC0066">
        <w:rPr>
          <w:rFonts w:asciiTheme="majorBidi" w:hAnsiTheme="majorBidi" w:cstheme="majorBidi"/>
          <w:sz w:val="24"/>
          <w:szCs w:val="24"/>
        </w:rPr>
        <w:t>SSC</w:t>
      </w:r>
      <w:r w:rsidR="001429A5">
        <w:rPr>
          <w:rFonts w:asciiTheme="majorBidi" w:hAnsiTheme="majorBidi" w:cstheme="majorBidi"/>
          <w:sz w:val="24"/>
          <w:szCs w:val="24"/>
        </w:rPr>
        <w:t xml:space="preserve"> principles of national ownership, non-interference and </w:t>
      </w:r>
      <w:r w:rsidR="00EA6453">
        <w:rPr>
          <w:rFonts w:asciiTheme="majorBidi" w:hAnsiTheme="majorBidi" w:cstheme="majorBidi"/>
          <w:sz w:val="24"/>
          <w:szCs w:val="24"/>
        </w:rPr>
        <w:t>sovereignty</w:t>
      </w:r>
      <w:r w:rsidR="001429A5">
        <w:rPr>
          <w:rFonts w:asciiTheme="majorBidi" w:hAnsiTheme="majorBidi" w:cstheme="majorBidi"/>
          <w:sz w:val="24"/>
          <w:szCs w:val="24"/>
        </w:rPr>
        <w:t xml:space="preserve">. </w:t>
      </w:r>
    </w:p>
    <w:p w14:paraId="1C13788A" w14:textId="7F9C2F9D" w:rsidR="006A5065" w:rsidRDefault="00FC0066" w:rsidP="00FC00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Chair </w:t>
      </w:r>
      <w:r w:rsidR="00BA2F82">
        <w:rPr>
          <w:rFonts w:asciiTheme="majorBidi" w:hAnsiTheme="majorBidi" w:cstheme="majorBidi"/>
          <w:sz w:val="24"/>
          <w:szCs w:val="24"/>
        </w:rPr>
        <w:t xml:space="preserve">adjourned </w:t>
      </w:r>
      <w:r>
        <w:rPr>
          <w:rFonts w:asciiTheme="majorBidi" w:hAnsiTheme="majorBidi" w:cstheme="majorBidi"/>
          <w:sz w:val="24"/>
          <w:szCs w:val="24"/>
        </w:rPr>
        <w:t xml:space="preserve">the PBC meeting. </w:t>
      </w:r>
    </w:p>
    <w:p w14:paraId="7E9229BF" w14:textId="77777777" w:rsidR="00FC0066" w:rsidRPr="00EB27EB" w:rsidRDefault="00FC0066" w:rsidP="00FC006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2040E4A" w14:textId="77777777" w:rsidR="00406FD6" w:rsidRDefault="00406FD6"/>
    <w:sectPr w:rsidR="00406FD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02E0" w14:textId="77777777" w:rsidR="008213BC" w:rsidRDefault="008213BC" w:rsidP="006A5065">
      <w:pPr>
        <w:spacing w:after="0" w:line="240" w:lineRule="auto"/>
      </w:pPr>
      <w:r>
        <w:separator/>
      </w:r>
    </w:p>
  </w:endnote>
  <w:endnote w:type="continuationSeparator" w:id="0">
    <w:p w14:paraId="55D36807" w14:textId="77777777" w:rsidR="008213BC" w:rsidRDefault="008213BC" w:rsidP="006A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984754"/>
    </w:sdtPr>
    <w:sdtEndPr>
      <w:rPr>
        <w:rFonts w:asciiTheme="majorBidi" w:hAnsiTheme="majorBidi" w:cstheme="majorBidi"/>
        <w:sz w:val="24"/>
        <w:szCs w:val="24"/>
      </w:rPr>
    </w:sdtEndPr>
    <w:sdtContent>
      <w:p w14:paraId="6C57D098" w14:textId="60EAF7CA" w:rsidR="0099775E" w:rsidRDefault="006A506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fldChar w:fldCharType="begin"/>
        </w:r>
        <w:r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F5A17">
          <w:rPr>
            <w:rFonts w:asciiTheme="majorBidi" w:hAnsiTheme="majorBidi" w:cstheme="majorBidi"/>
            <w:noProof/>
            <w:sz w:val="24"/>
            <w:szCs w:val="24"/>
          </w:rPr>
          <w:t>1</w:t>
        </w:r>
        <w:r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14:paraId="7FEA38D9" w14:textId="77777777" w:rsidR="0099775E" w:rsidRDefault="00BD3AED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C490" w14:textId="77777777" w:rsidR="008213BC" w:rsidRDefault="008213BC" w:rsidP="006A5065">
      <w:pPr>
        <w:spacing w:after="0" w:line="240" w:lineRule="auto"/>
      </w:pPr>
      <w:r>
        <w:separator/>
      </w:r>
    </w:p>
  </w:footnote>
  <w:footnote w:type="continuationSeparator" w:id="0">
    <w:p w14:paraId="77070257" w14:textId="77777777" w:rsidR="008213BC" w:rsidRDefault="008213BC" w:rsidP="006A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1C39"/>
    <w:multiLevelType w:val="multilevel"/>
    <w:tmpl w:val="46211C39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68CC"/>
    <w:multiLevelType w:val="multilevel"/>
    <w:tmpl w:val="4FFD68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3"/>
        <w:szCs w:val="23"/>
      </w:rPr>
    </w:lvl>
    <w:lvl w:ilvl="1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TcyNTO1tDA3MLFQ0lEKTi0uzszPAykwqQUADSciiSwAAAA="/>
  </w:docVars>
  <w:rsids>
    <w:rsidRoot w:val="00033D99"/>
    <w:rsid w:val="00006AF8"/>
    <w:rsid w:val="0003208D"/>
    <w:rsid w:val="00033D99"/>
    <w:rsid w:val="00034B81"/>
    <w:rsid w:val="000475D0"/>
    <w:rsid w:val="00050A74"/>
    <w:rsid w:val="000610B0"/>
    <w:rsid w:val="00065B43"/>
    <w:rsid w:val="00067D68"/>
    <w:rsid w:val="00087574"/>
    <w:rsid w:val="000A195A"/>
    <w:rsid w:val="000B373E"/>
    <w:rsid w:val="000C3936"/>
    <w:rsid w:val="000D2CEC"/>
    <w:rsid w:val="000E6EC7"/>
    <w:rsid w:val="001204B8"/>
    <w:rsid w:val="001238AC"/>
    <w:rsid w:val="00137EF4"/>
    <w:rsid w:val="001429A5"/>
    <w:rsid w:val="00177D6D"/>
    <w:rsid w:val="00192333"/>
    <w:rsid w:val="00192E80"/>
    <w:rsid w:val="001D31CB"/>
    <w:rsid w:val="001D7E25"/>
    <w:rsid w:val="001F4623"/>
    <w:rsid w:val="001F649E"/>
    <w:rsid w:val="00200B83"/>
    <w:rsid w:val="0021639D"/>
    <w:rsid w:val="002208A7"/>
    <w:rsid w:val="00246AFF"/>
    <w:rsid w:val="00256C56"/>
    <w:rsid w:val="00256EE9"/>
    <w:rsid w:val="00264AC8"/>
    <w:rsid w:val="0028176E"/>
    <w:rsid w:val="00297E70"/>
    <w:rsid w:val="002A064C"/>
    <w:rsid w:val="002A1F6D"/>
    <w:rsid w:val="002B3AF6"/>
    <w:rsid w:val="002B7A24"/>
    <w:rsid w:val="002C63A5"/>
    <w:rsid w:val="002C672F"/>
    <w:rsid w:val="002D1967"/>
    <w:rsid w:val="002D6B45"/>
    <w:rsid w:val="002E37AA"/>
    <w:rsid w:val="002F3200"/>
    <w:rsid w:val="002F69FF"/>
    <w:rsid w:val="00310E4B"/>
    <w:rsid w:val="003119FD"/>
    <w:rsid w:val="00311C59"/>
    <w:rsid w:val="00312879"/>
    <w:rsid w:val="00315BBE"/>
    <w:rsid w:val="00316F27"/>
    <w:rsid w:val="00321FD0"/>
    <w:rsid w:val="003247F7"/>
    <w:rsid w:val="0032585D"/>
    <w:rsid w:val="00334755"/>
    <w:rsid w:val="00336262"/>
    <w:rsid w:val="00341CAA"/>
    <w:rsid w:val="00371253"/>
    <w:rsid w:val="00396835"/>
    <w:rsid w:val="003A7E27"/>
    <w:rsid w:val="003B5D28"/>
    <w:rsid w:val="003B7EFA"/>
    <w:rsid w:val="003C18CC"/>
    <w:rsid w:val="003C4B11"/>
    <w:rsid w:val="003D5E31"/>
    <w:rsid w:val="003D5ED3"/>
    <w:rsid w:val="003D69BF"/>
    <w:rsid w:val="004013F5"/>
    <w:rsid w:val="00406FD6"/>
    <w:rsid w:val="0042680D"/>
    <w:rsid w:val="004271A0"/>
    <w:rsid w:val="00430D7A"/>
    <w:rsid w:val="00442BC8"/>
    <w:rsid w:val="00471ECF"/>
    <w:rsid w:val="004757BE"/>
    <w:rsid w:val="0048033E"/>
    <w:rsid w:val="00482894"/>
    <w:rsid w:val="00495930"/>
    <w:rsid w:val="00497D44"/>
    <w:rsid w:val="004B0294"/>
    <w:rsid w:val="004C624E"/>
    <w:rsid w:val="004D7402"/>
    <w:rsid w:val="004F0F70"/>
    <w:rsid w:val="00507D42"/>
    <w:rsid w:val="00513B2A"/>
    <w:rsid w:val="00526982"/>
    <w:rsid w:val="00531913"/>
    <w:rsid w:val="005423B8"/>
    <w:rsid w:val="00546A24"/>
    <w:rsid w:val="00551B2E"/>
    <w:rsid w:val="00561A8C"/>
    <w:rsid w:val="00572355"/>
    <w:rsid w:val="00572469"/>
    <w:rsid w:val="00575F30"/>
    <w:rsid w:val="0059112B"/>
    <w:rsid w:val="005A1F6E"/>
    <w:rsid w:val="005C4ED2"/>
    <w:rsid w:val="005E01CF"/>
    <w:rsid w:val="005F0EE1"/>
    <w:rsid w:val="005F592A"/>
    <w:rsid w:val="00604E4B"/>
    <w:rsid w:val="006150CA"/>
    <w:rsid w:val="00625583"/>
    <w:rsid w:val="006273FD"/>
    <w:rsid w:val="00633B79"/>
    <w:rsid w:val="00654FB9"/>
    <w:rsid w:val="006624D5"/>
    <w:rsid w:val="006626D3"/>
    <w:rsid w:val="00672067"/>
    <w:rsid w:val="006872BF"/>
    <w:rsid w:val="00693EFB"/>
    <w:rsid w:val="006959D3"/>
    <w:rsid w:val="006A5065"/>
    <w:rsid w:val="006B1567"/>
    <w:rsid w:val="006B3C03"/>
    <w:rsid w:val="006C7160"/>
    <w:rsid w:val="006D361A"/>
    <w:rsid w:val="006E174A"/>
    <w:rsid w:val="00713340"/>
    <w:rsid w:val="007138D7"/>
    <w:rsid w:val="00740550"/>
    <w:rsid w:val="00742136"/>
    <w:rsid w:val="00782B4D"/>
    <w:rsid w:val="00783814"/>
    <w:rsid w:val="007A17A7"/>
    <w:rsid w:val="007C2650"/>
    <w:rsid w:val="007C732E"/>
    <w:rsid w:val="007D1F5F"/>
    <w:rsid w:val="007D2E62"/>
    <w:rsid w:val="007D5E35"/>
    <w:rsid w:val="007E6570"/>
    <w:rsid w:val="007F198D"/>
    <w:rsid w:val="007F47B3"/>
    <w:rsid w:val="007F539A"/>
    <w:rsid w:val="008055B7"/>
    <w:rsid w:val="00817B34"/>
    <w:rsid w:val="008213BC"/>
    <w:rsid w:val="008242B5"/>
    <w:rsid w:val="0083343B"/>
    <w:rsid w:val="00836321"/>
    <w:rsid w:val="008401CB"/>
    <w:rsid w:val="00870F48"/>
    <w:rsid w:val="00885C1C"/>
    <w:rsid w:val="00885C49"/>
    <w:rsid w:val="00892A82"/>
    <w:rsid w:val="00897454"/>
    <w:rsid w:val="008C05A5"/>
    <w:rsid w:val="008C7161"/>
    <w:rsid w:val="008E51A3"/>
    <w:rsid w:val="008F083F"/>
    <w:rsid w:val="008F110C"/>
    <w:rsid w:val="0090102C"/>
    <w:rsid w:val="009011E1"/>
    <w:rsid w:val="00910C8F"/>
    <w:rsid w:val="00950271"/>
    <w:rsid w:val="0095174D"/>
    <w:rsid w:val="009620B4"/>
    <w:rsid w:val="009A136F"/>
    <w:rsid w:val="009A178B"/>
    <w:rsid w:val="009A27AB"/>
    <w:rsid w:val="009A3297"/>
    <w:rsid w:val="009A536F"/>
    <w:rsid w:val="009B5987"/>
    <w:rsid w:val="009C56AF"/>
    <w:rsid w:val="009E562A"/>
    <w:rsid w:val="009F54B0"/>
    <w:rsid w:val="00A015C6"/>
    <w:rsid w:val="00A17157"/>
    <w:rsid w:val="00A75979"/>
    <w:rsid w:val="00A76500"/>
    <w:rsid w:val="00A8542A"/>
    <w:rsid w:val="00AA16D0"/>
    <w:rsid w:val="00AD23B3"/>
    <w:rsid w:val="00AE61B3"/>
    <w:rsid w:val="00B20838"/>
    <w:rsid w:val="00B309B8"/>
    <w:rsid w:val="00B655DB"/>
    <w:rsid w:val="00B83BCE"/>
    <w:rsid w:val="00BA179D"/>
    <w:rsid w:val="00BA2F82"/>
    <w:rsid w:val="00BB0EC4"/>
    <w:rsid w:val="00BB6F29"/>
    <w:rsid w:val="00BC1F46"/>
    <w:rsid w:val="00BD25C4"/>
    <w:rsid w:val="00BD3449"/>
    <w:rsid w:val="00BE3D93"/>
    <w:rsid w:val="00BE67CF"/>
    <w:rsid w:val="00BE7805"/>
    <w:rsid w:val="00BF5A17"/>
    <w:rsid w:val="00BF748B"/>
    <w:rsid w:val="00C006E3"/>
    <w:rsid w:val="00C07552"/>
    <w:rsid w:val="00C126A6"/>
    <w:rsid w:val="00C255D9"/>
    <w:rsid w:val="00C33D70"/>
    <w:rsid w:val="00C44C22"/>
    <w:rsid w:val="00C52438"/>
    <w:rsid w:val="00C74F17"/>
    <w:rsid w:val="00C8356B"/>
    <w:rsid w:val="00C90CB0"/>
    <w:rsid w:val="00C925D4"/>
    <w:rsid w:val="00C973FE"/>
    <w:rsid w:val="00CA07CB"/>
    <w:rsid w:val="00CB75D5"/>
    <w:rsid w:val="00CE5C3E"/>
    <w:rsid w:val="00CF0943"/>
    <w:rsid w:val="00D01800"/>
    <w:rsid w:val="00D06ACB"/>
    <w:rsid w:val="00D1396D"/>
    <w:rsid w:val="00D162E5"/>
    <w:rsid w:val="00D27BD7"/>
    <w:rsid w:val="00D42F2C"/>
    <w:rsid w:val="00D43E56"/>
    <w:rsid w:val="00D64A8A"/>
    <w:rsid w:val="00D67DB7"/>
    <w:rsid w:val="00D725AA"/>
    <w:rsid w:val="00D73C88"/>
    <w:rsid w:val="00D84B54"/>
    <w:rsid w:val="00D962E4"/>
    <w:rsid w:val="00DE7FDE"/>
    <w:rsid w:val="00DF1176"/>
    <w:rsid w:val="00E0521C"/>
    <w:rsid w:val="00E252AB"/>
    <w:rsid w:val="00E37F75"/>
    <w:rsid w:val="00E67456"/>
    <w:rsid w:val="00E70031"/>
    <w:rsid w:val="00E70B01"/>
    <w:rsid w:val="00E9172A"/>
    <w:rsid w:val="00E9792F"/>
    <w:rsid w:val="00EA6453"/>
    <w:rsid w:val="00EB27EB"/>
    <w:rsid w:val="00EC0B21"/>
    <w:rsid w:val="00EC5CBF"/>
    <w:rsid w:val="00EC6D48"/>
    <w:rsid w:val="00ED7067"/>
    <w:rsid w:val="00EE708C"/>
    <w:rsid w:val="00EF4E1E"/>
    <w:rsid w:val="00F044BF"/>
    <w:rsid w:val="00F21E6E"/>
    <w:rsid w:val="00F236CE"/>
    <w:rsid w:val="00F32A38"/>
    <w:rsid w:val="00F34820"/>
    <w:rsid w:val="00F657D9"/>
    <w:rsid w:val="00F73EDB"/>
    <w:rsid w:val="00F80D5B"/>
    <w:rsid w:val="00FA4DB0"/>
    <w:rsid w:val="00FB09FF"/>
    <w:rsid w:val="00FC0066"/>
    <w:rsid w:val="00FC0372"/>
    <w:rsid w:val="00FC4641"/>
    <w:rsid w:val="00FE2D9A"/>
    <w:rsid w:val="00FE465E"/>
    <w:rsid w:val="00FF1DA7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CB9BB"/>
  <w15:chartTrackingRefBased/>
  <w15:docId w15:val="{7332A89C-DFF6-4B74-8B0D-00ED657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065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65"/>
  </w:style>
  <w:style w:type="paragraph" w:styleId="Footer">
    <w:name w:val="footer"/>
    <w:basedOn w:val="Normal"/>
    <w:link w:val="FooterChar"/>
    <w:uiPriority w:val="99"/>
    <w:unhideWhenUsed/>
    <w:rsid w:val="006A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65"/>
  </w:style>
  <w:style w:type="paragraph" w:styleId="ListParagraph">
    <w:name w:val="List Paragraph"/>
    <w:basedOn w:val="Normal"/>
    <w:uiPriority w:val="34"/>
    <w:qFormat/>
    <w:rsid w:val="006A5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3E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1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76E"/>
    <w:rPr>
      <w:rFonts w:eastAsiaTheme="minorHAns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76E"/>
    <w:rPr>
      <w:rFonts w:eastAsiaTheme="minorHAns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10" ma:contentTypeDescription="Create a new document." ma:contentTypeScope="" ma:versionID="c7b74c030088b128bad4326cf7a03157">
  <xsd:schema xmlns:xsd="http://www.w3.org/2001/XMLSchema" xmlns:xs="http://www.w3.org/2001/XMLSchema" xmlns:p="http://schemas.microsoft.com/office/2006/metadata/properties" xmlns:ns3="79d8ff95-0ebd-46cb-8360-97318506dc9e" xmlns:ns4="e7807545-4cd5-4eeb-8ae5-5da6dabcfec7" targetNamespace="http://schemas.microsoft.com/office/2006/metadata/properties" ma:root="true" ma:fieldsID="5e99d4a0c6c1425c616cb6d58b681418" ns3:_="" ns4:_="">
    <xsd:import namespace="79d8ff95-0ebd-46cb-8360-97318506dc9e"/>
    <xsd:import namespace="e7807545-4cd5-4eeb-8ae5-5da6dabc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7545-4cd5-4eeb-8ae5-5da6dabc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B0291-B836-47B1-8E36-781C42094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6E221-6310-4D38-B18C-176E07E84A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d8ff95-0ebd-46cb-8360-97318506dc9e"/>
    <ds:schemaRef ds:uri="http://purl.org/dc/terms/"/>
    <ds:schemaRef ds:uri="http://schemas.openxmlformats.org/package/2006/metadata/core-properties"/>
    <ds:schemaRef ds:uri="e7807545-4cd5-4eeb-8ae5-5da6dabcfe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33E0A8-5272-4AF5-9A56-D609FA53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e7807545-4cd5-4eeb-8ae5-5da6dabc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Zhicong Tang</dc:creator>
  <cp:keywords/>
  <dc:description/>
  <cp:lastModifiedBy>Paolo Fontana</cp:lastModifiedBy>
  <cp:revision>2</cp:revision>
  <dcterms:created xsi:type="dcterms:W3CDTF">2019-10-18T20:56:00Z</dcterms:created>
  <dcterms:modified xsi:type="dcterms:W3CDTF">2019-10-18T20:56:00Z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