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A5DA0" w14:textId="77777777" w:rsidR="00981DD9" w:rsidRDefault="00FB20F6">
      <w:pPr>
        <w:jc w:val="both"/>
        <w:outlineLvl w:val="0"/>
        <w:rPr>
          <w:b/>
          <w:sz w:val="22"/>
          <w:lang w:val="en-GB"/>
        </w:rPr>
        <w:sectPr w:rsidR="00981DD9"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584" w:right="1195" w:bottom="1440" w:left="1195" w:header="576" w:footer="1008" w:gutter="0"/>
          <w:cols w:space="720"/>
          <w:titlePg/>
        </w:sectPr>
      </w:pPr>
      <w:bookmarkStart w:id="0" w:name="_GoBack"/>
      <w:bookmarkEnd w:id="0"/>
      <w:r>
        <w:rPr>
          <w:b/>
          <w:sz w:val="22"/>
          <w:lang w:val="en-GB"/>
        </w:rPr>
        <w:t xml:space="preserve"> </w:t>
      </w:r>
    </w:p>
    <w:p w14:paraId="22069373" w14:textId="77777777" w:rsidR="00981DD9" w:rsidRDefault="00981DD9">
      <w:pPr>
        <w:pStyle w:val="Heading1"/>
        <w:spacing w:after="240"/>
        <w:jc w:val="center"/>
        <w:rPr>
          <w:sz w:val="28"/>
          <w:lang w:val="en-GB"/>
        </w:rPr>
      </w:pPr>
      <w:r>
        <w:rPr>
          <w:sz w:val="28"/>
          <w:lang w:val="en-GB"/>
        </w:rPr>
        <w:t>Resolution adopted by the General Assembly</w:t>
      </w:r>
    </w:p>
    <w:p w14:paraId="715371D3" w14:textId="77777777" w:rsidR="00981DD9" w:rsidRDefault="00981DD9" w:rsidP="00981DD9">
      <w:pPr>
        <w:spacing w:after="360"/>
        <w:jc w:val="center"/>
        <w:outlineLvl w:val="0"/>
      </w:pPr>
      <w:r>
        <w:rPr>
          <w:lang w:val="en-GB"/>
        </w:rPr>
        <w:t>[</w:t>
      </w:r>
      <w:r w:rsidR="00F242A4">
        <w:rPr>
          <w:i/>
          <w:lang w:val="en-GB"/>
        </w:rPr>
        <w:t xml:space="preserve">on the report of the First Committee </w:t>
      </w:r>
      <w:r>
        <w:rPr>
          <w:i/>
          <w:lang w:val="en-GB"/>
        </w:rPr>
        <w:t>(A/58/</w:t>
      </w:r>
      <w:r w:rsidR="00F242A4">
        <w:rPr>
          <w:i/>
          <w:lang w:val="en-GB"/>
        </w:rPr>
        <w:t>462</w:t>
      </w:r>
      <w:r>
        <w:rPr>
          <w:i/>
          <w:lang w:val="en-GB"/>
        </w:rPr>
        <w:t>)</w:t>
      </w:r>
      <w:r>
        <w:rPr>
          <w:lang w:val="en-GB"/>
        </w:rPr>
        <w:t>]</w:t>
      </w:r>
    </w:p>
    <w:p w14:paraId="29429DB2" w14:textId="77777777" w:rsidR="00B9237E" w:rsidRPr="00423D84" w:rsidRDefault="00B9237E" w:rsidP="00B9237E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2217" w:right="1267" w:hanging="950"/>
      </w:pPr>
      <w:r w:rsidRPr="00423D84">
        <w:t>58/4</w:t>
      </w:r>
      <w:r>
        <w:t>2</w:t>
      </w:r>
      <w:r w:rsidRPr="00423D84">
        <w:t>.</w:t>
      </w:r>
      <w:r w:rsidRPr="00423D84">
        <w:tab/>
        <w:t>National legislation on transfer of arms, military equipment and dual</w:t>
      </w:r>
      <w:r w:rsidRPr="00423D84">
        <w:noBreakHyphen/>
        <w:t>use goods and technology</w:t>
      </w:r>
    </w:p>
    <w:p w14:paraId="7BA87AD2" w14:textId="77777777" w:rsidR="00B9237E" w:rsidRPr="00423D84" w:rsidRDefault="00B9237E" w:rsidP="00B9237E">
      <w:pPr>
        <w:pStyle w:val="SingleTxt"/>
        <w:spacing w:after="0" w:line="120" w:lineRule="exact"/>
        <w:rPr>
          <w:sz w:val="10"/>
          <w:lang w:val="en-GB"/>
        </w:rPr>
      </w:pPr>
    </w:p>
    <w:p w14:paraId="097CBD3C" w14:textId="77777777" w:rsidR="00B9237E" w:rsidRPr="00423D84" w:rsidRDefault="00B9237E" w:rsidP="00B9237E">
      <w:pPr>
        <w:pStyle w:val="SingleTxt"/>
        <w:spacing w:after="0" w:line="120" w:lineRule="exact"/>
        <w:rPr>
          <w:sz w:val="10"/>
          <w:lang w:val="en-GB"/>
        </w:rPr>
      </w:pPr>
    </w:p>
    <w:p w14:paraId="11744C7D" w14:textId="77777777" w:rsidR="00B9237E" w:rsidRPr="00423D84" w:rsidRDefault="00B9237E" w:rsidP="00B9237E">
      <w:pPr>
        <w:pStyle w:val="SingleTxt"/>
        <w:rPr>
          <w:lang w:val="en-GB"/>
        </w:rPr>
      </w:pPr>
      <w:r w:rsidRPr="00423D84">
        <w:rPr>
          <w:lang w:val="en-GB"/>
        </w:rPr>
        <w:tab/>
      </w:r>
      <w:r w:rsidRPr="00423D84">
        <w:rPr>
          <w:i/>
          <w:lang w:val="en-GB"/>
        </w:rPr>
        <w:t>The General Assembly</w:t>
      </w:r>
      <w:r w:rsidRPr="00423D84">
        <w:rPr>
          <w:lang w:val="en-GB"/>
        </w:rPr>
        <w:t>,</w:t>
      </w:r>
      <w:r w:rsidR="00FB20F6">
        <w:rPr>
          <w:rStyle w:val="CommentReference"/>
          <w:vanish/>
          <w:spacing w:val="0"/>
          <w:w w:val="100"/>
          <w:kern w:val="0"/>
          <w:lang w:val="en-US"/>
        </w:rPr>
        <w:commentReference w:id="1"/>
      </w:r>
    </w:p>
    <w:p w14:paraId="35A718E6" w14:textId="77777777" w:rsidR="00B9237E" w:rsidRPr="00FB20F6" w:rsidRDefault="00B9237E" w:rsidP="00B9237E">
      <w:pPr>
        <w:pStyle w:val="SingleTxt"/>
        <w:rPr>
          <w:color w:val="0000FF"/>
          <w:lang w:val="en-GB"/>
        </w:rPr>
      </w:pPr>
      <w:r w:rsidRPr="00423D84">
        <w:rPr>
          <w:lang w:val="en-GB"/>
        </w:rPr>
        <w:tab/>
      </w:r>
      <w:r w:rsidR="00FB20F6">
        <w:rPr>
          <w:rStyle w:val="CommentReference"/>
          <w:vanish/>
          <w:spacing w:val="0"/>
          <w:w w:val="100"/>
          <w:kern w:val="0"/>
          <w:lang w:val="en-US"/>
        </w:rPr>
        <w:commentReference w:id="2"/>
      </w:r>
      <w:r w:rsidRPr="00FB20F6">
        <w:rPr>
          <w:i/>
          <w:color w:val="0000FF"/>
          <w:lang w:val="en-GB"/>
        </w:rPr>
        <w:t>Recognizing</w:t>
      </w:r>
      <w:r w:rsidRPr="00FB20F6">
        <w:rPr>
          <w:color w:val="0000FF"/>
          <w:lang w:val="en-GB"/>
        </w:rPr>
        <w:t xml:space="preserve"> that disarmament, arms control and non-proliferation are essential for the maintenance of international peace and security,</w:t>
      </w:r>
      <w:r w:rsidR="00284D09">
        <w:rPr>
          <w:rStyle w:val="CommentReference"/>
          <w:vanish/>
          <w:spacing w:val="0"/>
          <w:w w:val="100"/>
          <w:kern w:val="0"/>
          <w:lang w:val="en-US"/>
        </w:rPr>
        <w:commentReference w:id="3"/>
      </w:r>
    </w:p>
    <w:p w14:paraId="6672FFF3" w14:textId="77777777" w:rsidR="00B9237E" w:rsidRPr="00FB20F6" w:rsidRDefault="00B9237E" w:rsidP="00B9237E">
      <w:pPr>
        <w:pStyle w:val="SingleTxt"/>
        <w:rPr>
          <w:color w:val="0000FF"/>
          <w:lang w:val="en-GB"/>
        </w:rPr>
      </w:pPr>
      <w:r w:rsidRPr="00FB20F6">
        <w:rPr>
          <w:color w:val="0000FF"/>
          <w:lang w:val="en-GB"/>
        </w:rPr>
        <w:tab/>
      </w:r>
      <w:r w:rsidRPr="00FB20F6">
        <w:rPr>
          <w:i/>
          <w:color w:val="0000FF"/>
          <w:lang w:val="en-GB"/>
        </w:rPr>
        <w:t>Recalling</w:t>
      </w:r>
      <w:r w:rsidRPr="00FB20F6">
        <w:rPr>
          <w:color w:val="0000FF"/>
          <w:lang w:val="en-GB"/>
        </w:rPr>
        <w:t xml:space="preserve"> that effective national control of the transfer of arms, military equipment and dual</w:t>
      </w:r>
      <w:r w:rsidRPr="00FB20F6">
        <w:rPr>
          <w:color w:val="0000FF"/>
          <w:lang w:val="en-GB"/>
        </w:rPr>
        <w:noBreakHyphen/>
        <w:t>use goods and technology, including those transfers that could contribute to proliferation activities, is an important tool for achieving those objectives,</w:t>
      </w:r>
    </w:p>
    <w:p w14:paraId="64D209A8" w14:textId="77777777" w:rsidR="00B9237E" w:rsidRPr="00FB20F6" w:rsidRDefault="00B9237E" w:rsidP="00B9237E">
      <w:pPr>
        <w:pStyle w:val="SingleTxt"/>
        <w:rPr>
          <w:color w:val="0000FF"/>
          <w:lang w:val="en-GB"/>
        </w:rPr>
      </w:pPr>
      <w:r w:rsidRPr="00FB20F6">
        <w:rPr>
          <w:color w:val="0000FF"/>
          <w:lang w:val="en-GB"/>
        </w:rPr>
        <w:tab/>
      </w:r>
      <w:r w:rsidRPr="00FB20F6">
        <w:rPr>
          <w:i/>
          <w:color w:val="0000FF"/>
          <w:lang w:val="en-GB"/>
        </w:rPr>
        <w:t>Recalling also</w:t>
      </w:r>
      <w:r w:rsidRPr="00FB20F6">
        <w:rPr>
          <w:color w:val="0000FF"/>
          <w:lang w:val="en-GB"/>
        </w:rPr>
        <w:t xml:space="preserve"> that the States parties to the international disarmament and non-proliferation treaties have undertaken to facilitate the fullest possible exchange of materials, equipment and technological information for peaceful purposes, in accordance with the provisions of those treaties,</w:t>
      </w:r>
    </w:p>
    <w:p w14:paraId="68C95FF3" w14:textId="77777777" w:rsidR="00B9237E" w:rsidRPr="00FB20F6" w:rsidRDefault="00B9237E" w:rsidP="00B9237E">
      <w:pPr>
        <w:pStyle w:val="SingleTxt"/>
        <w:rPr>
          <w:color w:val="0000FF"/>
          <w:lang w:val="en-GB"/>
        </w:rPr>
      </w:pPr>
      <w:r w:rsidRPr="00FB20F6">
        <w:rPr>
          <w:color w:val="0000FF"/>
          <w:lang w:val="en-GB"/>
        </w:rPr>
        <w:tab/>
      </w:r>
      <w:r w:rsidRPr="00FB20F6">
        <w:rPr>
          <w:i/>
          <w:color w:val="0000FF"/>
          <w:lang w:val="en-GB"/>
        </w:rPr>
        <w:t>Considering</w:t>
      </w:r>
      <w:r w:rsidRPr="00FB20F6">
        <w:rPr>
          <w:color w:val="0000FF"/>
          <w:lang w:val="en-GB"/>
        </w:rPr>
        <w:t xml:space="preserve"> that the exchange of national legislation, regulations and procedures on the transfer of arms, military equipment and dual</w:t>
      </w:r>
      <w:r w:rsidRPr="00FB20F6">
        <w:rPr>
          <w:color w:val="0000FF"/>
          <w:lang w:val="en-GB"/>
        </w:rPr>
        <w:noBreakHyphen/>
        <w:t>use goods and technology contributes to mutual understanding and confidence among Member States,</w:t>
      </w:r>
    </w:p>
    <w:p w14:paraId="1072D907" w14:textId="77777777" w:rsidR="00B9237E" w:rsidRPr="00FB20F6" w:rsidRDefault="00B9237E" w:rsidP="007A41CA">
      <w:pPr>
        <w:pStyle w:val="SingleTxt"/>
        <w:rPr>
          <w:color w:val="0000FF"/>
          <w:lang w:val="en-GB"/>
        </w:rPr>
      </w:pPr>
      <w:r w:rsidRPr="00FB20F6">
        <w:rPr>
          <w:color w:val="0000FF"/>
          <w:lang w:val="en-GB"/>
        </w:rPr>
        <w:tab/>
      </w:r>
      <w:r w:rsidRPr="00FB20F6">
        <w:rPr>
          <w:i/>
          <w:color w:val="0000FF"/>
          <w:lang w:val="en-GB"/>
        </w:rPr>
        <w:t>Convinced</w:t>
      </w:r>
      <w:r w:rsidRPr="00FB20F6">
        <w:rPr>
          <w:color w:val="0000FF"/>
          <w:lang w:val="en-GB"/>
        </w:rPr>
        <w:t xml:space="preserve"> that such an exchange would be beneficial to Member States that are in the process of developing such legislation,</w:t>
      </w:r>
    </w:p>
    <w:p w14:paraId="20FC9CAA" w14:textId="77777777" w:rsidR="00B9237E" w:rsidRPr="00FB20F6" w:rsidRDefault="00B9237E" w:rsidP="00B9237E">
      <w:pPr>
        <w:pStyle w:val="SingleTxt"/>
        <w:rPr>
          <w:color w:val="0000FF"/>
          <w:lang w:val="en-GB"/>
        </w:rPr>
      </w:pPr>
      <w:r w:rsidRPr="00FB20F6">
        <w:rPr>
          <w:color w:val="0000FF"/>
          <w:lang w:val="en-GB"/>
        </w:rPr>
        <w:tab/>
      </w:r>
      <w:r w:rsidRPr="00FB20F6">
        <w:rPr>
          <w:i/>
          <w:color w:val="0000FF"/>
          <w:lang w:val="en-GB"/>
        </w:rPr>
        <w:t>Reaffirming</w:t>
      </w:r>
      <w:r w:rsidRPr="00FB20F6">
        <w:rPr>
          <w:color w:val="0000FF"/>
          <w:lang w:val="en-GB"/>
        </w:rPr>
        <w:t xml:space="preserve"> the inherent right of individual or collective self-defence in accordance with Article 51 of the Charter of the United Nations,</w:t>
      </w:r>
    </w:p>
    <w:p w14:paraId="1612E54D" w14:textId="77777777" w:rsidR="00B9237E" w:rsidRPr="00FB20F6" w:rsidRDefault="00B9237E" w:rsidP="00B9237E">
      <w:pPr>
        <w:pStyle w:val="SingleTxt"/>
        <w:rPr>
          <w:color w:val="993300"/>
          <w:lang w:val="en-GB"/>
        </w:rPr>
      </w:pPr>
      <w:r w:rsidRPr="00FB20F6">
        <w:rPr>
          <w:color w:val="993300"/>
          <w:lang w:val="en-GB"/>
        </w:rPr>
        <w:tab/>
      </w:r>
      <w:r w:rsidR="00FB20F6">
        <w:rPr>
          <w:rStyle w:val="CommentReference"/>
          <w:vanish/>
          <w:spacing w:val="0"/>
          <w:w w:val="100"/>
          <w:kern w:val="0"/>
          <w:lang w:val="en-US"/>
        </w:rPr>
        <w:commentReference w:id="4"/>
      </w:r>
      <w:r w:rsidRPr="00FB20F6">
        <w:rPr>
          <w:color w:val="993300"/>
          <w:lang w:val="en-GB"/>
        </w:rPr>
        <w:t>1.</w:t>
      </w:r>
      <w:r w:rsidRPr="00FB20F6">
        <w:rPr>
          <w:color w:val="993300"/>
          <w:lang w:val="en-GB"/>
        </w:rPr>
        <w:tab/>
      </w:r>
      <w:r w:rsidRPr="00FB20F6">
        <w:rPr>
          <w:i/>
          <w:color w:val="993300"/>
          <w:lang w:val="en-GB"/>
        </w:rPr>
        <w:t>Invites</w:t>
      </w:r>
      <w:r w:rsidRPr="00FB20F6">
        <w:rPr>
          <w:color w:val="993300"/>
          <w:lang w:val="en-GB"/>
        </w:rPr>
        <w:t xml:space="preserve"> Member States that are in a position to do so to enact or improve national legislation, regulations and procedures to exercise effective control over the transfer of arms, military equipment and dual</w:t>
      </w:r>
      <w:r w:rsidRPr="00FB20F6">
        <w:rPr>
          <w:color w:val="993300"/>
          <w:lang w:val="en-GB"/>
        </w:rPr>
        <w:noBreakHyphen/>
        <w:t>use goods and technology, while ensuring that such legislation, regulations and procedures are consistent with the obligations of States parties under international treaties;</w:t>
      </w:r>
      <w:r w:rsidR="00284D09">
        <w:rPr>
          <w:rStyle w:val="CommentReference"/>
          <w:vanish/>
          <w:spacing w:val="0"/>
          <w:w w:val="100"/>
          <w:kern w:val="0"/>
          <w:lang w:val="en-US"/>
        </w:rPr>
        <w:commentReference w:id="5"/>
      </w:r>
    </w:p>
    <w:p w14:paraId="6DF36FA5" w14:textId="77777777" w:rsidR="00B9237E" w:rsidRPr="00FB20F6" w:rsidRDefault="00B9237E" w:rsidP="00B9237E">
      <w:pPr>
        <w:pStyle w:val="SingleTxt"/>
        <w:rPr>
          <w:color w:val="993300"/>
          <w:lang w:val="en-GB"/>
        </w:rPr>
      </w:pPr>
      <w:r w:rsidRPr="00FB20F6">
        <w:rPr>
          <w:color w:val="993300"/>
          <w:lang w:val="en-GB"/>
        </w:rPr>
        <w:tab/>
        <w:t>2.</w:t>
      </w:r>
      <w:r w:rsidRPr="00FB20F6">
        <w:rPr>
          <w:color w:val="993300"/>
          <w:lang w:val="en-GB"/>
        </w:rPr>
        <w:tab/>
      </w:r>
      <w:r w:rsidRPr="00FB20F6">
        <w:rPr>
          <w:i/>
          <w:color w:val="993300"/>
          <w:lang w:val="en-GB"/>
        </w:rPr>
        <w:t>Encourages</w:t>
      </w:r>
      <w:r w:rsidRPr="00FB20F6">
        <w:rPr>
          <w:color w:val="993300"/>
          <w:lang w:val="en-GB"/>
        </w:rPr>
        <w:t xml:space="preserve"> Member States to provide, on a voluntary basis, information to the Secretary-General on their national legislation, regulations and procedures on the transfer of arms, military equipment and dual</w:t>
      </w:r>
      <w:r w:rsidRPr="00FB20F6">
        <w:rPr>
          <w:color w:val="993300"/>
          <w:lang w:val="en-GB"/>
        </w:rPr>
        <w:noBreakHyphen/>
        <w:t>use goods and technology, as well as the changes therein, and requests the Secretary-General to make this information accessible to Member States;</w:t>
      </w:r>
    </w:p>
    <w:p w14:paraId="2F0F0162" w14:textId="77777777" w:rsidR="00B9237E" w:rsidRPr="00FB20F6" w:rsidRDefault="00B9237E" w:rsidP="00B9237E">
      <w:pPr>
        <w:pStyle w:val="SingleTxt"/>
        <w:rPr>
          <w:color w:val="993300"/>
          <w:lang w:val="en-GB"/>
        </w:rPr>
      </w:pPr>
      <w:r w:rsidRPr="00FB20F6">
        <w:rPr>
          <w:color w:val="993300"/>
          <w:lang w:val="en-GB"/>
        </w:rPr>
        <w:lastRenderedPageBreak/>
        <w:tab/>
        <w:t>3.</w:t>
      </w:r>
      <w:r w:rsidRPr="00FB20F6">
        <w:rPr>
          <w:color w:val="993300"/>
          <w:lang w:val="en-GB"/>
        </w:rPr>
        <w:tab/>
      </w:r>
      <w:r w:rsidRPr="00FB20F6">
        <w:rPr>
          <w:i/>
          <w:color w:val="993300"/>
          <w:lang w:val="en-GB"/>
        </w:rPr>
        <w:t>Decides</w:t>
      </w:r>
      <w:r w:rsidRPr="00FB20F6">
        <w:rPr>
          <w:color w:val="993300"/>
          <w:lang w:val="en-GB"/>
        </w:rPr>
        <w:t xml:space="preserve"> to include in the provisional agenda of its fifty-ninth session the item entitled “National legislation on transfer of arms, military equipment and dual</w:t>
      </w:r>
      <w:r w:rsidRPr="00FB20F6">
        <w:rPr>
          <w:color w:val="993300"/>
          <w:lang w:val="en-GB"/>
        </w:rPr>
        <w:noBreakHyphen/>
        <w:t>use goods and technology”.</w:t>
      </w:r>
      <w:r w:rsidR="00D856AC">
        <w:rPr>
          <w:rStyle w:val="CommentReference"/>
          <w:vanish/>
          <w:spacing w:val="0"/>
          <w:w w:val="100"/>
          <w:kern w:val="0"/>
          <w:lang w:val="en-US"/>
        </w:rPr>
        <w:commentReference w:id="6"/>
      </w:r>
    </w:p>
    <w:p w14:paraId="6DB4CA91" w14:textId="77777777" w:rsidR="00981DD9" w:rsidRPr="00FB20F6" w:rsidRDefault="00981DD9">
      <w:pPr>
        <w:widowControl w:val="0"/>
        <w:spacing w:line="120" w:lineRule="exact"/>
        <w:jc w:val="both"/>
        <w:rPr>
          <w:color w:val="993300"/>
          <w:sz w:val="8"/>
          <w:lang w:val="en-GB"/>
        </w:rPr>
      </w:pPr>
    </w:p>
    <w:p w14:paraId="4BCBFED5" w14:textId="77777777" w:rsidR="00981DD9" w:rsidRPr="0035160D" w:rsidRDefault="008C6E9A" w:rsidP="00F242A4">
      <w:pPr>
        <w:pStyle w:val="SingleTxt"/>
        <w:spacing w:line="240" w:lineRule="auto"/>
        <w:jc w:val="right"/>
        <w:rPr>
          <w:i/>
          <w:iCs/>
          <w:color w:val="008000"/>
          <w:lang w:val="en-GB"/>
        </w:rPr>
      </w:pPr>
      <w:r w:rsidRPr="0035160D">
        <w:rPr>
          <w:i/>
          <w:iCs/>
          <w:color w:val="008000"/>
          <w:lang w:val="en-GB"/>
        </w:rPr>
        <w:t>71st</w:t>
      </w:r>
      <w:r w:rsidR="00F242A4" w:rsidRPr="0035160D">
        <w:rPr>
          <w:i/>
          <w:iCs/>
          <w:color w:val="008000"/>
          <w:lang w:val="en-GB"/>
        </w:rPr>
        <w:t xml:space="preserve"> plenary meeting</w:t>
      </w:r>
      <w:r w:rsidR="00F242A4" w:rsidRPr="0035160D">
        <w:rPr>
          <w:i/>
          <w:iCs/>
          <w:color w:val="008000"/>
          <w:lang w:val="en-GB"/>
        </w:rPr>
        <w:br/>
      </w:r>
      <w:smartTag w:uri="urn:schemas-microsoft-com:office:smarttags" w:element="date">
        <w:smartTagPr>
          <w:attr w:name="Year" w:val="2003"/>
          <w:attr w:name="Day" w:val="8"/>
          <w:attr w:name="Month" w:val="12"/>
        </w:smartTagPr>
        <w:r w:rsidRPr="0035160D">
          <w:rPr>
            <w:i/>
            <w:iCs/>
            <w:color w:val="008000"/>
            <w:lang w:val="en-GB"/>
          </w:rPr>
          <w:t>8 December</w:t>
        </w:r>
        <w:r w:rsidR="00F242A4" w:rsidRPr="0035160D">
          <w:rPr>
            <w:i/>
            <w:iCs/>
            <w:color w:val="008000"/>
            <w:lang w:val="en-GB"/>
          </w:rPr>
          <w:t xml:space="preserve"> 2003</w:t>
        </w:r>
      </w:smartTag>
      <w:r w:rsidR="00E375AA">
        <w:rPr>
          <w:rStyle w:val="CommentReference"/>
          <w:vanish/>
          <w:spacing w:val="0"/>
          <w:w w:val="100"/>
          <w:kern w:val="0"/>
          <w:lang w:val="en-US"/>
        </w:rPr>
        <w:commentReference w:id="7"/>
      </w:r>
    </w:p>
    <w:sectPr w:rsidR="00981DD9" w:rsidRPr="0035160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 w:code="1"/>
      <w:pgMar w:top="1584" w:right="1195" w:bottom="1440" w:left="1195" w:header="576" w:footer="100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lizabeth.Lara" w:date="2004-09-16T16:31:00Z" w:initials="E">
    <w:p w14:paraId="6BFC096B" w14:textId="77777777" w:rsidR="00120144" w:rsidRDefault="00120144">
      <w:pPr>
        <w:pStyle w:val="CommentText"/>
      </w:pPr>
      <w:r>
        <w:rPr>
          <w:rStyle w:val="CommentReference"/>
        </w:rPr>
        <w:annotationRef/>
      </w:r>
      <w:r>
        <w:t>Begin with the name of the organ, followed by a comma.</w:t>
      </w:r>
    </w:p>
  </w:comment>
  <w:comment w:id="2" w:author="Elizabeth.Lara" w:date="2004-09-17T10:52:00Z" w:initials="E">
    <w:p w14:paraId="3F02381F" w14:textId="77777777" w:rsidR="00120144" w:rsidRDefault="00120144" w:rsidP="00B64C1E">
      <w:pPr>
        <w:pStyle w:val="CommentText"/>
      </w:pPr>
      <w:r>
        <w:rPr>
          <w:rStyle w:val="CommentReference"/>
        </w:rPr>
        <w:annotationRef/>
      </w:r>
      <w:r>
        <w:t>Begin each paragraph in the preamble with a present participle (</w:t>
      </w:r>
      <w:r w:rsidRPr="0024748F">
        <w:rPr>
          <w:i/>
          <w:iCs/>
        </w:rPr>
        <w:t>Recognizing</w:t>
      </w:r>
      <w:r>
        <w:t>…), past participle (</w:t>
      </w:r>
      <w:r w:rsidRPr="0024748F">
        <w:rPr>
          <w:i/>
          <w:iCs/>
        </w:rPr>
        <w:t>Convinced</w:t>
      </w:r>
      <w:r>
        <w:t>…), perfect participle (</w:t>
      </w:r>
      <w:r w:rsidRPr="0024748F">
        <w:rPr>
          <w:i/>
          <w:iCs/>
        </w:rPr>
        <w:t xml:space="preserve">Having </w:t>
      </w:r>
      <w:r>
        <w:rPr>
          <w:i/>
          <w:iCs/>
        </w:rPr>
        <w:t>been informed</w:t>
      </w:r>
      <w:r>
        <w:t>…) or participial phrase (</w:t>
      </w:r>
      <w:r w:rsidRPr="0024748F">
        <w:rPr>
          <w:i/>
          <w:iCs/>
        </w:rPr>
        <w:t>Bearing in mind</w:t>
      </w:r>
      <w:r>
        <w:t>…)</w:t>
      </w:r>
    </w:p>
  </w:comment>
  <w:comment w:id="3" w:author="Elizabeth.Lara" w:date="2004-09-16T16:32:00Z" w:initials="E">
    <w:p w14:paraId="532FC69E" w14:textId="77777777" w:rsidR="00120144" w:rsidRDefault="00120144" w:rsidP="00536F7C">
      <w:pPr>
        <w:pStyle w:val="CommentText"/>
      </w:pPr>
      <w:r>
        <w:rPr>
          <w:rStyle w:val="CommentReference"/>
        </w:rPr>
        <w:annotationRef/>
      </w:r>
      <w:r>
        <w:t>End each preambular paragraph with a comma.</w:t>
      </w:r>
    </w:p>
  </w:comment>
  <w:comment w:id="4" w:author="Elizabeth.Lara" w:date="2004-09-17T10:54:00Z" w:initials="E">
    <w:p w14:paraId="6AE36E91" w14:textId="77777777" w:rsidR="00120144" w:rsidRDefault="00120144" w:rsidP="00120144">
      <w:pPr>
        <w:pStyle w:val="CommentText"/>
      </w:pPr>
      <w:r>
        <w:rPr>
          <w:rStyle w:val="CommentReference"/>
        </w:rPr>
        <w:annotationRef/>
      </w:r>
      <w:r>
        <w:t xml:space="preserve">Number the paragraphs in the operative part of the resolution; begin </w:t>
      </w:r>
      <w:r w:rsidR="002279AC">
        <w:t xml:space="preserve">each paragraph </w:t>
      </w:r>
      <w:r>
        <w:t>with</w:t>
      </w:r>
      <w:r w:rsidR="002279AC">
        <w:t xml:space="preserve"> a verb</w:t>
      </w:r>
      <w:r>
        <w:t xml:space="preserve"> in the present indicative tense.</w:t>
      </w:r>
    </w:p>
  </w:comment>
  <w:comment w:id="5" w:author="Elizabeth.Lara" w:date="2004-09-17T10:51:00Z" w:initials="E">
    <w:p w14:paraId="3215A258" w14:textId="77777777" w:rsidR="00120144" w:rsidRDefault="00120144" w:rsidP="00BC7BF0">
      <w:pPr>
        <w:pStyle w:val="CommentText"/>
      </w:pPr>
      <w:r>
        <w:rPr>
          <w:rStyle w:val="CommentReference"/>
        </w:rPr>
        <w:annotationRef/>
      </w:r>
      <w:r>
        <w:t>Use semicolons at the end of each paragraph in the operative part</w:t>
      </w:r>
    </w:p>
  </w:comment>
  <w:comment w:id="6" w:author="Elizabeth.Lara" w:date="2004-09-16T16:37:00Z" w:initials="E">
    <w:p w14:paraId="0301D294" w14:textId="77777777" w:rsidR="00120144" w:rsidRDefault="00120144">
      <w:pPr>
        <w:pStyle w:val="CommentText"/>
      </w:pPr>
      <w:r>
        <w:rPr>
          <w:rStyle w:val="CommentReference"/>
        </w:rPr>
        <w:annotationRef/>
      </w:r>
      <w:r>
        <w:t>End the final operative paragraph with a full stop.</w:t>
      </w:r>
    </w:p>
  </w:comment>
  <w:comment w:id="7" w:author="Elizabeth.Lara" w:date="2004-09-16T16:39:00Z" w:initials="E">
    <w:p w14:paraId="77F82B9D" w14:textId="77777777" w:rsidR="00120144" w:rsidRDefault="00120144" w:rsidP="00E375AA">
      <w:pPr>
        <w:pStyle w:val="CommentText"/>
      </w:pPr>
      <w:r>
        <w:rPr>
          <w:rStyle w:val="CommentReference"/>
        </w:rPr>
        <w:annotationRef/>
      </w:r>
      <w:r>
        <w:t>Indicate the meeting at which the resolution was adopted and the date of adoption.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FC096B" w15:done="0"/>
  <w15:commentEx w15:paraId="3F02381F" w15:done="0"/>
  <w15:commentEx w15:paraId="532FC69E" w15:done="0"/>
  <w15:commentEx w15:paraId="6AE36E91" w15:done="0"/>
  <w15:commentEx w15:paraId="3215A258" w15:done="0"/>
  <w15:commentEx w15:paraId="0301D294" w15:done="0"/>
  <w15:commentEx w15:paraId="77F82B9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1C9A9" w14:textId="77777777" w:rsidR="00161D13" w:rsidRDefault="00161D13">
      <w:r>
        <w:separator/>
      </w:r>
    </w:p>
  </w:endnote>
  <w:endnote w:type="continuationSeparator" w:id="0">
    <w:p w14:paraId="5B84BE45" w14:textId="77777777" w:rsidR="00161D13" w:rsidRDefault="0016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1323C" w14:textId="77777777" w:rsidR="00120144" w:rsidRDefault="00120144">
    <w:pPr>
      <w:pStyle w:val="Footer"/>
      <w:framePr w:w="362" w:h="365" w:hRule="exact" w:wrap="around" w:vAnchor="text" w:hAnchor="page" w:x="1162" w:y="8"/>
      <w:rPr>
        <w:rStyle w:val="PageNumber"/>
        <w:b/>
        <w:sz w:val="18"/>
      </w:rPr>
    </w:pP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PAGE 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</w:p>
  <w:p w14:paraId="54E0D9EC" w14:textId="77777777" w:rsidR="00120144" w:rsidRDefault="0012014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9F2CE" w14:textId="77777777" w:rsidR="00120144" w:rsidRDefault="00120144">
    <w:pPr>
      <w:pStyle w:val="Footer"/>
      <w:spacing w:before="240"/>
      <w:jc w:val="right"/>
      <w:rPr>
        <w:b/>
        <w:bCs/>
        <w:sz w:val="18"/>
      </w:rPr>
    </w:pPr>
    <w:r>
      <w:rPr>
        <w:rStyle w:val="PageNumber"/>
        <w:b/>
        <w:bCs/>
        <w:sz w:val="18"/>
      </w:rPr>
      <w:fldChar w:fldCharType="begin"/>
    </w:r>
    <w:r>
      <w:rPr>
        <w:rStyle w:val="PageNumber"/>
        <w:b/>
        <w:bCs/>
        <w:sz w:val="18"/>
      </w:rPr>
      <w:instrText xml:space="preserve"> PAGE </w:instrText>
    </w:r>
    <w:r>
      <w:rPr>
        <w:rStyle w:val="PageNumber"/>
        <w:b/>
        <w:bCs/>
        <w:sz w:val="18"/>
      </w:rPr>
      <w:fldChar w:fldCharType="separate"/>
    </w:r>
    <w:r>
      <w:rPr>
        <w:rStyle w:val="PageNumber"/>
        <w:b/>
        <w:bCs/>
        <w:noProof/>
        <w:sz w:val="18"/>
      </w:rPr>
      <w:t>1</w:t>
    </w:r>
    <w:r>
      <w:rPr>
        <w:rStyle w:val="PageNumber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8977" w14:textId="77777777" w:rsidR="00120144" w:rsidRDefault="00120144" w:rsidP="00981DD9">
    <w:pPr>
      <w:pStyle w:val="Footer"/>
      <w:spacing w:before="240"/>
    </w:pPr>
    <w:r>
      <w:t>03 45543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A71F3" w14:textId="77777777" w:rsidR="00120144" w:rsidRDefault="00120144">
    <w:pPr>
      <w:pStyle w:val="Footer"/>
      <w:spacing w:before="240"/>
      <w:rPr>
        <w:b/>
        <w:bCs/>
        <w:sz w:val="18"/>
      </w:rPr>
    </w:pPr>
    <w:r>
      <w:rPr>
        <w:rStyle w:val="PageNumber"/>
        <w:b/>
        <w:bCs/>
        <w:sz w:val="18"/>
      </w:rPr>
      <w:fldChar w:fldCharType="begin"/>
    </w:r>
    <w:r>
      <w:rPr>
        <w:rStyle w:val="PageNumber"/>
        <w:b/>
        <w:bCs/>
        <w:sz w:val="18"/>
      </w:rPr>
      <w:instrText xml:space="preserve"> PAGE </w:instrText>
    </w:r>
    <w:r>
      <w:rPr>
        <w:rStyle w:val="PageNumber"/>
        <w:b/>
        <w:bCs/>
        <w:sz w:val="18"/>
      </w:rPr>
      <w:fldChar w:fldCharType="separate"/>
    </w:r>
    <w:r w:rsidR="002279AC">
      <w:rPr>
        <w:rStyle w:val="PageNumber"/>
        <w:b/>
        <w:bCs/>
        <w:noProof/>
        <w:sz w:val="18"/>
      </w:rPr>
      <w:t>2</w:t>
    </w:r>
    <w:r>
      <w:rPr>
        <w:rStyle w:val="PageNumber"/>
        <w:b/>
        <w:bCs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D040" w14:textId="77777777" w:rsidR="00120144" w:rsidRDefault="00120144">
    <w:pPr>
      <w:pStyle w:val="Footer"/>
      <w:spacing w:before="240"/>
      <w:jc w:val="right"/>
      <w:rPr>
        <w:b/>
        <w:bCs/>
        <w:sz w:val="18"/>
      </w:rPr>
    </w:pPr>
    <w:r>
      <w:rPr>
        <w:rStyle w:val="PageNumber"/>
        <w:b/>
        <w:bCs/>
        <w:sz w:val="18"/>
      </w:rPr>
      <w:fldChar w:fldCharType="begin"/>
    </w:r>
    <w:r>
      <w:rPr>
        <w:rStyle w:val="PageNumber"/>
        <w:b/>
        <w:bCs/>
        <w:sz w:val="18"/>
      </w:rPr>
      <w:instrText xml:space="preserve"> PAGE </w:instrText>
    </w:r>
    <w:r>
      <w:rPr>
        <w:rStyle w:val="PageNumber"/>
        <w:b/>
        <w:bCs/>
        <w:sz w:val="18"/>
      </w:rPr>
      <w:fldChar w:fldCharType="separate"/>
    </w:r>
    <w:r>
      <w:rPr>
        <w:rStyle w:val="PageNumber"/>
        <w:b/>
        <w:bCs/>
        <w:noProof/>
        <w:sz w:val="18"/>
      </w:rPr>
      <w:t>1</w:t>
    </w:r>
    <w:r>
      <w:rPr>
        <w:rStyle w:val="PageNumber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E9F90" w14:textId="77777777" w:rsidR="00161D13" w:rsidRDefault="00161D13">
      <w:r>
        <w:separator/>
      </w:r>
    </w:p>
  </w:footnote>
  <w:footnote w:type="continuationSeparator" w:id="0">
    <w:p w14:paraId="1C49B3E2" w14:textId="77777777" w:rsidR="00161D13" w:rsidRDefault="0016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350"/>
      <w:gridCol w:w="5220"/>
      <w:gridCol w:w="3330"/>
    </w:tblGrid>
    <w:tr w:rsidR="00120144" w14:paraId="3439056D" w14:textId="77777777">
      <w:tblPrEx>
        <w:tblCellMar>
          <w:top w:w="0" w:type="dxa"/>
          <w:bottom w:w="0" w:type="dxa"/>
        </w:tblCellMar>
      </w:tblPrEx>
      <w:trPr>
        <w:cantSplit/>
        <w:trHeight w:val="540"/>
      </w:trPr>
      <w:tc>
        <w:tcPr>
          <w:tcW w:w="1350" w:type="dxa"/>
          <w:tcBorders>
            <w:bottom w:val="single" w:sz="6" w:space="0" w:color="auto"/>
          </w:tcBorders>
        </w:tcPr>
        <w:p w14:paraId="08915835" w14:textId="77777777" w:rsidR="00120144" w:rsidRDefault="00120144">
          <w:pPr>
            <w:spacing w:before="240"/>
            <w:rPr>
              <w:sz w:val="22"/>
            </w:rPr>
          </w:pPr>
        </w:p>
      </w:tc>
      <w:tc>
        <w:tcPr>
          <w:tcW w:w="5220" w:type="dxa"/>
          <w:tcBorders>
            <w:bottom w:val="single" w:sz="6" w:space="0" w:color="auto"/>
          </w:tcBorders>
        </w:tcPr>
        <w:p w14:paraId="4AF1A891" w14:textId="77777777" w:rsidR="00120144" w:rsidRDefault="00120144">
          <w:pPr>
            <w:pStyle w:val="Heading2"/>
            <w:spacing w:before="240"/>
            <w:rPr>
              <w:sz w:val="28"/>
              <w:lang w:val="en-GB"/>
            </w:rPr>
          </w:pPr>
          <w:r>
            <w:rPr>
              <w:sz w:val="28"/>
              <w:lang w:val="en-GB"/>
            </w:rPr>
            <w:t>United Nations</w:t>
          </w:r>
        </w:p>
      </w:tc>
      <w:tc>
        <w:tcPr>
          <w:tcW w:w="3330" w:type="dxa"/>
          <w:tcBorders>
            <w:bottom w:val="single" w:sz="6" w:space="0" w:color="auto"/>
          </w:tcBorders>
        </w:tcPr>
        <w:p w14:paraId="33DCAF2C" w14:textId="77777777" w:rsidR="00120144" w:rsidRDefault="00120144">
          <w:pPr>
            <w:spacing w:before="120"/>
            <w:jc w:val="right"/>
            <w:rPr>
              <w:lang w:val="en-GB"/>
            </w:rPr>
          </w:pPr>
          <w:r>
            <w:rPr>
              <w:bCs/>
              <w:sz w:val="40"/>
              <w:lang w:val="en-GB"/>
            </w:rPr>
            <w:t>A</w:t>
          </w:r>
          <w:r>
            <w:rPr>
              <w:lang w:val="en-GB"/>
            </w:rPr>
            <w:t>/RES/58/42</w:t>
          </w:r>
        </w:p>
      </w:tc>
    </w:tr>
    <w:tr w:rsidR="00120144" w14:paraId="334C7799" w14:textId="77777777">
      <w:tblPrEx>
        <w:tblCellMar>
          <w:top w:w="0" w:type="dxa"/>
          <w:bottom w:w="0" w:type="dxa"/>
        </w:tblCellMar>
      </w:tblPrEx>
      <w:trPr>
        <w:trHeight w:val="1988"/>
      </w:trPr>
      <w:tc>
        <w:tcPr>
          <w:tcW w:w="1350" w:type="dxa"/>
          <w:tcBorders>
            <w:top w:val="single" w:sz="6" w:space="0" w:color="auto"/>
            <w:bottom w:val="single" w:sz="12" w:space="0" w:color="auto"/>
          </w:tcBorders>
          <w:vAlign w:val="center"/>
        </w:tcPr>
        <w:p w14:paraId="0A91E34B" w14:textId="77777777" w:rsidR="00120144" w:rsidRDefault="00120144">
          <w:pPr>
            <w:rPr>
              <w:lang w:val="en-GB"/>
            </w:rPr>
          </w:pPr>
          <w:r>
            <w:rPr>
              <w:lang w:val="en-GB"/>
            </w:rPr>
            <w:pict w14:anchorId="209241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6pt;height:49.2pt" fillcolor="window">
                <v:imagedata r:id="rId1" o:title="_unlogo"/>
              </v:shape>
            </w:pict>
          </w:r>
        </w:p>
      </w:tc>
      <w:tc>
        <w:tcPr>
          <w:tcW w:w="5220" w:type="dxa"/>
          <w:tcBorders>
            <w:top w:val="single" w:sz="6" w:space="0" w:color="auto"/>
            <w:bottom w:val="single" w:sz="12" w:space="0" w:color="auto"/>
          </w:tcBorders>
          <w:vAlign w:val="center"/>
        </w:tcPr>
        <w:p w14:paraId="19C96CAB" w14:textId="77777777" w:rsidR="00120144" w:rsidRDefault="00120144">
          <w:pPr>
            <w:pStyle w:val="Heading3"/>
            <w:rPr>
              <w:b/>
              <w:lang w:val="en-GB"/>
            </w:rPr>
          </w:pPr>
          <w:r>
            <w:rPr>
              <w:b/>
              <w:lang w:val="en-GB"/>
            </w:rPr>
            <w:t>General Assembly</w:t>
          </w:r>
        </w:p>
      </w:tc>
      <w:tc>
        <w:tcPr>
          <w:tcW w:w="3330" w:type="dxa"/>
          <w:tcBorders>
            <w:top w:val="single" w:sz="6" w:space="0" w:color="auto"/>
            <w:bottom w:val="single" w:sz="12" w:space="0" w:color="auto"/>
          </w:tcBorders>
          <w:vAlign w:val="center"/>
        </w:tcPr>
        <w:p w14:paraId="5F5AAD57" w14:textId="77777777" w:rsidR="00120144" w:rsidRDefault="00120144">
          <w:pPr>
            <w:jc w:val="right"/>
            <w:rPr>
              <w:lang w:val="en-GB"/>
            </w:rPr>
          </w:pPr>
          <w:r>
            <w:rPr>
              <w:lang w:val="en-GB"/>
            </w:rPr>
            <w:t>Distr.: General</w:t>
          </w:r>
        </w:p>
        <w:p w14:paraId="34B8DEEA" w14:textId="77777777" w:rsidR="00120144" w:rsidRDefault="00120144">
          <w:pPr>
            <w:jc w:val="right"/>
            <w:rPr>
              <w:lang w:val="en-GB"/>
            </w:rPr>
          </w:pPr>
          <w:smartTag w:uri="urn:schemas-microsoft-com:office:smarttags" w:element="date">
            <w:smartTagPr>
              <w:attr w:name="Month" w:val="12"/>
              <w:attr w:name="Day" w:val="17"/>
              <w:attr w:name="Year" w:val="2003"/>
            </w:smartTagPr>
            <w:r>
              <w:rPr>
                <w:lang w:val="en-GB"/>
              </w:rPr>
              <w:t>17 December 2003</w:t>
            </w:r>
          </w:smartTag>
        </w:p>
      </w:tc>
    </w:tr>
    <w:tr w:rsidR="00120144" w14:paraId="5F3B0381" w14:textId="77777777">
      <w:tblPrEx>
        <w:tblCellMar>
          <w:top w:w="0" w:type="dxa"/>
          <w:bottom w:w="0" w:type="dxa"/>
        </w:tblCellMar>
      </w:tblPrEx>
      <w:trPr>
        <w:cantSplit/>
        <w:trHeight w:val="542"/>
      </w:trPr>
      <w:tc>
        <w:tcPr>
          <w:tcW w:w="9900" w:type="dxa"/>
          <w:gridSpan w:val="3"/>
          <w:tcBorders>
            <w:top w:val="single" w:sz="12" w:space="0" w:color="auto"/>
          </w:tcBorders>
          <w:vAlign w:val="bottom"/>
        </w:tcPr>
        <w:p w14:paraId="1794F217" w14:textId="77777777" w:rsidR="00120144" w:rsidRDefault="00120144" w:rsidP="00981DD9">
          <w:pPr>
            <w:pStyle w:val="Heading4"/>
            <w:rPr>
              <w:sz w:val="20"/>
              <w:lang w:val="en-GB"/>
            </w:rPr>
          </w:pPr>
          <w:r>
            <w:rPr>
              <w:sz w:val="20"/>
              <w:lang w:val="en-GB"/>
            </w:rPr>
            <w:t>Fifty-eighth session</w:t>
          </w:r>
        </w:p>
        <w:p w14:paraId="48181719" w14:textId="77777777" w:rsidR="00120144" w:rsidRDefault="00120144">
          <w:pPr>
            <w:rPr>
              <w:lang w:val="en-GB"/>
            </w:rPr>
          </w:pPr>
          <w:r>
            <w:rPr>
              <w:lang w:val="en-GB"/>
            </w:rPr>
            <w:t>Agenda item 73 (</w:t>
          </w:r>
          <w:r w:rsidRPr="009A46D4">
            <w:rPr>
              <w:i/>
              <w:iCs/>
              <w:lang w:val="en-GB"/>
            </w:rPr>
            <w:t>i</w:t>
          </w:r>
          <w:r>
            <w:rPr>
              <w:lang w:val="en-GB"/>
            </w:rPr>
            <w:t>)</w:t>
          </w:r>
        </w:p>
      </w:tc>
    </w:tr>
  </w:tbl>
  <w:p w14:paraId="76025B81" w14:textId="77777777" w:rsidR="00120144" w:rsidRDefault="00120144">
    <w:pPr>
      <w:pStyle w:val="Header"/>
      <w:rPr>
        <w:sz w:val="16"/>
        <w:vertAlign w:val="superscript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5DCEB" w14:textId="77777777" w:rsidR="00120144" w:rsidRDefault="00120144" w:rsidP="00981DD9">
    <w:pPr>
      <w:pStyle w:val="Header"/>
      <w:spacing w:before="360"/>
      <w:rPr>
        <w:b/>
        <w:sz w:val="18"/>
      </w:rPr>
    </w:pPr>
    <w:r>
      <w:rPr>
        <w:b/>
        <w:noProof/>
      </w:rPr>
      <w:pict w14:anchorId="25DEE104">
        <v:line id="_x0000_s2051" style="position:absolute;z-index:1;mso-position-horizontal:center" from="0,30.25pt" to="492.5pt,30.25pt">
          <w10:wrap type="topAndBottom"/>
        </v:line>
      </w:pict>
    </w:r>
    <w:r>
      <w:rPr>
        <w:b/>
        <w:sz w:val="18"/>
      </w:rPr>
      <w:t>A/RES/58/42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5B24" w14:textId="77777777" w:rsidR="00120144" w:rsidRDefault="00120144" w:rsidP="00981DD9">
    <w:pPr>
      <w:pStyle w:val="Header"/>
      <w:spacing w:before="360"/>
      <w:jc w:val="right"/>
      <w:rPr>
        <w:b/>
        <w:sz w:val="18"/>
      </w:rPr>
    </w:pPr>
    <w:r>
      <w:rPr>
        <w:b/>
        <w:noProof/>
      </w:rPr>
      <w:pict w14:anchorId="726B0DF9">
        <v:line id="_x0000_s2053" style="position:absolute;left:0;text-align:left;z-index:2;mso-position-horizontal:center" from="0,30.25pt" to="492.5pt,30.25pt">
          <w10:wrap type="topAndBottom"/>
        </v:line>
      </w:pict>
    </w:r>
    <w:r>
      <w:rPr>
        <w:b/>
        <w:sz w:val="18"/>
      </w:rPr>
      <w:t>A/RES/58/42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3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41D"/>
    <w:rsid w:val="00120144"/>
    <w:rsid w:val="00161D13"/>
    <w:rsid w:val="002279AC"/>
    <w:rsid w:val="0024748F"/>
    <w:rsid w:val="00284D09"/>
    <w:rsid w:val="0035160D"/>
    <w:rsid w:val="00536F7C"/>
    <w:rsid w:val="00692379"/>
    <w:rsid w:val="006B0D33"/>
    <w:rsid w:val="006C23C3"/>
    <w:rsid w:val="00740566"/>
    <w:rsid w:val="00752B38"/>
    <w:rsid w:val="007A41CA"/>
    <w:rsid w:val="00850307"/>
    <w:rsid w:val="008C6E9A"/>
    <w:rsid w:val="009313EE"/>
    <w:rsid w:val="00981DD9"/>
    <w:rsid w:val="009A46D4"/>
    <w:rsid w:val="00B2441D"/>
    <w:rsid w:val="00B64C1E"/>
    <w:rsid w:val="00B9237E"/>
    <w:rsid w:val="00BC7BF0"/>
    <w:rsid w:val="00BD569D"/>
    <w:rsid w:val="00C071C9"/>
    <w:rsid w:val="00D2375B"/>
    <w:rsid w:val="00D856AC"/>
    <w:rsid w:val="00E375AA"/>
    <w:rsid w:val="00E53951"/>
    <w:rsid w:val="00F242A4"/>
    <w:rsid w:val="00F56E84"/>
    <w:rsid w:val="00FB20F6"/>
    <w:rsid w:val="00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4"/>
    <o:shapelayout v:ext="edit">
      <o:idmap v:ext="edit" data="1"/>
    </o:shapelayout>
  </w:shapeDefaults>
  <w:decimalSymbol w:val="."/>
  <w:listSeparator w:val=","/>
  <w14:docId w14:val="03A064D7"/>
  <w15:chartTrackingRefBased/>
  <w15:docId w15:val="{CF0C0FB7-7266-4168-B3F2-B7B63F1C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fr-F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customStyle="1" w:styleId="SingleTxt">
    <w:name w:val="__Single Txt"/>
    <w:basedOn w:val="Normal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spacing w:val="4"/>
      <w:w w:val="103"/>
      <w:kern w:val="14"/>
      <w:lang w:val="fr-CA"/>
    </w:rPr>
  </w:style>
  <w:style w:type="paragraph" w:styleId="BalloonText">
    <w:name w:val="Balloon Text"/>
    <w:basedOn w:val="Normal"/>
    <w:semiHidden/>
    <w:rsid w:val="00B2441D"/>
    <w:rPr>
      <w:rFonts w:ascii="Tahoma" w:hAnsi="Tahoma" w:cs="Tahoma"/>
      <w:sz w:val="16"/>
      <w:szCs w:val="16"/>
    </w:rPr>
  </w:style>
  <w:style w:type="paragraph" w:customStyle="1" w:styleId="H1">
    <w:name w:val="_ H_1"/>
    <w:basedOn w:val="Normal"/>
    <w:next w:val="SingleTxt"/>
    <w:rsid w:val="00B9237E"/>
    <w:pPr>
      <w:keepNext/>
      <w:keepLines/>
      <w:suppressAutoHyphens/>
      <w:spacing w:line="270" w:lineRule="exact"/>
      <w:outlineLvl w:val="0"/>
    </w:pPr>
    <w:rPr>
      <w:b/>
      <w:bCs/>
      <w:spacing w:val="4"/>
      <w:w w:val="103"/>
      <w:kern w:val="14"/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semiHidden/>
    <w:rsid w:val="00FB2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comments" Target="comments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-RES-5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E-RES-58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</vt:lpstr>
    </vt:vector>
  </TitlesOfParts>
  <Company>United Nations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</dc:title>
  <dc:subject/>
  <dc:creator>Geert.Martens</dc:creator>
  <cp:keywords/>
  <cp:lastModifiedBy>Vic David</cp:lastModifiedBy>
  <cp:revision>2</cp:revision>
  <cp:lastPrinted>2003-12-11T15:36:00Z</cp:lastPrinted>
  <dcterms:created xsi:type="dcterms:W3CDTF">2020-12-23T15:31:00Z</dcterms:created>
  <dcterms:modified xsi:type="dcterms:W3CDTF">2020-12-23T15:31:00Z</dcterms:modified>
</cp:coreProperties>
</file>