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1851D" w14:textId="77777777" w:rsidR="00566D6C" w:rsidRPr="00566D6C" w:rsidRDefault="00566D6C" w:rsidP="00566D6C">
      <w:pPr>
        <w:jc w:val="center"/>
        <w:rPr>
          <w:b/>
          <w:bCs/>
          <w:sz w:val="24"/>
          <w:szCs w:val="24"/>
        </w:rPr>
      </w:pPr>
      <w:r w:rsidRPr="00566D6C">
        <w:rPr>
          <w:b/>
          <w:bCs/>
          <w:sz w:val="24"/>
          <w:szCs w:val="24"/>
        </w:rPr>
        <w:t xml:space="preserve">Submission of proposals </w:t>
      </w:r>
      <w:r w:rsidR="00F96F76">
        <w:rPr>
          <w:b/>
          <w:bCs/>
          <w:sz w:val="24"/>
          <w:szCs w:val="24"/>
        </w:rPr>
        <w:t xml:space="preserve">related to the Further revised draft text </w:t>
      </w:r>
      <w:r w:rsidR="00F96F76" w:rsidRPr="00F96F76">
        <w:rPr>
          <w:b/>
          <w:bCs/>
          <w:sz w:val="24"/>
          <w:szCs w:val="24"/>
        </w:rPr>
        <w:t>of an agreement under the United Nations Convention on the Law of the Sea on the conservation and sustainable use of marine biological diversity of areas beyond national jurisdiction</w:t>
      </w:r>
    </w:p>
    <w:p w14:paraId="5BAC762F" w14:textId="77777777" w:rsidR="00566D6C" w:rsidRPr="00566D6C" w:rsidRDefault="00566D6C" w:rsidP="00566D6C">
      <w:pPr>
        <w:jc w:val="center"/>
        <w:rPr>
          <w:b/>
          <w:bCs/>
          <w:sz w:val="24"/>
          <w:szCs w:val="24"/>
          <w:u w:val="single"/>
        </w:rPr>
      </w:pPr>
      <w:r w:rsidRPr="00566D6C">
        <w:rPr>
          <w:b/>
          <w:bCs/>
          <w:sz w:val="24"/>
          <w:szCs w:val="24"/>
          <w:u w:val="single"/>
        </w:rPr>
        <w:t>Template</w:t>
      </w:r>
    </w:p>
    <w:p w14:paraId="023EE250" w14:textId="77777777" w:rsidR="00CC79E5" w:rsidRPr="00566D6C" w:rsidRDefault="001C0333" w:rsidP="00004872">
      <w:pPr>
        <w:rPr>
          <w:i/>
          <w:iCs/>
          <w:sz w:val="24"/>
          <w:szCs w:val="24"/>
        </w:rPr>
      </w:pPr>
      <w:r w:rsidRPr="00566D6C">
        <w:rPr>
          <w:i/>
          <w:iCs/>
          <w:sz w:val="24"/>
          <w:szCs w:val="24"/>
        </w:rPr>
        <w:t>Please fill out one form for each article which your delegation(s) or group(s) wish(es) to propose, amend or delete.</w:t>
      </w:r>
    </w:p>
    <w:p w14:paraId="417CC67E" w14:textId="77777777" w:rsidR="0026298B" w:rsidRPr="00566D6C" w:rsidRDefault="0026298B" w:rsidP="00205178">
      <w:pPr>
        <w:pStyle w:val="ListParagraph"/>
        <w:rPr>
          <w:sz w:val="24"/>
          <w:szCs w:val="24"/>
        </w:rPr>
      </w:pPr>
    </w:p>
    <w:p w14:paraId="6AD7A8CA" w14:textId="77777777" w:rsidR="003A15E6" w:rsidRPr="009050FF" w:rsidRDefault="00497828" w:rsidP="003A15E6">
      <w:pPr>
        <w:pStyle w:val="ListParagraph"/>
        <w:numPr>
          <w:ilvl w:val="0"/>
          <w:numId w:val="1"/>
        </w:numPr>
        <w:rPr>
          <w:b/>
          <w:bCs/>
          <w:sz w:val="24"/>
          <w:szCs w:val="24"/>
        </w:rPr>
      </w:pPr>
      <w:r w:rsidRPr="009050FF">
        <w:rPr>
          <w:b/>
          <w:bCs/>
          <w:sz w:val="24"/>
          <w:szCs w:val="24"/>
        </w:rPr>
        <w:t xml:space="preserve">Name(s) of Delegation(s) </w:t>
      </w:r>
      <w:r w:rsidR="001C0333" w:rsidRPr="009050FF">
        <w:rPr>
          <w:b/>
          <w:bCs/>
          <w:sz w:val="24"/>
          <w:szCs w:val="24"/>
        </w:rPr>
        <w:t xml:space="preserve">and/or </w:t>
      </w:r>
      <w:r w:rsidR="0026298B" w:rsidRPr="009050FF">
        <w:rPr>
          <w:b/>
          <w:bCs/>
          <w:sz w:val="24"/>
          <w:szCs w:val="24"/>
        </w:rPr>
        <w:t>Group</w:t>
      </w:r>
      <w:r w:rsidR="001C0333" w:rsidRPr="009050FF">
        <w:rPr>
          <w:b/>
          <w:bCs/>
          <w:sz w:val="24"/>
          <w:szCs w:val="24"/>
        </w:rPr>
        <w:t xml:space="preserve">(s) </w:t>
      </w:r>
      <w:r w:rsidRPr="009050FF">
        <w:rPr>
          <w:b/>
          <w:bCs/>
          <w:sz w:val="24"/>
          <w:szCs w:val="24"/>
        </w:rPr>
        <w:t xml:space="preserve">making </w:t>
      </w:r>
      <w:r w:rsidR="0026298B" w:rsidRPr="009050FF">
        <w:rPr>
          <w:b/>
          <w:bCs/>
          <w:sz w:val="24"/>
          <w:szCs w:val="24"/>
        </w:rPr>
        <w:t xml:space="preserve">the </w:t>
      </w:r>
      <w:r w:rsidR="001C0333" w:rsidRPr="009050FF">
        <w:rPr>
          <w:b/>
          <w:bCs/>
          <w:sz w:val="24"/>
          <w:szCs w:val="24"/>
        </w:rPr>
        <w:t>proposal</w:t>
      </w:r>
      <w:r w:rsidR="00D250EA">
        <w:rPr>
          <w:b/>
          <w:bCs/>
          <w:sz w:val="24"/>
          <w:szCs w:val="24"/>
        </w:rPr>
        <w:t xml:space="preserve"> in the order that </w:t>
      </w:r>
      <w:r w:rsidR="009B4603">
        <w:rPr>
          <w:b/>
          <w:bCs/>
          <w:sz w:val="24"/>
          <w:szCs w:val="24"/>
        </w:rPr>
        <w:t>they should be listed in</w:t>
      </w:r>
      <w:r w:rsidR="008A1E51">
        <w:rPr>
          <w:b/>
          <w:bCs/>
          <w:sz w:val="24"/>
          <w:szCs w:val="24"/>
        </w:rPr>
        <w:t xml:space="preserve"> any conference room papers or other documents</w:t>
      </w:r>
      <w:r w:rsidRPr="009050FF">
        <w:rPr>
          <w:b/>
          <w:bCs/>
          <w:sz w:val="24"/>
          <w:szCs w:val="24"/>
        </w:rPr>
        <w:t xml:space="preserve">: </w:t>
      </w:r>
    </w:p>
    <w:p w14:paraId="6E733621" w14:textId="77777777" w:rsidR="003A15E6" w:rsidRPr="00566D6C" w:rsidRDefault="003A15E6" w:rsidP="003A15E6">
      <w:pPr>
        <w:pStyle w:val="ListParagraph"/>
        <w:rPr>
          <w:sz w:val="24"/>
          <w:szCs w:val="24"/>
        </w:rPr>
      </w:pPr>
    </w:p>
    <w:p w14:paraId="54F08DCB" w14:textId="4B9FC2F6" w:rsidR="00CC79E5" w:rsidRPr="00C14032" w:rsidRDefault="00616BD5" w:rsidP="00C14032">
      <w:pPr>
        <w:pStyle w:val="ListParagraph"/>
        <w:rPr>
          <w:sz w:val="24"/>
          <w:szCs w:val="24"/>
        </w:rPr>
      </w:pPr>
      <w:r>
        <w:rPr>
          <w:sz w:val="24"/>
          <w:szCs w:val="24"/>
        </w:rPr>
        <w:t xml:space="preserve">The </w:t>
      </w:r>
      <w:r w:rsidR="00CE5E0A">
        <w:rPr>
          <w:sz w:val="24"/>
          <w:szCs w:val="24"/>
        </w:rPr>
        <w:t>G</w:t>
      </w:r>
      <w:r>
        <w:rPr>
          <w:sz w:val="24"/>
          <w:szCs w:val="24"/>
        </w:rPr>
        <w:t xml:space="preserve">roup of </w:t>
      </w:r>
      <w:r w:rsidR="00CE5E0A">
        <w:rPr>
          <w:sz w:val="24"/>
          <w:szCs w:val="24"/>
        </w:rPr>
        <w:t>77 and China</w:t>
      </w:r>
    </w:p>
    <w:p w14:paraId="2B7C7DB0" w14:textId="77777777" w:rsidR="003A15E6" w:rsidRPr="009050FF" w:rsidRDefault="003A15E6" w:rsidP="00D2081F">
      <w:pPr>
        <w:rPr>
          <w:b/>
          <w:bCs/>
          <w:sz w:val="24"/>
          <w:szCs w:val="24"/>
        </w:rPr>
      </w:pPr>
    </w:p>
    <w:p w14:paraId="61EE93B7" w14:textId="77777777" w:rsidR="00C27446" w:rsidRPr="009050FF" w:rsidRDefault="001C0333" w:rsidP="003A15E6">
      <w:pPr>
        <w:pStyle w:val="ListParagraph"/>
        <w:numPr>
          <w:ilvl w:val="0"/>
          <w:numId w:val="1"/>
        </w:numPr>
        <w:rPr>
          <w:b/>
          <w:bCs/>
          <w:sz w:val="24"/>
          <w:szCs w:val="24"/>
        </w:rPr>
      </w:pPr>
      <w:r w:rsidRPr="009050FF">
        <w:rPr>
          <w:b/>
          <w:bCs/>
          <w:sz w:val="24"/>
          <w:szCs w:val="24"/>
        </w:rPr>
        <w:t>Please indicate the r</w:t>
      </w:r>
      <w:r w:rsidR="00497828" w:rsidRPr="009050FF">
        <w:rPr>
          <w:b/>
          <w:bCs/>
          <w:sz w:val="24"/>
          <w:szCs w:val="24"/>
        </w:rPr>
        <w:t xml:space="preserve">elevant part of the </w:t>
      </w:r>
      <w:r w:rsidR="00025361">
        <w:rPr>
          <w:b/>
          <w:bCs/>
          <w:sz w:val="24"/>
          <w:szCs w:val="24"/>
        </w:rPr>
        <w:t>Further r</w:t>
      </w:r>
      <w:r w:rsidR="00497828" w:rsidRPr="009050FF">
        <w:rPr>
          <w:b/>
          <w:bCs/>
          <w:sz w:val="24"/>
          <w:szCs w:val="24"/>
        </w:rPr>
        <w:t xml:space="preserve">evised draft text </w:t>
      </w:r>
      <w:r w:rsidR="00B7337B" w:rsidRPr="00B7337B">
        <w:rPr>
          <w:b/>
          <w:bCs/>
          <w:sz w:val="24"/>
          <w:szCs w:val="24"/>
        </w:rPr>
        <w:t>(as reflected in A/CONF.232/2022/5)</w:t>
      </w:r>
      <w:r w:rsidR="00B7337B">
        <w:rPr>
          <w:b/>
          <w:bCs/>
          <w:sz w:val="24"/>
          <w:szCs w:val="24"/>
        </w:rPr>
        <w:t xml:space="preserve"> </w:t>
      </w:r>
      <w:r w:rsidR="00497828" w:rsidRPr="009050FF">
        <w:rPr>
          <w:b/>
          <w:bCs/>
          <w:sz w:val="24"/>
          <w:szCs w:val="24"/>
        </w:rPr>
        <w:t>that this proposal relates to</w:t>
      </w:r>
      <w:r w:rsidR="00B90F9F">
        <w:rPr>
          <w:b/>
          <w:bCs/>
          <w:sz w:val="24"/>
          <w:szCs w:val="24"/>
        </w:rPr>
        <w:t>, using the drop-down menu below</w:t>
      </w:r>
      <w:r w:rsidR="00C27446" w:rsidRPr="009050FF">
        <w:rPr>
          <w:b/>
          <w:bCs/>
          <w:sz w:val="24"/>
          <w:szCs w:val="24"/>
        </w:rPr>
        <w:t>.</w:t>
      </w:r>
      <w:r w:rsidR="00497828" w:rsidRPr="009050FF">
        <w:rPr>
          <w:b/>
          <w:bCs/>
          <w:sz w:val="24"/>
          <w:szCs w:val="24"/>
        </w:rPr>
        <w:t xml:space="preserve"> </w:t>
      </w:r>
    </w:p>
    <w:p w14:paraId="18A5B7F6" w14:textId="6E7EA9D8" w:rsidR="00CC79E5" w:rsidRPr="00566D6C" w:rsidRDefault="00000000" w:rsidP="00C27446">
      <w:pPr>
        <w:ind w:left="720"/>
        <w:rPr>
          <w:sz w:val="24"/>
          <w:szCs w:val="24"/>
        </w:rPr>
      </w:pPr>
      <w:sdt>
        <w:sdtPr>
          <w:rPr>
            <w:sz w:val="24"/>
            <w:szCs w:val="24"/>
          </w:rPr>
          <w:id w:val="1083028168"/>
          <w:lock w:val="sdtLocked"/>
          <w:placeholder>
            <w:docPart w:val="5AA0591931CD4701BEDE82056BFDAD1A"/>
          </w:placeholder>
          <w:dropDownList>
            <w:listItem w:value="Choose an item."/>
            <w:listItem w:displayText="Preamble" w:value="Preamble"/>
            <w:listItem w:displayText="PART I GENERAL PROVISIONS" w:value="PART I GENERAL PROVISIONS"/>
            <w:listItem w:displayText="PART II MARINE GENETIC RESOURCES, INCLUDING QUESTIONS ON THE SHARING OF BENEFITS" w:value="PART II MARINE GENETIC RESOURCES, INCLUDING QUESTIONS ON THE SHARING OF BENEFITS"/>
            <w:listItem w:displayText="PART III MEASURES SUCH AS AREA-BASED MANAGEMENT TOOLS, INCLUDING MARINE PROTECTED AREAS" w:value="PART III MEASURES SUCH AS AREA-BASED MANAGEMENT TOOLS, INCLUDING MARINE PROTECTED AREAS"/>
            <w:listItem w:displayText="PART IV ENVIRONMENTAL IMPACT ASSESSMENTS" w:value="PART IV ENVIRONMENTAL IMPACT ASSESSMENTS"/>
            <w:listItem w:displayText="PART V CAPACITY-BUILDING AND TRANSFER OF MARINE TECHNOLOGY" w:value="PART V CAPACITY-BUILDING AND TRANSFER OF MARINE TECHNOLOGY"/>
            <w:listItem w:displayText="PART VI INSTITUTIONAL ARRANGEMENTS" w:value="PART VI INSTITUTIONAL ARRANGEMENTS"/>
            <w:listItem w:displayText="PART VII FINANCIAL RESOURCES AND MECHANISM" w:value="PART VII FINANCIAL RESOURCES AND MECHANISM"/>
            <w:listItem w:displayText="PART VIII IMPLEMENTATION AND COMPLIANCE" w:value="PART VIII IMPLEMENTATION AND COMPLIANCE"/>
            <w:listItem w:displayText="PART IX SETTLEMENT OF DISPUTES AND ADVISORY OPINIONS" w:value="PART IX SETTLEMENT OF DISPUTES AND ADVISORY OPINIONS"/>
            <w:listItem w:displayText="PART X NON-PARTIES TO THIS AGREEMENT" w:value="PART X NON-PARTIES TO THIS AGREEMENT"/>
            <w:listItem w:displayText="PART XI GOOD FAITH AND ABUSE OF RIGHTS" w:value="PART XI GOOD FAITH AND ABUSE OF RIGHTS"/>
            <w:listItem w:displayText="PART XII FINAL PROVISIONS" w:value="PART XII FINAL PROVISIONS"/>
            <w:listItem w:displayText="ANNEX I Indicative criteria for identification of areas" w:value="ANNEX I Indicative criteria for identification of areas"/>
          </w:dropDownList>
        </w:sdtPr>
        <w:sdtContent>
          <w:r w:rsidR="00CC7534">
            <w:rPr>
              <w:sz w:val="24"/>
              <w:szCs w:val="24"/>
            </w:rPr>
            <w:t>PART VI INSTITUTIONAL ARRANGEMENTS</w:t>
          </w:r>
        </w:sdtContent>
      </w:sdt>
    </w:p>
    <w:p w14:paraId="288F2219" w14:textId="77777777" w:rsidR="003A15E6" w:rsidRPr="00566D6C" w:rsidRDefault="003A15E6" w:rsidP="00C27446">
      <w:pPr>
        <w:ind w:left="720"/>
        <w:rPr>
          <w:sz w:val="24"/>
          <w:szCs w:val="24"/>
        </w:rPr>
      </w:pPr>
    </w:p>
    <w:p w14:paraId="161BE8BC" w14:textId="77777777" w:rsidR="00C27446" w:rsidRPr="009050FF" w:rsidRDefault="00C27446" w:rsidP="003A15E6">
      <w:pPr>
        <w:pStyle w:val="ListParagraph"/>
        <w:numPr>
          <w:ilvl w:val="0"/>
          <w:numId w:val="1"/>
        </w:numPr>
        <w:rPr>
          <w:b/>
          <w:bCs/>
          <w:sz w:val="24"/>
          <w:szCs w:val="24"/>
        </w:rPr>
      </w:pPr>
      <w:r w:rsidRPr="009050FF">
        <w:rPr>
          <w:b/>
          <w:bCs/>
          <w:sz w:val="24"/>
          <w:szCs w:val="24"/>
        </w:rPr>
        <w:t>Please indicate the r</w:t>
      </w:r>
      <w:r w:rsidR="00497828" w:rsidRPr="009050FF">
        <w:rPr>
          <w:b/>
          <w:bCs/>
          <w:sz w:val="24"/>
          <w:szCs w:val="24"/>
        </w:rPr>
        <w:t>elevant article</w:t>
      </w:r>
      <w:r w:rsidRPr="009050FF">
        <w:rPr>
          <w:b/>
          <w:bCs/>
          <w:sz w:val="24"/>
          <w:szCs w:val="24"/>
        </w:rPr>
        <w:t xml:space="preserve"> </w:t>
      </w:r>
      <w:r w:rsidR="0026298B" w:rsidRPr="009050FF">
        <w:rPr>
          <w:b/>
          <w:bCs/>
          <w:sz w:val="24"/>
          <w:szCs w:val="24"/>
        </w:rPr>
        <w:t xml:space="preserve">of the </w:t>
      </w:r>
      <w:r w:rsidR="00025361">
        <w:rPr>
          <w:b/>
          <w:bCs/>
          <w:sz w:val="24"/>
          <w:szCs w:val="24"/>
        </w:rPr>
        <w:t>Further r</w:t>
      </w:r>
      <w:r w:rsidR="0026298B" w:rsidRPr="009050FF">
        <w:rPr>
          <w:b/>
          <w:bCs/>
          <w:sz w:val="24"/>
          <w:szCs w:val="24"/>
        </w:rPr>
        <w:t>evised draft text</w:t>
      </w:r>
      <w:r w:rsidR="00B7337B">
        <w:rPr>
          <w:b/>
          <w:bCs/>
          <w:sz w:val="24"/>
          <w:szCs w:val="24"/>
        </w:rPr>
        <w:t xml:space="preserve"> </w:t>
      </w:r>
      <w:r w:rsidR="00B7337B" w:rsidRPr="00B7337B">
        <w:rPr>
          <w:b/>
          <w:bCs/>
          <w:sz w:val="24"/>
          <w:szCs w:val="24"/>
        </w:rPr>
        <w:t>(as reflected in A/CONF.232/2022/5</w:t>
      </w:r>
      <w:r>
        <w:fldChar w:fldCharType="begin"/>
      </w:r>
      <w:r>
        <w:instrText xml:space="preserve"> NOTEREF _Ref105426822 \h  \* MERGEFORMAT </w:instrText>
      </w:r>
      <w:r>
        <w:fldChar w:fldCharType="separate"/>
      </w:r>
      <w:r w:rsidR="0081199B" w:rsidRPr="00A44E96">
        <w:t>1</w:t>
      </w:r>
      <w:r>
        <w:fldChar w:fldCharType="end"/>
      </w:r>
      <w:r w:rsidR="00B7337B" w:rsidRPr="00B7337B">
        <w:rPr>
          <w:b/>
          <w:bCs/>
          <w:sz w:val="24"/>
          <w:szCs w:val="24"/>
        </w:rPr>
        <w:t>)</w:t>
      </w:r>
      <w:r w:rsidR="0026298B" w:rsidRPr="009050FF">
        <w:rPr>
          <w:b/>
          <w:bCs/>
          <w:sz w:val="24"/>
          <w:szCs w:val="24"/>
        </w:rPr>
        <w:t xml:space="preserve"> </w:t>
      </w:r>
      <w:r w:rsidRPr="009050FF">
        <w:rPr>
          <w:b/>
          <w:bCs/>
          <w:sz w:val="24"/>
          <w:szCs w:val="24"/>
        </w:rPr>
        <w:t>that this proposal relates to</w:t>
      </w:r>
      <w:r w:rsidR="00497828" w:rsidRPr="009050FF">
        <w:rPr>
          <w:b/>
          <w:bCs/>
          <w:sz w:val="24"/>
          <w:szCs w:val="24"/>
        </w:rPr>
        <w:t xml:space="preserve"> (if applicable) </w:t>
      </w:r>
      <w:r w:rsidR="0026298B" w:rsidRPr="009050FF">
        <w:rPr>
          <w:b/>
          <w:bCs/>
          <w:sz w:val="24"/>
          <w:szCs w:val="24"/>
        </w:rPr>
        <w:t>or indicate if this is a proposal for an additional article</w:t>
      </w:r>
    </w:p>
    <w:p w14:paraId="47BC2AFF" w14:textId="4E690441" w:rsidR="00CC79E5" w:rsidRPr="00566D6C" w:rsidRDefault="00000000" w:rsidP="00C27446">
      <w:pPr>
        <w:ind w:firstLine="720"/>
        <w:rPr>
          <w:sz w:val="24"/>
          <w:szCs w:val="24"/>
        </w:rPr>
      </w:pPr>
      <w:sdt>
        <w:sdtPr>
          <w:rPr>
            <w:sz w:val="24"/>
            <w:szCs w:val="24"/>
          </w:rPr>
          <w:id w:val="-1525004042"/>
          <w:placeholder>
            <w:docPart w:val="7191DF0058134A52A397DC19668F98D4"/>
          </w:placeholder>
          <w:text/>
        </w:sdtPr>
        <w:sdtContent>
          <w:r w:rsidR="00CC7534">
            <w:rPr>
              <w:sz w:val="24"/>
              <w:szCs w:val="24"/>
            </w:rPr>
            <w:t xml:space="preserve">Article </w:t>
          </w:r>
          <w:r w:rsidR="004D4F2A">
            <w:rPr>
              <w:sz w:val="24"/>
              <w:szCs w:val="24"/>
            </w:rPr>
            <w:t>5</w:t>
          </w:r>
          <w:r w:rsidR="00646818">
            <w:rPr>
              <w:sz w:val="24"/>
              <w:szCs w:val="24"/>
            </w:rPr>
            <w:t>1</w:t>
          </w:r>
          <w:r w:rsidR="00CC7534">
            <w:rPr>
              <w:sz w:val="24"/>
              <w:szCs w:val="24"/>
            </w:rPr>
            <w:t xml:space="preserve"> (</w:t>
          </w:r>
          <w:r w:rsidR="00646818">
            <w:rPr>
              <w:sz w:val="24"/>
              <w:szCs w:val="24"/>
            </w:rPr>
            <w:t>3</w:t>
          </w:r>
          <w:r w:rsidR="00CC7534">
            <w:rPr>
              <w:sz w:val="24"/>
              <w:szCs w:val="24"/>
            </w:rPr>
            <w:t>)</w:t>
          </w:r>
        </w:sdtContent>
      </w:sdt>
    </w:p>
    <w:p w14:paraId="18CA430B" w14:textId="77777777" w:rsidR="00C27446" w:rsidRPr="00566D6C" w:rsidRDefault="00C27446" w:rsidP="00AC503A">
      <w:pPr>
        <w:rPr>
          <w:sz w:val="24"/>
          <w:szCs w:val="24"/>
        </w:rPr>
      </w:pPr>
    </w:p>
    <w:p w14:paraId="227ABEA3" w14:textId="7DF2A2E9" w:rsidR="00C27446" w:rsidRDefault="00C27446" w:rsidP="003A15E6">
      <w:pPr>
        <w:pStyle w:val="ListParagraph"/>
        <w:numPr>
          <w:ilvl w:val="0"/>
          <w:numId w:val="1"/>
        </w:numPr>
        <w:rPr>
          <w:b/>
          <w:bCs/>
          <w:sz w:val="24"/>
          <w:szCs w:val="24"/>
        </w:rPr>
      </w:pPr>
      <w:r w:rsidRPr="009050FF">
        <w:rPr>
          <w:b/>
          <w:bCs/>
          <w:sz w:val="24"/>
          <w:szCs w:val="24"/>
        </w:rPr>
        <w:t xml:space="preserve">Kindly provide the amendments to the article that are being proposed in the text box below, </w:t>
      </w:r>
      <w:r w:rsidRPr="00B90F9F">
        <w:rPr>
          <w:b/>
          <w:bCs/>
          <w:sz w:val="24"/>
          <w:szCs w:val="24"/>
          <w:u w:val="single"/>
        </w:rPr>
        <w:t xml:space="preserve">using </w:t>
      </w:r>
      <w:r w:rsidR="0026298B" w:rsidRPr="00B90F9F">
        <w:rPr>
          <w:b/>
          <w:bCs/>
          <w:sz w:val="24"/>
          <w:szCs w:val="24"/>
          <w:u w:val="single"/>
        </w:rPr>
        <w:t>the “track changes” function in Microsoft Word</w:t>
      </w:r>
      <w:r w:rsidRPr="009050FF">
        <w:rPr>
          <w:b/>
          <w:bCs/>
          <w:sz w:val="24"/>
          <w:szCs w:val="24"/>
        </w:rPr>
        <w:t>. Please only reproduce the parts of the article that are being amended</w:t>
      </w:r>
      <w:r w:rsidR="003A15E6" w:rsidRPr="009050FF">
        <w:rPr>
          <w:b/>
          <w:bCs/>
          <w:sz w:val="24"/>
          <w:szCs w:val="24"/>
        </w:rPr>
        <w:t xml:space="preserve"> or deleted</w:t>
      </w:r>
      <w:r w:rsidRPr="009050FF">
        <w:rPr>
          <w:b/>
          <w:bCs/>
          <w:sz w:val="24"/>
          <w:szCs w:val="24"/>
        </w:rPr>
        <w:t xml:space="preserve"> - examples are attached for reference.</w:t>
      </w:r>
    </w:p>
    <w:p w14:paraId="6060B808" w14:textId="7981009E" w:rsidR="00CC7534" w:rsidRPr="004D4F2A" w:rsidRDefault="00CC7534" w:rsidP="004D4F2A">
      <w:pPr>
        <w:ind w:left="360"/>
        <w:rPr>
          <w:b/>
          <w:bCs/>
          <w:sz w:val="24"/>
          <w:szCs w:val="24"/>
        </w:rPr>
      </w:pPr>
    </w:p>
    <w:p w14:paraId="2DD50383" w14:textId="77777777" w:rsidR="00646818" w:rsidRPr="00104E6D" w:rsidRDefault="00646818" w:rsidP="00646818">
      <w:pPr>
        <w:pStyle w:val="SingleTxt"/>
        <w:rPr>
          <w:color w:val="00B050"/>
        </w:rPr>
      </w:pPr>
      <w:r w:rsidRPr="00104E6D">
        <w:rPr>
          <w:color w:val="00B050"/>
        </w:rPr>
        <w:t>3.</w:t>
      </w:r>
      <w:r w:rsidRPr="00104E6D">
        <w:rPr>
          <w:color w:val="00B050"/>
        </w:rPr>
        <w:tab/>
        <w:t>The clearing-house mechanism shall:</w:t>
      </w:r>
    </w:p>
    <w:p w14:paraId="5FF48085" w14:textId="77777777" w:rsidR="00646818" w:rsidRPr="00104E6D" w:rsidRDefault="00646818" w:rsidP="00646818">
      <w:pPr>
        <w:pStyle w:val="SingleTxt"/>
        <w:rPr>
          <w:color w:val="00B050"/>
        </w:rPr>
      </w:pPr>
      <w:r w:rsidRPr="00104E6D">
        <w:rPr>
          <w:color w:val="00B050"/>
        </w:rPr>
        <w:tab/>
        <w:t>(a)</w:t>
      </w:r>
      <w:r w:rsidRPr="00104E6D">
        <w:rPr>
          <w:color w:val="00B050"/>
        </w:rPr>
        <w:tab/>
        <w:t>Serve as a centralized platform to enable Parties to access, provide and disseminate information with respect to activities taking place pursuant to the provisions of this Agreement, including information relating to:</w:t>
      </w:r>
    </w:p>
    <w:p w14:paraId="41F3568B" w14:textId="77777777" w:rsidR="00646818" w:rsidRPr="00104E6D" w:rsidRDefault="00646818" w:rsidP="00646818">
      <w:pPr>
        <w:pStyle w:val="SingleTxt"/>
        <w:ind w:left="1742" w:hanging="475"/>
        <w:rPr>
          <w:color w:val="00B050"/>
        </w:rPr>
      </w:pPr>
      <w:r w:rsidRPr="00104E6D">
        <w:rPr>
          <w:color w:val="00B050"/>
        </w:rPr>
        <w:tab/>
        <w:t>(</w:t>
      </w:r>
      <w:proofErr w:type="spellStart"/>
      <w:r w:rsidRPr="00104E6D">
        <w:rPr>
          <w:color w:val="00B050"/>
        </w:rPr>
        <w:t>i</w:t>
      </w:r>
      <w:proofErr w:type="spellEnd"/>
      <w:r w:rsidRPr="00104E6D">
        <w:rPr>
          <w:color w:val="00B050"/>
        </w:rPr>
        <w:t>)</w:t>
      </w:r>
      <w:r w:rsidRPr="00104E6D">
        <w:rPr>
          <w:color w:val="00B050"/>
        </w:rPr>
        <w:tab/>
        <w:t xml:space="preserve">Marine genetic resources of areas beyond national jurisdiction, including </w:t>
      </w:r>
      <w:r w:rsidRPr="00104E6D">
        <w:rPr>
          <w:strike/>
          <w:color w:val="00B050"/>
        </w:rPr>
        <w:t>questions on</w:t>
      </w:r>
      <w:r w:rsidRPr="00104E6D">
        <w:rPr>
          <w:color w:val="00B050"/>
        </w:rPr>
        <w:t xml:space="preserve"> the sharing of benefits, and data and scientific information on, as well as, in line with the principle of free, prior and informed consent, traditional knowledge associated with marine genetic resources of areas beyond national </w:t>
      </w:r>
      <w:proofErr w:type="gramStart"/>
      <w:r w:rsidRPr="00104E6D">
        <w:rPr>
          <w:color w:val="00B050"/>
        </w:rPr>
        <w:t>jurisdiction;</w:t>
      </w:r>
      <w:proofErr w:type="gramEnd"/>
    </w:p>
    <w:p w14:paraId="2F4BDF60" w14:textId="77777777" w:rsidR="00646818" w:rsidRPr="00104E6D" w:rsidRDefault="00646818" w:rsidP="00646818">
      <w:pPr>
        <w:pStyle w:val="SingleTxt"/>
        <w:ind w:left="1742" w:hanging="475"/>
        <w:rPr>
          <w:color w:val="00B050"/>
        </w:rPr>
      </w:pPr>
      <w:r w:rsidRPr="00104E6D">
        <w:rPr>
          <w:color w:val="00B050"/>
        </w:rPr>
        <w:lastRenderedPageBreak/>
        <w:tab/>
        <w:t>(ii)</w:t>
      </w:r>
      <w:r w:rsidRPr="00104E6D">
        <w:rPr>
          <w:color w:val="00B050"/>
        </w:rPr>
        <w:tab/>
        <w:t xml:space="preserve">The establishment and implementation of area-based management tools, including marine protected </w:t>
      </w:r>
      <w:proofErr w:type="gramStart"/>
      <w:r w:rsidRPr="00104E6D">
        <w:rPr>
          <w:color w:val="00B050"/>
        </w:rPr>
        <w:t>areas;</w:t>
      </w:r>
      <w:proofErr w:type="gramEnd"/>
      <w:r w:rsidRPr="00104E6D">
        <w:rPr>
          <w:color w:val="00B050"/>
        </w:rPr>
        <w:t xml:space="preserve"> </w:t>
      </w:r>
    </w:p>
    <w:p w14:paraId="0CC5274A" w14:textId="77777777" w:rsidR="00646818" w:rsidRPr="00104E6D" w:rsidRDefault="00646818" w:rsidP="00646818">
      <w:pPr>
        <w:pStyle w:val="SingleTxt"/>
        <w:ind w:left="1742" w:hanging="475"/>
        <w:rPr>
          <w:color w:val="00B050"/>
        </w:rPr>
      </w:pPr>
      <w:r w:rsidRPr="00104E6D">
        <w:rPr>
          <w:color w:val="00B050"/>
        </w:rPr>
        <w:tab/>
        <w:t>(iii)</w:t>
      </w:r>
      <w:r w:rsidRPr="00104E6D">
        <w:rPr>
          <w:color w:val="00B050"/>
        </w:rPr>
        <w:tab/>
        <w:t xml:space="preserve">Environmental impact </w:t>
      </w:r>
      <w:proofErr w:type="gramStart"/>
      <w:r w:rsidRPr="00104E6D">
        <w:rPr>
          <w:color w:val="00B050"/>
        </w:rPr>
        <w:t>assessments;</w:t>
      </w:r>
      <w:proofErr w:type="gramEnd"/>
    </w:p>
    <w:p w14:paraId="02810B51" w14:textId="77777777" w:rsidR="00646818" w:rsidRPr="00104E6D" w:rsidRDefault="00646818" w:rsidP="00646818">
      <w:pPr>
        <w:pStyle w:val="SingleTxt"/>
        <w:ind w:left="1742" w:hanging="475"/>
        <w:rPr>
          <w:color w:val="00B050"/>
        </w:rPr>
      </w:pPr>
      <w:r w:rsidRPr="00104E6D">
        <w:rPr>
          <w:color w:val="00B050"/>
        </w:rPr>
        <w:tab/>
        <w:t>(iv)</w:t>
      </w:r>
      <w:r w:rsidRPr="00104E6D">
        <w:rPr>
          <w:color w:val="00B050"/>
        </w:rPr>
        <w:tab/>
        <w:t xml:space="preserve">Requests for capacity-building and the transfer of marine technology and opportunities with respect thereto, including research collaboration and training opportunities, information on sources and availability of technological information and data for the transfer of marine technology, opportunities for facilitated access to marine technology and the availability of </w:t>
      </w:r>
      <w:proofErr w:type="gramStart"/>
      <w:r w:rsidRPr="00104E6D">
        <w:rPr>
          <w:color w:val="00B050"/>
        </w:rPr>
        <w:t>funding;</w:t>
      </w:r>
      <w:proofErr w:type="gramEnd"/>
    </w:p>
    <w:p w14:paraId="2B9BD634" w14:textId="77777777" w:rsidR="00646818" w:rsidRPr="00104E6D" w:rsidRDefault="00646818" w:rsidP="00646818">
      <w:pPr>
        <w:pStyle w:val="SingleTxt"/>
        <w:rPr>
          <w:color w:val="00B050"/>
        </w:rPr>
      </w:pPr>
      <w:r w:rsidRPr="00104E6D">
        <w:rPr>
          <w:color w:val="00B050"/>
        </w:rPr>
        <w:tab/>
        <w:t>(b)</w:t>
      </w:r>
      <w:r w:rsidRPr="00104E6D">
        <w:rPr>
          <w:color w:val="00B050"/>
        </w:rPr>
        <w:tab/>
        <w:t xml:space="preserve">Facilitate the matching of capacity-building needs with the support available and with providers for the transfer of marine technology, including governmental, non-governmental or private entities interested in participating as donors in the transfer of marine technology, and facilitate access to related know-how and </w:t>
      </w:r>
      <w:proofErr w:type="gramStart"/>
      <w:r w:rsidRPr="00104E6D">
        <w:rPr>
          <w:color w:val="00B050"/>
        </w:rPr>
        <w:t>expertise;</w:t>
      </w:r>
      <w:proofErr w:type="gramEnd"/>
    </w:p>
    <w:p w14:paraId="14755014" w14:textId="77777777" w:rsidR="00646818" w:rsidRPr="00104E6D" w:rsidRDefault="00646818" w:rsidP="00646818">
      <w:pPr>
        <w:pStyle w:val="SingleTxt"/>
      </w:pPr>
      <w:r w:rsidRPr="00104E6D">
        <w:tab/>
      </w:r>
      <w:r w:rsidRPr="00104E6D">
        <w:rPr>
          <w:color w:val="00B050"/>
        </w:rPr>
        <w:t>(c)</w:t>
      </w:r>
      <w:r w:rsidRPr="00104E6D">
        <w:rPr>
          <w:color w:val="00B050"/>
        </w:rPr>
        <w:tab/>
        <w:t xml:space="preserve">Provide links </w:t>
      </w:r>
      <w:r w:rsidRPr="00104E6D">
        <w:rPr>
          <w:color w:val="00B050"/>
          <w:u w:val="single"/>
        </w:rPr>
        <w:t>and act as a coordinating framework</w:t>
      </w:r>
      <w:r w:rsidRPr="00104E6D">
        <w:rPr>
          <w:color w:val="00B050"/>
        </w:rPr>
        <w:t xml:space="preserve"> to relevant global, regional, subregional, national and sectoral clearing-house mechanisms and other databases, repositories and gene banks, including those pertaining to relevant traditional knowledge of indigenous peoples and local communities and promote, where possible, links with publicly available private and non-governmental platforms for the exchange of </w:t>
      </w:r>
      <w:proofErr w:type="gramStart"/>
      <w:r w:rsidRPr="00104E6D">
        <w:rPr>
          <w:color w:val="00B050"/>
        </w:rPr>
        <w:t>information;</w:t>
      </w:r>
      <w:proofErr w:type="gramEnd"/>
    </w:p>
    <w:p w14:paraId="738DC8CF" w14:textId="77777777" w:rsidR="00646818" w:rsidRPr="00104E6D" w:rsidRDefault="00646818" w:rsidP="00646818">
      <w:pPr>
        <w:pStyle w:val="SingleTxt"/>
        <w:rPr>
          <w:color w:val="00B050"/>
        </w:rPr>
      </w:pPr>
      <w:r w:rsidRPr="00104E6D">
        <w:rPr>
          <w:color w:val="00B050"/>
        </w:rPr>
        <w:tab/>
        <w:t>(d)</w:t>
      </w:r>
      <w:r w:rsidRPr="00104E6D">
        <w:rPr>
          <w:color w:val="00B050"/>
        </w:rPr>
        <w:tab/>
        <w:t xml:space="preserve">Build on global, regional and subregional clearing-house institutions, where applicable, when establishing regional and subregional mechanisms under the global </w:t>
      </w:r>
      <w:proofErr w:type="gramStart"/>
      <w:r w:rsidRPr="00104E6D">
        <w:rPr>
          <w:color w:val="00B050"/>
        </w:rPr>
        <w:t>mechanism;</w:t>
      </w:r>
      <w:proofErr w:type="gramEnd"/>
    </w:p>
    <w:p w14:paraId="215D9A39" w14:textId="77777777" w:rsidR="00646818" w:rsidRPr="00104E6D" w:rsidRDefault="00646818" w:rsidP="00646818">
      <w:pPr>
        <w:pStyle w:val="SingleTxt"/>
        <w:rPr>
          <w:color w:val="00B050"/>
        </w:rPr>
      </w:pPr>
      <w:r w:rsidRPr="00104E6D">
        <w:rPr>
          <w:color w:val="00B050"/>
        </w:rPr>
        <w:tab/>
        <w:t>(e)</w:t>
      </w:r>
      <w:r w:rsidRPr="00104E6D">
        <w:rPr>
          <w:color w:val="00B050"/>
        </w:rPr>
        <w:tab/>
        <w:t xml:space="preserve">Foster enhanced transparency, including by facilitating the sharing of baseline data and information relating to the conservation and sustainable use of marine biological diversity of areas beyond national jurisdiction between Parties and other relevant </w:t>
      </w:r>
      <w:proofErr w:type="gramStart"/>
      <w:r w:rsidRPr="00104E6D">
        <w:rPr>
          <w:color w:val="00B050"/>
        </w:rPr>
        <w:t>stakeholders;</w:t>
      </w:r>
      <w:proofErr w:type="gramEnd"/>
    </w:p>
    <w:p w14:paraId="1EF23B46" w14:textId="77777777" w:rsidR="00646818" w:rsidRPr="00104E6D" w:rsidRDefault="00646818" w:rsidP="00646818">
      <w:pPr>
        <w:pStyle w:val="SingleTxt"/>
        <w:rPr>
          <w:color w:val="00B050"/>
        </w:rPr>
      </w:pPr>
      <w:r w:rsidRPr="00104E6D">
        <w:rPr>
          <w:color w:val="00B050"/>
        </w:rPr>
        <w:tab/>
        <w:t>(f)</w:t>
      </w:r>
      <w:r w:rsidRPr="00104E6D">
        <w:rPr>
          <w:color w:val="00B050"/>
        </w:rPr>
        <w:tab/>
        <w:t xml:space="preserve">Facilitate international cooperation and collaboration, including scientific and technical cooperation and </w:t>
      </w:r>
      <w:proofErr w:type="gramStart"/>
      <w:r w:rsidRPr="00104E6D">
        <w:rPr>
          <w:color w:val="00B050"/>
        </w:rPr>
        <w:t>collaboration;</w:t>
      </w:r>
      <w:proofErr w:type="gramEnd"/>
    </w:p>
    <w:p w14:paraId="4DD8B99B" w14:textId="77777777" w:rsidR="00646818" w:rsidRPr="00104E6D" w:rsidRDefault="00646818" w:rsidP="00646818">
      <w:pPr>
        <w:pStyle w:val="SingleTxt"/>
        <w:rPr>
          <w:color w:val="00B050"/>
        </w:rPr>
      </w:pPr>
      <w:r w:rsidRPr="00104E6D">
        <w:rPr>
          <w:color w:val="00B050"/>
        </w:rPr>
        <w:tab/>
        <w:t xml:space="preserve">(g) </w:t>
      </w:r>
      <w:r w:rsidRPr="00104E6D">
        <w:rPr>
          <w:color w:val="00B050"/>
        </w:rPr>
        <w:tab/>
        <w:t xml:space="preserve">Perform such other functions </w:t>
      </w:r>
      <w:proofErr w:type="gramStart"/>
      <w:r w:rsidRPr="00104E6D">
        <w:rPr>
          <w:color w:val="00B050"/>
        </w:rPr>
        <w:t xml:space="preserve">as </w:t>
      </w:r>
      <w:r w:rsidRPr="00104E6D">
        <w:t xml:space="preserve"> </w:t>
      </w:r>
      <w:r w:rsidRPr="00104E6D">
        <w:rPr>
          <w:color w:val="00B050"/>
          <w:u w:val="single"/>
        </w:rPr>
        <w:t>assigned</w:t>
      </w:r>
      <w:proofErr w:type="gramEnd"/>
      <w:r w:rsidRPr="00104E6D">
        <w:rPr>
          <w:color w:val="00B050"/>
          <w:u w:val="single"/>
        </w:rPr>
        <w:t xml:space="preserve"> in this Agreement</w:t>
      </w:r>
      <w:r w:rsidRPr="00104E6D">
        <w:rPr>
          <w:color w:val="00B050"/>
        </w:rPr>
        <w:t xml:space="preserve"> </w:t>
      </w:r>
      <w:r w:rsidRPr="00104E6D">
        <w:rPr>
          <w:color w:val="00B050"/>
          <w:u w:val="single"/>
        </w:rPr>
        <w:t xml:space="preserve">and </w:t>
      </w:r>
      <w:r w:rsidRPr="00104E6D">
        <w:rPr>
          <w:color w:val="00B050"/>
        </w:rPr>
        <w:t>may be determined by the Conference of the Parties.</w:t>
      </w:r>
    </w:p>
    <w:p w14:paraId="2BDE114D" w14:textId="77777777" w:rsidR="00D2081F" w:rsidRPr="00566D6C" w:rsidRDefault="00D2081F" w:rsidP="00DC580A">
      <w:pPr>
        <w:rPr>
          <w:sz w:val="24"/>
          <w:szCs w:val="24"/>
        </w:rPr>
      </w:pPr>
    </w:p>
    <w:p w14:paraId="014A764B" w14:textId="77777777" w:rsidR="003A15E6" w:rsidRPr="009050FF" w:rsidRDefault="0026298B" w:rsidP="003A15E6">
      <w:pPr>
        <w:pStyle w:val="ListParagraph"/>
        <w:numPr>
          <w:ilvl w:val="0"/>
          <w:numId w:val="1"/>
        </w:numPr>
        <w:rPr>
          <w:b/>
          <w:bCs/>
          <w:sz w:val="24"/>
          <w:szCs w:val="24"/>
        </w:rPr>
      </w:pPr>
      <w:r w:rsidRPr="009050FF">
        <w:rPr>
          <w:b/>
          <w:bCs/>
          <w:sz w:val="24"/>
          <w:szCs w:val="24"/>
        </w:rPr>
        <w:t>R</w:t>
      </w:r>
      <w:r w:rsidR="00497828" w:rsidRPr="009050FF">
        <w:rPr>
          <w:b/>
          <w:bCs/>
          <w:sz w:val="24"/>
          <w:szCs w:val="24"/>
        </w:rPr>
        <w:t xml:space="preserve">ationale </w:t>
      </w:r>
      <w:r w:rsidRPr="009050FF">
        <w:rPr>
          <w:b/>
          <w:bCs/>
          <w:sz w:val="24"/>
          <w:szCs w:val="24"/>
        </w:rPr>
        <w:t>for the</w:t>
      </w:r>
      <w:r w:rsidR="00497828" w:rsidRPr="009050FF">
        <w:rPr>
          <w:b/>
          <w:bCs/>
          <w:sz w:val="24"/>
          <w:szCs w:val="24"/>
        </w:rPr>
        <w:t xml:space="preserve"> proposal</w:t>
      </w:r>
      <w:r w:rsidRPr="009050FF">
        <w:rPr>
          <w:b/>
          <w:bCs/>
          <w:sz w:val="24"/>
          <w:szCs w:val="24"/>
        </w:rPr>
        <w:t>, if any</w:t>
      </w:r>
      <w:r w:rsidR="003A15E6" w:rsidRPr="009050FF">
        <w:rPr>
          <w:b/>
          <w:bCs/>
          <w:sz w:val="24"/>
          <w:szCs w:val="24"/>
        </w:rPr>
        <w:t>.</w:t>
      </w:r>
    </w:p>
    <w:p w14:paraId="20A8BB05" w14:textId="77777777" w:rsidR="003A15E6" w:rsidRPr="00566D6C" w:rsidRDefault="003A15E6" w:rsidP="003A15E6">
      <w:pPr>
        <w:pStyle w:val="ListParagraph"/>
        <w:rPr>
          <w:sz w:val="24"/>
          <w:szCs w:val="24"/>
        </w:rPr>
      </w:pPr>
    </w:p>
    <w:p w14:paraId="041B62E6" w14:textId="21BAEAE4" w:rsidR="00EE6916" w:rsidRPr="00646818" w:rsidRDefault="00000000" w:rsidP="00646818">
      <w:pPr>
        <w:rPr>
          <w:sz w:val="24"/>
          <w:szCs w:val="24"/>
        </w:rPr>
      </w:pPr>
      <w:sdt>
        <w:sdtPr>
          <w:id w:val="-818033431"/>
          <w:placeholder>
            <w:docPart w:val="E81135B9B255462C86458997291B4F60"/>
          </w:placeholder>
          <w:showingPlcHdr/>
          <w:text/>
        </w:sdtPr>
        <w:sdtContent>
          <w:r w:rsidR="00646818" w:rsidRPr="00566D6C">
            <w:rPr>
              <w:rStyle w:val="PlaceholderText"/>
              <w:sz w:val="24"/>
              <w:szCs w:val="24"/>
            </w:rPr>
            <w:t>Click or tap here to enter text.</w:t>
          </w:r>
        </w:sdtContent>
      </w:sdt>
      <w:r w:rsidR="004D4F2A" w:rsidRPr="00646818">
        <w:rPr>
          <w:sz w:val="24"/>
          <w:szCs w:val="24"/>
        </w:rPr>
        <w:t xml:space="preserve"> </w:t>
      </w:r>
    </w:p>
    <w:sectPr w:rsidR="00EE6916" w:rsidRPr="00646818" w:rsidSect="00264B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937AB" w14:textId="77777777" w:rsidR="004565A0" w:rsidRDefault="004565A0" w:rsidP="00205178">
      <w:pPr>
        <w:spacing w:after="0" w:line="240" w:lineRule="auto"/>
      </w:pPr>
      <w:r>
        <w:separator/>
      </w:r>
    </w:p>
  </w:endnote>
  <w:endnote w:type="continuationSeparator" w:id="0">
    <w:p w14:paraId="3A4ED93F" w14:textId="77777777" w:rsidR="004565A0" w:rsidRDefault="004565A0" w:rsidP="0020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3F108" w14:textId="77777777" w:rsidR="004565A0" w:rsidRDefault="004565A0" w:rsidP="00205178">
      <w:pPr>
        <w:spacing w:after="0" w:line="240" w:lineRule="auto"/>
      </w:pPr>
      <w:r>
        <w:separator/>
      </w:r>
    </w:p>
  </w:footnote>
  <w:footnote w:type="continuationSeparator" w:id="0">
    <w:p w14:paraId="180E70E9" w14:textId="77777777" w:rsidR="004565A0" w:rsidRDefault="004565A0" w:rsidP="00205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D82918"/>
    <w:multiLevelType w:val="hybridMultilevel"/>
    <w:tmpl w:val="A0BCE8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8056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96"/>
    <w:rsid w:val="00004872"/>
    <w:rsid w:val="000227D2"/>
    <w:rsid w:val="00024A7F"/>
    <w:rsid w:val="00025361"/>
    <w:rsid w:val="000372A6"/>
    <w:rsid w:val="000824B2"/>
    <w:rsid w:val="000D2301"/>
    <w:rsid w:val="000F212D"/>
    <w:rsid w:val="0010596A"/>
    <w:rsid w:val="00106C21"/>
    <w:rsid w:val="00116302"/>
    <w:rsid w:val="00154D49"/>
    <w:rsid w:val="001A0936"/>
    <w:rsid w:val="001A2F68"/>
    <w:rsid w:val="001C0333"/>
    <w:rsid w:val="001E5030"/>
    <w:rsid w:val="00205178"/>
    <w:rsid w:val="0025073B"/>
    <w:rsid w:val="0026298B"/>
    <w:rsid w:val="00264B1E"/>
    <w:rsid w:val="002C621A"/>
    <w:rsid w:val="002D2660"/>
    <w:rsid w:val="00324E6E"/>
    <w:rsid w:val="003A15E6"/>
    <w:rsid w:val="003D0407"/>
    <w:rsid w:val="004565A0"/>
    <w:rsid w:val="004965EF"/>
    <w:rsid w:val="00497828"/>
    <w:rsid w:val="004D2429"/>
    <w:rsid w:val="004D4F2A"/>
    <w:rsid w:val="00520AFA"/>
    <w:rsid w:val="005358CB"/>
    <w:rsid w:val="00544E56"/>
    <w:rsid w:val="00557C27"/>
    <w:rsid w:val="00566D6C"/>
    <w:rsid w:val="005851F7"/>
    <w:rsid w:val="005B14BC"/>
    <w:rsid w:val="00616BD5"/>
    <w:rsid w:val="0064284C"/>
    <w:rsid w:val="00646818"/>
    <w:rsid w:val="006B562D"/>
    <w:rsid w:val="006D01C0"/>
    <w:rsid w:val="006D76CB"/>
    <w:rsid w:val="006F7296"/>
    <w:rsid w:val="007E1D5B"/>
    <w:rsid w:val="0081199B"/>
    <w:rsid w:val="00820468"/>
    <w:rsid w:val="0086789D"/>
    <w:rsid w:val="008A1E51"/>
    <w:rsid w:val="009050FF"/>
    <w:rsid w:val="00907FE0"/>
    <w:rsid w:val="00924792"/>
    <w:rsid w:val="00980C68"/>
    <w:rsid w:val="009B4603"/>
    <w:rsid w:val="00A31BA7"/>
    <w:rsid w:val="00A44E96"/>
    <w:rsid w:val="00AC503A"/>
    <w:rsid w:val="00AD20C0"/>
    <w:rsid w:val="00B42177"/>
    <w:rsid w:val="00B45513"/>
    <w:rsid w:val="00B7337B"/>
    <w:rsid w:val="00B90F9F"/>
    <w:rsid w:val="00BF4E52"/>
    <w:rsid w:val="00C14032"/>
    <w:rsid w:val="00C16909"/>
    <w:rsid w:val="00C20EB4"/>
    <w:rsid w:val="00C27446"/>
    <w:rsid w:val="00C44E4A"/>
    <w:rsid w:val="00C505B6"/>
    <w:rsid w:val="00C91512"/>
    <w:rsid w:val="00CC7534"/>
    <w:rsid w:val="00CC79E5"/>
    <w:rsid w:val="00CE5E0A"/>
    <w:rsid w:val="00CF4942"/>
    <w:rsid w:val="00D03D0C"/>
    <w:rsid w:val="00D133A5"/>
    <w:rsid w:val="00D2081F"/>
    <w:rsid w:val="00D250EA"/>
    <w:rsid w:val="00D30B68"/>
    <w:rsid w:val="00D41A24"/>
    <w:rsid w:val="00D44509"/>
    <w:rsid w:val="00D76374"/>
    <w:rsid w:val="00DA6AF6"/>
    <w:rsid w:val="00DC580A"/>
    <w:rsid w:val="00E119CA"/>
    <w:rsid w:val="00E41F53"/>
    <w:rsid w:val="00E7686A"/>
    <w:rsid w:val="00E80121"/>
    <w:rsid w:val="00E83756"/>
    <w:rsid w:val="00E94BD3"/>
    <w:rsid w:val="00EE0842"/>
    <w:rsid w:val="00F05835"/>
    <w:rsid w:val="00F53135"/>
    <w:rsid w:val="00F63CB7"/>
    <w:rsid w:val="00F961B1"/>
    <w:rsid w:val="00F96F76"/>
    <w:rsid w:val="00FA3849"/>
    <w:rsid w:val="00FA547E"/>
    <w:rsid w:val="00FB7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D0480"/>
  <w15:docId w15:val="{AD4410BB-7236-8641-BEA8-168CAA65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27446"/>
    <w:rPr>
      <w:sz w:val="16"/>
      <w:szCs w:val="16"/>
    </w:rPr>
  </w:style>
  <w:style w:type="paragraph" w:styleId="CommentText">
    <w:name w:val="annotation text"/>
    <w:basedOn w:val="Normal"/>
    <w:link w:val="CommentTextChar"/>
    <w:uiPriority w:val="99"/>
    <w:semiHidden/>
    <w:unhideWhenUsed/>
    <w:rsid w:val="00C27446"/>
    <w:pPr>
      <w:spacing w:line="240" w:lineRule="auto"/>
    </w:pPr>
    <w:rPr>
      <w:sz w:val="20"/>
      <w:szCs w:val="20"/>
    </w:rPr>
  </w:style>
  <w:style w:type="character" w:customStyle="1" w:styleId="CommentTextChar">
    <w:name w:val="Comment Text Char"/>
    <w:basedOn w:val="DefaultParagraphFont"/>
    <w:link w:val="CommentText"/>
    <w:uiPriority w:val="99"/>
    <w:semiHidden/>
    <w:rsid w:val="00C27446"/>
    <w:rPr>
      <w:sz w:val="20"/>
      <w:szCs w:val="20"/>
    </w:rPr>
  </w:style>
  <w:style w:type="paragraph" w:styleId="CommentSubject">
    <w:name w:val="annotation subject"/>
    <w:basedOn w:val="CommentText"/>
    <w:next w:val="CommentText"/>
    <w:link w:val="CommentSubjectChar"/>
    <w:uiPriority w:val="99"/>
    <w:semiHidden/>
    <w:unhideWhenUsed/>
    <w:rsid w:val="00C27446"/>
    <w:rPr>
      <w:b/>
      <w:bCs/>
    </w:rPr>
  </w:style>
  <w:style w:type="character" w:customStyle="1" w:styleId="CommentSubjectChar">
    <w:name w:val="Comment Subject Char"/>
    <w:basedOn w:val="CommentTextChar"/>
    <w:link w:val="CommentSubject"/>
    <w:uiPriority w:val="99"/>
    <w:semiHidden/>
    <w:rsid w:val="00C27446"/>
    <w:rPr>
      <w:b/>
      <w:bCs/>
      <w:sz w:val="20"/>
      <w:szCs w:val="20"/>
    </w:rPr>
  </w:style>
  <w:style w:type="paragraph" w:styleId="ListParagraph">
    <w:name w:val="List Paragraph"/>
    <w:basedOn w:val="Normal"/>
    <w:uiPriority w:val="34"/>
    <w:qFormat/>
    <w:rsid w:val="003A15E6"/>
    <w:pPr>
      <w:ind w:left="720"/>
      <w:contextualSpacing/>
    </w:pPr>
  </w:style>
  <w:style w:type="paragraph" w:styleId="Header">
    <w:name w:val="header"/>
    <w:basedOn w:val="Normal"/>
    <w:link w:val="HeaderChar"/>
    <w:uiPriority w:val="99"/>
    <w:unhideWhenUsed/>
    <w:rsid w:val="00205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178"/>
  </w:style>
  <w:style w:type="paragraph" w:styleId="Footer">
    <w:name w:val="footer"/>
    <w:basedOn w:val="Normal"/>
    <w:link w:val="FooterChar"/>
    <w:uiPriority w:val="99"/>
    <w:unhideWhenUsed/>
    <w:rsid w:val="00205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178"/>
  </w:style>
  <w:style w:type="character" w:styleId="PlaceholderText">
    <w:name w:val="Placeholder Text"/>
    <w:basedOn w:val="DefaultParagraphFont"/>
    <w:uiPriority w:val="99"/>
    <w:semiHidden/>
    <w:rsid w:val="000372A6"/>
    <w:rPr>
      <w:color w:val="808080"/>
    </w:rPr>
  </w:style>
  <w:style w:type="paragraph" w:styleId="FootnoteText">
    <w:name w:val="footnote text"/>
    <w:basedOn w:val="Normal"/>
    <w:link w:val="FootnoteTextChar"/>
    <w:uiPriority w:val="99"/>
    <w:semiHidden/>
    <w:unhideWhenUsed/>
    <w:rsid w:val="00AD20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0C0"/>
    <w:rPr>
      <w:sz w:val="20"/>
      <w:szCs w:val="20"/>
    </w:rPr>
  </w:style>
  <w:style w:type="character" w:styleId="FootnoteReference">
    <w:name w:val="footnote reference"/>
    <w:basedOn w:val="DefaultParagraphFont"/>
    <w:uiPriority w:val="99"/>
    <w:semiHidden/>
    <w:unhideWhenUsed/>
    <w:rsid w:val="00AD20C0"/>
    <w:rPr>
      <w:vertAlign w:val="superscript"/>
    </w:rPr>
  </w:style>
  <w:style w:type="character" w:styleId="Hyperlink">
    <w:name w:val="Hyperlink"/>
    <w:basedOn w:val="DefaultParagraphFont"/>
    <w:uiPriority w:val="99"/>
    <w:semiHidden/>
    <w:unhideWhenUsed/>
    <w:rsid w:val="00AD20C0"/>
    <w:rPr>
      <w:color w:val="0000FF"/>
      <w:u w:val="single"/>
    </w:rPr>
  </w:style>
  <w:style w:type="paragraph" w:styleId="BalloonText">
    <w:name w:val="Balloon Text"/>
    <w:basedOn w:val="Normal"/>
    <w:link w:val="BalloonTextChar"/>
    <w:uiPriority w:val="99"/>
    <w:semiHidden/>
    <w:unhideWhenUsed/>
    <w:rsid w:val="00C14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032"/>
    <w:rPr>
      <w:rFonts w:ascii="Tahoma" w:hAnsi="Tahoma" w:cs="Tahoma"/>
      <w:sz w:val="16"/>
      <w:szCs w:val="16"/>
    </w:rPr>
  </w:style>
  <w:style w:type="paragraph" w:customStyle="1" w:styleId="SingleTxt">
    <w:name w:val="__Single Txt"/>
    <w:basedOn w:val="Normal"/>
    <w:rsid w:val="004D4F2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eastAsiaTheme="minorHAnsi" w:hAnsi="Times New Roman" w:cs="Times New Roman"/>
      <w:spacing w:val="4"/>
      <w:w w:val="103"/>
      <w:kern w:val="14"/>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083437">
      <w:bodyDiv w:val="1"/>
      <w:marLeft w:val="0"/>
      <w:marRight w:val="0"/>
      <w:marTop w:val="0"/>
      <w:marBottom w:val="0"/>
      <w:divBdr>
        <w:top w:val="none" w:sz="0" w:space="0" w:color="auto"/>
        <w:left w:val="none" w:sz="0" w:space="0" w:color="auto"/>
        <w:bottom w:val="none" w:sz="0" w:space="0" w:color="auto"/>
        <w:right w:val="none" w:sz="0" w:space="0" w:color="auto"/>
      </w:divBdr>
    </w:div>
    <w:div w:id="183691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A0591931CD4701BEDE82056BFDAD1A"/>
        <w:category>
          <w:name w:val="General"/>
          <w:gallery w:val="placeholder"/>
        </w:category>
        <w:types>
          <w:type w:val="bbPlcHdr"/>
        </w:types>
        <w:behaviors>
          <w:behavior w:val="content"/>
        </w:behaviors>
        <w:guid w:val="{7FE09AE7-3BB3-40E9-B559-16070CB2F38B}"/>
      </w:docPartPr>
      <w:docPartBody>
        <w:p w:rsidR="002757A8" w:rsidRDefault="00C3736B" w:rsidP="00C3736B">
          <w:pPr>
            <w:pStyle w:val="5AA0591931CD4701BEDE82056BFDAD1A"/>
          </w:pPr>
          <w:r w:rsidRPr="00566D6C">
            <w:rPr>
              <w:rStyle w:val="PlaceholderText"/>
              <w:b/>
              <w:bCs/>
              <w:sz w:val="24"/>
              <w:szCs w:val="24"/>
            </w:rPr>
            <w:t>Click here to select.</w:t>
          </w:r>
        </w:p>
      </w:docPartBody>
    </w:docPart>
    <w:docPart>
      <w:docPartPr>
        <w:name w:val="7191DF0058134A52A397DC19668F98D4"/>
        <w:category>
          <w:name w:val="General"/>
          <w:gallery w:val="placeholder"/>
        </w:category>
        <w:types>
          <w:type w:val="bbPlcHdr"/>
        </w:types>
        <w:behaviors>
          <w:behavior w:val="content"/>
        </w:behaviors>
        <w:guid w:val="{87947F19-3A61-4FFC-9543-5390205DD232}"/>
      </w:docPartPr>
      <w:docPartBody>
        <w:p w:rsidR="002757A8" w:rsidRDefault="00C3736B" w:rsidP="00C3736B">
          <w:pPr>
            <w:pStyle w:val="7191DF0058134A52A397DC19668F98D4"/>
          </w:pPr>
          <w:r w:rsidRPr="00566D6C">
            <w:rPr>
              <w:rStyle w:val="PlaceholderText"/>
              <w:sz w:val="24"/>
              <w:szCs w:val="24"/>
            </w:rPr>
            <w:t>Click or tap here to enter text.</w:t>
          </w:r>
        </w:p>
      </w:docPartBody>
    </w:docPart>
    <w:docPart>
      <w:docPartPr>
        <w:name w:val="E81135B9B255462C86458997291B4F60"/>
        <w:category>
          <w:name w:val="General"/>
          <w:gallery w:val="placeholder"/>
        </w:category>
        <w:types>
          <w:type w:val="bbPlcHdr"/>
        </w:types>
        <w:behaviors>
          <w:behavior w:val="content"/>
        </w:behaviors>
        <w:guid w:val="{1AE65CB8-A81A-4F2F-AF7B-8D34EFCF652A}"/>
      </w:docPartPr>
      <w:docPartBody>
        <w:p w:rsidR="002757A8" w:rsidRDefault="00C3736B" w:rsidP="00C3736B">
          <w:pPr>
            <w:pStyle w:val="E81135B9B255462C86458997291B4F60"/>
          </w:pPr>
          <w:r w:rsidRPr="00566D6C">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D2F7D"/>
    <w:rsid w:val="00000D3D"/>
    <w:rsid w:val="0013492A"/>
    <w:rsid w:val="00163639"/>
    <w:rsid w:val="00183940"/>
    <w:rsid w:val="001D19CA"/>
    <w:rsid w:val="00235239"/>
    <w:rsid w:val="002757A8"/>
    <w:rsid w:val="00277719"/>
    <w:rsid w:val="002D433A"/>
    <w:rsid w:val="00303415"/>
    <w:rsid w:val="003D2F7D"/>
    <w:rsid w:val="004A1B02"/>
    <w:rsid w:val="0059407D"/>
    <w:rsid w:val="006803B4"/>
    <w:rsid w:val="00735005"/>
    <w:rsid w:val="0076374E"/>
    <w:rsid w:val="00954653"/>
    <w:rsid w:val="00A16EE7"/>
    <w:rsid w:val="00B3257B"/>
    <w:rsid w:val="00B70B25"/>
    <w:rsid w:val="00C3736B"/>
    <w:rsid w:val="00CA4482"/>
    <w:rsid w:val="00CE7D91"/>
    <w:rsid w:val="00D005EB"/>
    <w:rsid w:val="00F0272F"/>
    <w:rsid w:val="00F14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6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5239"/>
    <w:rPr>
      <w:color w:val="808080"/>
    </w:rPr>
  </w:style>
  <w:style w:type="paragraph" w:customStyle="1" w:styleId="5AA0591931CD4701BEDE82056BFDAD1A">
    <w:name w:val="5AA0591931CD4701BEDE82056BFDAD1A"/>
    <w:rsid w:val="00C3736B"/>
    <w:rPr>
      <w:lang w:val="en-US"/>
    </w:rPr>
  </w:style>
  <w:style w:type="paragraph" w:customStyle="1" w:styleId="7191DF0058134A52A397DC19668F98D4">
    <w:name w:val="7191DF0058134A52A397DC19668F98D4"/>
    <w:rsid w:val="00C3736B"/>
    <w:rPr>
      <w:lang w:val="en-US"/>
    </w:rPr>
  </w:style>
  <w:style w:type="paragraph" w:customStyle="1" w:styleId="E81135B9B255462C86458997291B4F60">
    <w:name w:val="E81135B9B255462C86458997291B4F60"/>
    <w:rsid w:val="00C3736B"/>
    <w:pPr>
      <w:ind w:left="720"/>
      <w:contextualSpacing/>
    </w:pPr>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346CFF97ABF348B2BF6D0847673998" ma:contentTypeVersion="16" ma:contentTypeDescription="Create a new document." ma:contentTypeScope="" ma:versionID="a427ec967deec66cc48348a86428ad00">
  <xsd:schema xmlns:xsd="http://www.w3.org/2001/XMLSchema" xmlns:xs="http://www.w3.org/2001/XMLSchema" xmlns:p="http://schemas.microsoft.com/office/2006/metadata/properties" xmlns:ns2="1f063a95-af93-46d4-9002-fa58e275930f" xmlns:ns3="0dde2faf-bf83-4118-8ea3-253e081edfbb" xmlns:ns4="985ec44e-1bab-4c0b-9df0-6ba128686fc9" targetNamespace="http://schemas.microsoft.com/office/2006/metadata/properties" ma:root="true" ma:fieldsID="eb5bc12503b438e4ad6eb65165bf5e2b" ns2:_="" ns3:_="" ns4:_="">
    <xsd:import namespace="1f063a95-af93-46d4-9002-fa58e275930f"/>
    <xsd:import namespace="0dde2faf-bf83-4118-8ea3-253e081edfb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63a95-af93-46d4-9002-fa58e2759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de2faf-bf83-4118-8ea3-253e081edf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69513e9-e41b-4bc5-866b-966480c4d0c3}" ma:internalName="TaxCatchAll" ma:showField="CatchAllData" ma:web="0dde2faf-bf83-4118-8ea3-253e081ed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1f063a95-af93-46d4-9002-fa58e275930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D8F79-07C3-4006-B572-8E68597F6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63a95-af93-46d4-9002-fa58e275930f"/>
    <ds:schemaRef ds:uri="0dde2faf-bf83-4118-8ea3-253e081edfb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F109F6-CE9F-4403-9CC1-B84B8E37A434}">
  <ds:schemaRefs>
    <ds:schemaRef ds:uri="http://schemas.microsoft.com/sharepoint/v3/contenttype/forms"/>
  </ds:schemaRefs>
</ds:datastoreItem>
</file>

<file path=customXml/itemProps3.xml><?xml version="1.0" encoding="utf-8"?>
<ds:datastoreItem xmlns:ds="http://schemas.openxmlformats.org/officeDocument/2006/customXml" ds:itemID="{F99FF925-C270-47C0-8A9B-A150E7EF9DC0}">
  <ds:schemaRefs>
    <ds:schemaRef ds:uri="http://schemas.microsoft.com/office/2006/metadata/properties"/>
    <ds:schemaRef ds:uri="http://schemas.microsoft.com/office/infopath/2007/PartnerControls"/>
    <ds:schemaRef ds:uri="985ec44e-1bab-4c0b-9df0-6ba128686fc9"/>
    <ds:schemaRef ds:uri="1f063a95-af93-46d4-9002-fa58e275930f"/>
  </ds:schemaRefs>
</ds:datastoreItem>
</file>

<file path=customXml/itemProps4.xml><?xml version="1.0" encoding="utf-8"?>
<ds:datastoreItem xmlns:ds="http://schemas.openxmlformats.org/officeDocument/2006/customXml" ds:itemID="{60CD5EE5-1CA6-4354-ADD3-2063AA9C6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Cabrera Diaz</dc:creator>
  <cp:lastModifiedBy>Qasim Aziz</cp:lastModifiedBy>
  <cp:revision>2</cp:revision>
  <dcterms:created xsi:type="dcterms:W3CDTF">2022-08-18T22:27:00Z</dcterms:created>
  <dcterms:modified xsi:type="dcterms:W3CDTF">2022-08-18T22:27:00Z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0x01010090346CFF97ABF348B2BF6D0847673998</vt:lpwstr>
  </property>
</Properties>
</file>