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DCC" w:rsidRPr="00B44DCC" w:rsidRDefault="00054FE5" w:rsidP="00B44DCC">
      <w:pPr>
        <w:rPr>
          <w:rFonts w:ascii="Arial" w:hAnsi="Arial" w:cs="Arial"/>
          <w:sz w:val="20"/>
          <w:szCs w:val="20"/>
          <w:u w:val="single"/>
        </w:rPr>
      </w:pPr>
      <w:bookmarkStart w:id="0" w:name="_GoBack"/>
      <w:r>
        <w:rPr>
          <w:rFonts w:ascii="Arial" w:hAnsi="Arial" w:cs="Arial"/>
          <w:sz w:val="20"/>
          <w:szCs w:val="20"/>
          <w:u w:val="single"/>
        </w:rPr>
        <w:t>Additional Requirements</w:t>
      </w:r>
      <w:r w:rsidR="00B44DCC" w:rsidRPr="00B44DCC">
        <w:rPr>
          <w:rFonts w:ascii="Arial" w:hAnsi="Arial" w:cs="Arial"/>
          <w:sz w:val="20"/>
          <w:szCs w:val="20"/>
          <w:u w:val="single"/>
        </w:rPr>
        <w:t xml:space="preserve"> for SET fixed wing aircraft</w:t>
      </w:r>
      <w:bookmarkEnd w:id="0"/>
      <w:r w:rsidR="00B44DCC" w:rsidRPr="00B44DCC">
        <w:rPr>
          <w:rFonts w:ascii="Arial" w:hAnsi="Arial" w:cs="Arial"/>
          <w:sz w:val="20"/>
          <w:szCs w:val="20"/>
          <w:u w:val="single"/>
        </w:rPr>
        <w:t xml:space="preserve"> UN fli</w:t>
      </w:r>
      <w:r>
        <w:rPr>
          <w:rFonts w:ascii="Arial" w:hAnsi="Arial" w:cs="Arial"/>
          <w:sz w:val="20"/>
          <w:szCs w:val="20"/>
          <w:u w:val="single"/>
        </w:rPr>
        <w:t>ght service vendor registration</w:t>
      </w:r>
    </w:p>
    <w:p w:rsidR="00B44DCC" w:rsidRPr="00B44DCC" w:rsidRDefault="00B44DCC" w:rsidP="00B44DCC">
      <w:pPr>
        <w:rPr>
          <w:rFonts w:ascii="Arial" w:hAnsi="Arial" w:cs="Arial"/>
          <w:sz w:val="20"/>
          <w:szCs w:val="20"/>
          <w:u w:val="single"/>
        </w:rPr>
      </w:pPr>
    </w:p>
    <w:p w:rsidR="00B44DCC" w:rsidRPr="00BA7408" w:rsidRDefault="00B44DCC" w:rsidP="00AD77E9">
      <w:pPr>
        <w:pStyle w:val="SAText"/>
        <w:numPr>
          <w:ilvl w:val="0"/>
          <w:numId w:val="1"/>
        </w:numPr>
        <w:tabs>
          <w:tab w:val="left" w:pos="720"/>
        </w:tabs>
        <w:spacing w:after="160"/>
        <w:ind w:left="720" w:hanging="720"/>
        <w:rPr>
          <w:color w:val="0070C0"/>
        </w:rPr>
      </w:pPr>
      <w:r w:rsidRPr="00B44DCC">
        <w:rPr>
          <w:lang w:eastAsia="en-GB"/>
        </w:rPr>
        <w:t>SET aeroplane</w:t>
      </w:r>
      <w:r w:rsidRPr="00B44DCC">
        <w:t xml:space="preserve"> operators shall have a robust operational oversight system in place including maintenance and other Air Operator Certificate (AOC) relevant processes. </w:t>
      </w:r>
      <w:r w:rsidR="00BA7408" w:rsidRPr="00BA7408">
        <w:rPr>
          <w:color w:val="0070C0"/>
        </w:rPr>
        <w:t>T</w:t>
      </w:r>
    </w:p>
    <w:p w:rsidR="00B44DCC" w:rsidRPr="00B44DCC" w:rsidRDefault="00B44DCC" w:rsidP="00AD77E9">
      <w:pPr>
        <w:pStyle w:val="SAText"/>
        <w:numPr>
          <w:ilvl w:val="0"/>
          <w:numId w:val="1"/>
        </w:numPr>
        <w:tabs>
          <w:tab w:val="left" w:pos="720"/>
        </w:tabs>
        <w:spacing w:after="160"/>
        <w:ind w:left="720" w:hanging="720"/>
      </w:pPr>
      <w:r w:rsidRPr="00B44DCC">
        <w:t>SET aeroplanes shall only be operated in conditions of Day VFR, and over such routes and diversions therefrom, that permit a safe forced landing to be executed in the event of engine failure. The AOC holder must take account for the offered SET aeroplane type(s) escape route planning SOP in its Operations Manual including adequate training SOP, accordingly.</w:t>
      </w:r>
      <w:r w:rsidR="00BA7408">
        <w:t xml:space="preserve"> </w:t>
      </w:r>
      <w:bookmarkStart w:id="1" w:name="_Hlk496873037"/>
      <w:r w:rsidR="00BA7408" w:rsidRPr="00BA7408">
        <w:rPr>
          <w:color w:val="0070C0"/>
        </w:rPr>
        <w:t>T</w:t>
      </w:r>
      <w:bookmarkEnd w:id="1"/>
    </w:p>
    <w:p w:rsidR="00B44DCC" w:rsidRPr="00B44DCC" w:rsidRDefault="00B44DCC" w:rsidP="00AD77E9">
      <w:pPr>
        <w:pStyle w:val="SAText"/>
        <w:numPr>
          <w:ilvl w:val="0"/>
          <w:numId w:val="1"/>
        </w:numPr>
        <w:tabs>
          <w:tab w:val="left" w:pos="720"/>
        </w:tabs>
        <w:spacing w:after="160"/>
        <w:ind w:left="720" w:hanging="720"/>
      </w:pPr>
      <w:r w:rsidRPr="00B44DCC">
        <w:t xml:space="preserve">SET aeroplanes shall have an engine trend monitoring system, and those aeroplanes for which the individual certificate of airworthiness is first issued on or after 1 January 2005 shall have an automatic trend monitoring system, where available. </w:t>
      </w:r>
      <w:r w:rsidR="00BA7408" w:rsidRPr="00BA7408">
        <w:rPr>
          <w:color w:val="0070C0"/>
        </w:rPr>
        <w:t>T</w:t>
      </w:r>
    </w:p>
    <w:p w:rsidR="00B44DCC" w:rsidRPr="00B44DCC" w:rsidRDefault="00B44DCC" w:rsidP="00AD77E9">
      <w:pPr>
        <w:pStyle w:val="SAText"/>
        <w:numPr>
          <w:ilvl w:val="0"/>
          <w:numId w:val="1"/>
        </w:numPr>
        <w:tabs>
          <w:tab w:val="left" w:pos="720"/>
        </w:tabs>
        <w:spacing w:after="160"/>
        <w:ind w:left="720" w:hanging="720"/>
      </w:pPr>
      <w:r w:rsidRPr="00B44DCC">
        <w:t>SET aeroplane operators shall have a spare part program in place, emphasizing spare tires.</w:t>
      </w:r>
      <w:r w:rsidR="00BA7408">
        <w:t xml:space="preserve"> </w:t>
      </w:r>
      <w:r w:rsidR="00BA7408" w:rsidRPr="00BA7408">
        <w:rPr>
          <w:color w:val="0070C0"/>
        </w:rPr>
        <w:t>T</w:t>
      </w:r>
    </w:p>
    <w:p w:rsidR="00B44DCC" w:rsidRPr="00B44DCC" w:rsidRDefault="00B44DCC" w:rsidP="00AD77E9">
      <w:pPr>
        <w:pStyle w:val="SAText"/>
        <w:numPr>
          <w:ilvl w:val="0"/>
          <w:numId w:val="1"/>
        </w:numPr>
        <w:tabs>
          <w:tab w:val="left" w:pos="720"/>
        </w:tabs>
        <w:spacing w:after="160"/>
        <w:ind w:left="720" w:hanging="720"/>
      </w:pPr>
      <w:r w:rsidRPr="00B44DCC">
        <w:t xml:space="preserve">SET aeroplane operators shall have a robust AOG program in place ascertaining operations continuity. </w:t>
      </w:r>
      <w:r w:rsidR="00BA7408" w:rsidRPr="00BA7408">
        <w:rPr>
          <w:color w:val="0070C0"/>
        </w:rPr>
        <w:t>T</w:t>
      </w:r>
    </w:p>
    <w:p w:rsidR="00B44DCC" w:rsidRPr="00B44DCC" w:rsidRDefault="00B44DCC" w:rsidP="00AD77E9">
      <w:pPr>
        <w:pStyle w:val="SAText"/>
        <w:numPr>
          <w:ilvl w:val="0"/>
          <w:numId w:val="1"/>
        </w:numPr>
        <w:tabs>
          <w:tab w:val="left" w:pos="720"/>
        </w:tabs>
        <w:spacing w:after="160"/>
        <w:ind w:left="720" w:hanging="720"/>
      </w:pPr>
      <w:r w:rsidRPr="00B44DCC">
        <w:t>SET aeroplane operators should be encouraged to partner with the manufacturer(s) in field maintenance and enrol in programs like on FAST and engine oil analysis programs.</w:t>
      </w:r>
      <w:r w:rsidR="00BA7408">
        <w:t xml:space="preserve"> </w:t>
      </w:r>
      <w:r w:rsidR="00BA7408" w:rsidRPr="00BA7408">
        <w:rPr>
          <w:color w:val="0070C0"/>
        </w:rPr>
        <w:t>T</w:t>
      </w:r>
    </w:p>
    <w:p w:rsidR="00B44DCC" w:rsidRPr="00B44DCC" w:rsidRDefault="00B44DCC" w:rsidP="00AD77E9">
      <w:pPr>
        <w:pStyle w:val="SAText"/>
        <w:numPr>
          <w:ilvl w:val="0"/>
          <w:numId w:val="1"/>
        </w:numPr>
        <w:tabs>
          <w:tab w:val="left" w:pos="720"/>
        </w:tabs>
        <w:spacing w:after="160"/>
        <w:ind w:left="720" w:hanging="720"/>
      </w:pPr>
      <w:r w:rsidRPr="00B44DCC">
        <w:t>SET aeroplane operators shall have processes and procedures in place to operate DFS SET aeroplanes with two (2) cockpit crew, fully type and IFR rated.</w:t>
      </w:r>
      <w:r w:rsidR="00BA7408">
        <w:t xml:space="preserve"> </w:t>
      </w:r>
      <w:r w:rsidR="00BA7408" w:rsidRPr="00BA7408">
        <w:rPr>
          <w:color w:val="0070C0"/>
        </w:rPr>
        <w:t>T</w:t>
      </w:r>
    </w:p>
    <w:p w:rsidR="00AD77E9" w:rsidRPr="00B44DCC" w:rsidRDefault="00AD77E9" w:rsidP="00AD77E9">
      <w:pPr>
        <w:pStyle w:val="SAText"/>
        <w:numPr>
          <w:ilvl w:val="0"/>
          <w:numId w:val="1"/>
        </w:numPr>
        <w:tabs>
          <w:tab w:val="left" w:pos="720"/>
        </w:tabs>
        <w:spacing w:after="160"/>
        <w:ind w:left="720" w:hanging="720"/>
      </w:pPr>
      <w:r w:rsidRPr="00B44DCC">
        <w:t xml:space="preserve">SET aeroplane operators shall have CAA approved procedures for fuelling from fuel drums and overnight parking/ aircraft tie-down, including associated training programs. </w:t>
      </w:r>
      <w:r w:rsidRPr="00BA7408">
        <w:rPr>
          <w:color w:val="0070C0"/>
        </w:rPr>
        <w:t>T</w:t>
      </w:r>
    </w:p>
    <w:p w:rsidR="00AD77E9" w:rsidRPr="00B44DCC" w:rsidRDefault="00AD77E9" w:rsidP="00AD77E9">
      <w:pPr>
        <w:pStyle w:val="SAText"/>
        <w:numPr>
          <w:ilvl w:val="0"/>
          <w:numId w:val="1"/>
        </w:numPr>
        <w:tabs>
          <w:tab w:val="left" w:pos="720"/>
        </w:tabs>
        <w:spacing w:after="160"/>
        <w:ind w:left="720" w:hanging="720"/>
      </w:pPr>
      <w:r w:rsidRPr="00B44DCC">
        <w:t>SET aeroplane operators crew training program shall include processes and procedures for initial and recurrent training on certified and approved synthetic training devices. The air operator’s simulator training program must be CAA approved. Additionally, it must include airport and airfield familiarization training and see and avoid procedure training.</w:t>
      </w:r>
      <w:r>
        <w:t xml:space="preserve"> </w:t>
      </w:r>
      <w:r w:rsidRPr="00BA7408">
        <w:rPr>
          <w:color w:val="0070C0"/>
        </w:rPr>
        <w:t>T</w:t>
      </w:r>
    </w:p>
    <w:p w:rsidR="00AD77E9" w:rsidRPr="001830C0" w:rsidRDefault="00AD77E9" w:rsidP="00AD77E9">
      <w:pPr>
        <w:pStyle w:val="SAText"/>
        <w:numPr>
          <w:ilvl w:val="0"/>
          <w:numId w:val="1"/>
        </w:numPr>
        <w:tabs>
          <w:tab w:val="left" w:pos="720"/>
        </w:tabs>
        <w:spacing w:after="160"/>
        <w:ind w:left="720" w:hanging="720"/>
      </w:pPr>
      <w:r w:rsidRPr="00B44DCC">
        <w:t>SET aeroplane operators shall have Dangerous Goods (DG) certification.</w:t>
      </w:r>
      <w:r>
        <w:t xml:space="preserve"> </w:t>
      </w:r>
      <w:r w:rsidRPr="001830C0">
        <w:rPr>
          <w:color w:val="0070C0"/>
        </w:rPr>
        <w:t>T</w:t>
      </w:r>
    </w:p>
    <w:p w:rsidR="00B44DCC" w:rsidRPr="00B44DCC" w:rsidRDefault="00B44DCC" w:rsidP="00AD77E9">
      <w:pPr>
        <w:pStyle w:val="SAText"/>
        <w:numPr>
          <w:ilvl w:val="0"/>
          <w:numId w:val="1"/>
        </w:numPr>
        <w:tabs>
          <w:tab w:val="left" w:pos="720"/>
        </w:tabs>
        <w:spacing w:after="160"/>
        <w:ind w:left="720" w:hanging="720"/>
      </w:pPr>
      <w:r w:rsidRPr="00B44DCC">
        <w:t>SET aeroplane operations for DFS shall be restricted to 10,000 feet AMSL</w:t>
      </w:r>
      <w:r>
        <w:t xml:space="preserve"> </w:t>
      </w:r>
      <w:r w:rsidRPr="00B44DCC">
        <w:t xml:space="preserve">flying altitude, and no flying over mountainous terrain. </w:t>
      </w:r>
      <w:r w:rsidR="00BA7408" w:rsidRPr="00BA7408">
        <w:rPr>
          <w:color w:val="0070C0"/>
        </w:rPr>
        <w:t>C</w:t>
      </w:r>
    </w:p>
    <w:p w:rsidR="00B44DCC" w:rsidRPr="00B44DCC" w:rsidRDefault="00B44DCC" w:rsidP="00AD77E9">
      <w:pPr>
        <w:pStyle w:val="SAText"/>
        <w:numPr>
          <w:ilvl w:val="0"/>
          <w:numId w:val="1"/>
        </w:numPr>
        <w:tabs>
          <w:tab w:val="left" w:pos="720"/>
        </w:tabs>
        <w:spacing w:after="160"/>
        <w:ind w:left="720" w:hanging="720"/>
      </w:pPr>
      <w:r w:rsidRPr="00B44DCC">
        <w:t xml:space="preserve">SET aeroplane operations for DFS shall not mix passenger and cargo. </w:t>
      </w:r>
      <w:r w:rsidR="00BA7408" w:rsidRPr="00BA7408">
        <w:rPr>
          <w:color w:val="548DD4" w:themeColor="text2" w:themeTint="99"/>
        </w:rPr>
        <w:t>C</w:t>
      </w:r>
    </w:p>
    <w:p w:rsidR="00AD77E9" w:rsidRPr="00B44DCC" w:rsidRDefault="00AD77E9" w:rsidP="00AD77E9">
      <w:pPr>
        <w:pStyle w:val="SAText"/>
        <w:numPr>
          <w:ilvl w:val="0"/>
          <w:numId w:val="1"/>
        </w:numPr>
        <w:tabs>
          <w:tab w:val="left" w:pos="720"/>
        </w:tabs>
        <w:spacing w:after="160"/>
        <w:ind w:left="720" w:hanging="720"/>
      </w:pPr>
      <w:r w:rsidRPr="00B44DCC">
        <w:t xml:space="preserve">SET aeroplanes shall be restricted to six (6) landings per flight rotation per day due to mainly short sectors and the hazard of crew fatigue. </w:t>
      </w:r>
      <w:r w:rsidRPr="00BA7408">
        <w:rPr>
          <w:color w:val="0070C0"/>
        </w:rPr>
        <w:t>C</w:t>
      </w:r>
    </w:p>
    <w:p w:rsidR="00AD77E9" w:rsidRPr="00B44DCC" w:rsidRDefault="00AD77E9" w:rsidP="00AD77E9">
      <w:pPr>
        <w:pStyle w:val="SAText"/>
        <w:numPr>
          <w:ilvl w:val="0"/>
          <w:numId w:val="1"/>
        </w:numPr>
        <w:tabs>
          <w:tab w:val="left" w:pos="720"/>
        </w:tabs>
        <w:spacing w:after="160"/>
        <w:ind w:left="720" w:hanging="720"/>
      </w:pPr>
      <w:r w:rsidRPr="00B44DCC">
        <w:t xml:space="preserve">Time between engine overhaul (TBO) of SET aeroplanes shall be restricted. </w:t>
      </w:r>
      <w:r w:rsidRPr="00BA7408">
        <w:rPr>
          <w:color w:val="0070C0"/>
        </w:rPr>
        <w:t>C</w:t>
      </w:r>
    </w:p>
    <w:p w:rsidR="00AD77E9" w:rsidRPr="00B44DCC" w:rsidRDefault="00AD77E9" w:rsidP="00AD77E9">
      <w:pPr>
        <w:pStyle w:val="SAText"/>
        <w:numPr>
          <w:ilvl w:val="0"/>
          <w:numId w:val="1"/>
        </w:numPr>
        <w:tabs>
          <w:tab w:val="left" w:pos="720"/>
        </w:tabs>
        <w:spacing w:after="160"/>
        <w:ind w:left="720" w:hanging="720"/>
      </w:pPr>
      <w:r w:rsidRPr="00B44DCC">
        <w:t>SET aeroplanes shall be equipped with a serviceable satellite-based tracking system transmitting at one (1) minute interval and satellite phone, HF radio, transponder mode S, dual GPS, TCAS and EGPWS, weather radar, and FDM. All equipment should be installed, maintained, air operator’s SOP approved, and crew trained before contract award.</w:t>
      </w:r>
      <w:r>
        <w:t xml:space="preserve"> </w:t>
      </w:r>
      <w:r>
        <w:rPr>
          <w:color w:val="0070C0"/>
        </w:rPr>
        <w:t>C</w:t>
      </w:r>
    </w:p>
    <w:p w:rsidR="00AD77E9" w:rsidRPr="00AD77E9" w:rsidRDefault="00AD77E9" w:rsidP="00AD77E9">
      <w:pPr>
        <w:pStyle w:val="TextBodyNumbered"/>
        <w:tabs>
          <w:tab w:val="left" w:pos="720"/>
        </w:tabs>
        <w:spacing w:after="160"/>
        <w:ind w:left="720" w:hanging="720"/>
      </w:pPr>
      <w:r w:rsidRPr="00B44DCC">
        <w:rPr>
          <w:sz w:val="20"/>
          <w:szCs w:val="20"/>
          <w:lang w:eastAsia="en-GB"/>
        </w:rPr>
        <w:t xml:space="preserve">SET aeroplanes must be operated in compliance with the performance operating limitations established by the State of Registry and in accordance with the AOC holder’s processes and procedures. </w:t>
      </w:r>
      <w:r w:rsidRPr="00AD77E9">
        <w:rPr>
          <w:color w:val="0070C0"/>
          <w:sz w:val="20"/>
          <w:szCs w:val="20"/>
          <w:lang w:eastAsia="en-GB"/>
        </w:rPr>
        <w:t>C</w:t>
      </w:r>
    </w:p>
    <w:p w:rsidR="00AD77E9" w:rsidRDefault="00AD77E9" w:rsidP="00AD77E9">
      <w:pPr>
        <w:pStyle w:val="TextBodyNumbered"/>
        <w:numPr>
          <w:ilvl w:val="0"/>
          <w:numId w:val="0"/>
        </w:numPr>
        <w:tabs>
          <w:tab w:val="left" w:pos="720"/>
        </w:tabs>
        <w:spacing w:after="120"/>
        <w:ind w:left="360"/>
      </w:pPr>
    </w:p>
    <w:p w:rsidR="00AD77E9" w:rsidRDefault="00AD77E9" w:rsidP="00AD77E9">
      <w:pPr>
        <w:pStyle w:val="TextBodyNumbered"/>
        <w:numPr>
          <w:ilvl w:val="0"/>
          <w:numId w:val="0"/>
        </w:numPr>
        <w:tabs>
          <w:tab w:val="left" w:pos="720"/>
        </w:tabs>
        <w:spacing w:after="120"/>
        <w:ind w:left="360"/>
        <w:rPr>
          <w:b/>
          <w:bCs/>
          <w:color w:val="4F81BD" w:themeColor="accent1"/>
        </w:rPr>
      </w:pPr>
      <w:r>
        <w:rPr>
          <w:b/>
          <w:bCs/>
          <w:color w:val="4F81BD" w:themeColor="accent1"/>
        </w:rPr>
        <w:t>T - Technical</w:t>
      </w:r>
    </w:p>
    <w:p w:rsidR="00AD77E9" w:rsidRPr="00AD77E9" w:rsidRDefault="00AD77E9" w:rsidP="00AD77E9">
      <w:pPr>
        <w:pStyle w:val="TextBodyNumbered"/>
        <w:numPr>
          <w:ilvl w:val="0"/>
          <w:numId w:val="0"/>
        </w:numPr>
        <w:tabs>
          <w:tab w:val="left" w:pos="720"/>
        </w:tabs>
        <w:spacing w:after="120"/>
        <w:ind w:left="360"/>
        <w:rPr>
          <w:b/>
          <w:bCs/>
          <w:color w:val="4F81BD" w:themeColor="accent1"/>
        </w:rPr>
      </w:pPr>
      <w:r>
        <w:rPr>
          <w:b/>
          <w:bCs/>
          <w:color w:val="4F81BD" w:themeColor="accent1"/>
        </w:rPr>
        <w:t>C-  Contractual</w:t>
      </w:r>
    </w:p>
    <w:sectPr w:rsidR="00AD77E9" w:rsidRPr="00AD77E9" w:rsidSect="00B44DCC">
      <w:headerReference w:type="default" r:id="rId7"/>
      <w:footerReference w:type="default" r:id="rId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706" w:rsidRDefault="002C0706" w:rsidP="00B44DCC">
      <w:r>
        <w:separator/>
      </w:r>
    </w:p>
  </w:endnote>
  <w:endnote w:type="continuationSeparator" w:id="0">
    <w:p w:rsidR="002C0706" w:rsidRDefault="002C0706" w:rsidP="00B4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sz w:val="18"/>
        <w:szCs w:val="18"/>
      </w:rPr>
      <w:id w:val="-549766694"/>
      <w:docPartObj>
        <w:docPartGallery w:val="Page Numbers (Bottom of Page)"/>
        <w:docPartUnique/>
      </w:docPartObj>
    </w:sdtPr>
    <w:sdtEndPr>
      <w:rPr>
        <w:noProof/>
      </w:rPr>
    </w:sdtEndPr>
    <w:sdtContent>
      <w:p w:rsidR="00B44DCC" w:rsidRPr="00B44DCC" w:rsidRDefault="00B44DCC" w:rsidP="00B44DCC">
        <w:pPr>
          <w:pStyle w:val="Footer"/>
          <w:tabs>
            <w:tab w:val="clear" w:pos="4513"/>
            <w:tab w:val="clear" w:pos="9026"/>
            <w:tab w:val="left" w:pos="5040"/>
            <w:tab w:val="right" w:pos="9360"/>
          </w:tabs>
          <w:rPr>
            <w:rFonts w:ascii="Arial Narrow" w:hAnsi="Arial Narrow" w:cs="Arial"/>
            <w:sz w:val="18"/>
            <w:szCs w:val="18"/>
          </w:rPr>
        </w:pPr>
        <w:r w:rsidRPr="00B44DCC">
          <w:rPr>
            <w:rFonts w:ascii="Arial Narrow" w:hAnsi="Arial Narrow" w:cs="Arial"/>
            <w:sz w:val="18"/>
            <w:szCs w:val="18"/>
          </w:rPr>
          <w:t xml:space="preserve">DFS/LSD Aviation Safety Section </w:t>
        </w:r>
        <w:r w:rsidRPr="00B44DCC">
          <w:rPr>
            <w:rFonts w:ascii="Arial Narrow" w:hAnsi="Arial Narrow" w:cs="Arial"/>
            <w:sz w:val="18"/>
            <w:szCs w:val="18"/>
          </w:rPr>
          <w:tab/>
          <w:t>Oct2017</w:t>
        </w:r>
        <w:r w:rsidRPr="00B44DCC">
          <w:rPr>
            <w:rFonts w:ascii="Arial Narrow" w:hAnsi="Arial Narrow" w:cs="Arial"/>
            <w:sz w:val="18"/>
            <w:szCs w:val="18"/>
          </w:rPr>
          <w:tab/>
          <w:t xml:space="preserve">Page </w:t>
        </w:r>
        <w:r w:rsidRPr="00B44DCC">
          <w:rPr>
            <w:rFonts w:ascii="Arial Narrow" w:hAnsi="Arial Narrow" w:cs="Arial"/>
            <w:sz w:val="18"/>
            <w:szCs w:val="18"/>
          </w:rPr>
          <w:fldChar w:fldCharType="begin"/>
        </w:r>
        <w:r w:rsidRPr="00B44DCC">
          <w:rPr>
            <w:rFonts w:ascii="Arial Narrow" w:hAnsi="Arial Narrow" w:cs="Arial"/>
            <w:sz w:val="18"/>
            <w:szCs w:val="18"/>
          </w:rPr>
          <w:instrText xml:space="preserve"> PAGE </w:instrText>
        </w:r>
        <w:r w:rsidRPr="00B44DCC">
          <w:rPr>
            <w:rFonts w:ascii="Arial Narrow" w:hAnsi="Arial Narrow" w:cs="Arial"/>
            <w:sz w:val="18"/>
            <w:szCs w:val="18"/>
          </w:rPr>
          <w:fldChar w:fldCharType="separate"/>
        </w:r>
        <w:r w:rsidR="00054FE5">
          <w:rPr>
            <w:rFonts w:ascii="Arial Narrow" w:hAnsi="Arial Narrow" w:cs="Arial"/>
            <w:noProof/>
            <w:sz w:val="18"/>
            <w:szCs w:val="18"/>
          </w:rPr>
          <w:t>1</w:t>
        </w:r>
        <w:r w:rsidRPr="00B44DCC">
          <w:rPr>
            <w:rFonts w:ascii="Arial Narrow" w:hAnsi="Arial Narrow" w:cs="Arial"/>
            <w:sz w:val="18"/>
            <w:szCs w:val="18"/>
          </w:rPr>
          <w:fldChar w:fldCharType="end"/>
        </w:r>
        <w:r w:rsidRPr="00B44DCC">
          <w:rPr>
            <w:rFonts w:ascii="Arial Narrow" w:hAnsi="Arial Narrow" w:cs="Arial"/>
            <w:sz w:val="18"/>
            <w:szCs w:val="18"/>
          </w:rPr>
          <w:t xml:space="preserve"> of </w:t>
        </w:r>
        <w:r w:rsidRPr="00B44DCC">
          <w:rPr>
            <w:rFonts w:ascii="Arial Narrow" w:hAnsi="Arial Narrow" w:cs="Arial"/>
            <w:sz w:val="18"/>
            <w:szCs w:val="18"/>
          </w:rPr>
          <w:fldChar w:fldCharType="begin"/>
        </w:r>
        <w:r w:rsidRPr="00B44DCC">
          <w:rPr>
            <w:rFonts w:ascii="Arial Narrow" w:hAnsi="Arial Narrow" w:cs="Arial"/>
            <w:sz w:val="18"/>
            <w:szCs w:val="18"/>
          </w:rPr>
          <w:instrText xml:space="preserve"> NUMPAGES </w:instrText>
        </w:r>
        <w:r w:rsidRPr="00B44DCC">
          <w:rPr>
            <w:rFonts w:ascii="Arial Narrow" w:hAnsi="Arial Narrow" w:cs="Arial"/>
            <w:sz w:val="18"/>
            <w:szCs w:val="18"/>
          </w:rPr>
          <w:fldChar w:fldCharType="separate"/>
        </w:r>
        <w:r w:rsidR="00054FE5">
          <w:rPr>
            <w:rFonts w:ascii="Arial Narrow" w:hAnsi="Arial Narrow" w:cs="Arial"/>
            <w:noProof/>
            <w:sz w:val="18"/>
            <w:szCs w:val="18"/>
          </w:rPr>
          <w:t>1</w:t>
        </w:r>
        <w:r w:rsidRPr="00B44DCC">
          <w:rPr>
            <w:rFonts w:ascii="Arial Narrow" w:hAnsi="Arial Narrow"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706" w:rsidRDefault="002C0706" w:rsidP="00B44DCC">
      <w:r>
        <w:separator/>
      </w:r>
    </w:p>
  </w:footnote>
  <w:footnote w:type="continuationSeparator" w:id="0">
    <w:p w:rsidR="002C0706" w:rsidRDefault="002C0706" w:rsidP="00B4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CC" w:rsidRPr="00B44DCC" w:rsidRDefault="00B44DCC" w:rsidP="00B44DCC">
    <w:pPr>
      <w:pStyle w:val="Header"/>
      <w:tabs>
        <w:tab w:val="clear" w:pos="9026"/>
        <w:tab w:val="left" w:pos="7125"/>
      </w:tabs>
      <w:rPr>
        <w:rFonts w:ascii="Arial Narrow" w:hAnsi="Arial Narrow"/>
        <w:b/>
        <w:color w:val="808080"/>
        <w:sz w:val="28"/>
        <w:szCs w:val="28"/>
      </w:rPr>
    </w:pPr>
    <w:r w:rsidRPr="00B44DCC">
      <w:rPr>
        <w:rFonts w:ascii="Arial Narrow" w:hAnsi="Arial Narrow"/>
        <w:b/>
        <w:bCs/>
        <w:noProof/>
        <w:color w:val="808080"/>
        <w:sz w:val="28"/>
        <w:szCs w:val="28"/>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-138430</wp:posOffset>
          </wp:positionV>
          <wp:extent cx="685800" cy="685800"/>
          <wp:effectExtent l="0" t="0" r="0" b="0"/>
          <wp:wrapThrough wrapText="bothSides">
            <wp:wrapPolygon edited="0">
              <wp:start x="0" y="0"/>
              <wp:lineTo x="0" y="21000"/>
              <wp:lineTo x="21000" y="21000"/>
              <wp:lineTo x="21000" y="0"/>
              <wp:lineTo x="0" y="0"/>
            </wp:wrapPolygon>
          </wp:wrapThrough>
          <wp:docPr id="5" name="Picture 5" descr="UN Logo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light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DCC">
      <w:rPr>
        <w:rFonts w:ascii="Arial Narrow" w:hAnsi="Arial Narrow"/>
        <w:b/>
        <w:bCs/>
        <w:color w:val="808080"/>
        <w:sz w:val="28"/>
        <w:szCs w:val="28"/>
      </w:rPr>
      <w:t>United Nations</w:t>
    </w:r>
    <w:r w:rsidRPr="00B44DCC">
      <w:rPr>
        <w:rFonts w:ascii="Arial Narrow" w:hAnsi="Arial Narrow"/>
        <w:b/>
        <w:color w:val="808080"/>
        <w:sz w:val="28"/>
        <w:szCs w:val="28"/>
      </w:rPr>
      <w:t xml:space="preserve"> Flight Service Vendor Registration</w:t>
    </w:r>
  </w:p>
  <w:p w:rsidR="00B44DCC" w:rsidRPr="00B44DCC" w:rsidRDefault="00B44DCC" w:rsidP="00B44DCC">
    <w:pPr>
      <w:pStyle w:val="Header"/>
      <w:tabs>
        <w:tab w:val="clear" w:pos="9026"/>
        <w:tab w:val="left" w:pos="7125"/>
      </w:tabs>
      <w:rPr>
        <w:rFonts w:ascii="Arial Narrow" w:hAnsi="Arial Narrow"/>
        <w:b/>
        <w:color w:val="808080"/>
        <w:sz w:val="28"/>
        <w:szCs w:val="28"/>
      </w:rPr>
    </w:pPr>
    <w:r w:rsidRPr="00B44DCC">
      <w:rPr>
        <w:rFonts w:ascii="Arial Narrow" w:hAnsi="Arial Narrow"/>
        <w:b/>
        <w:color w:val="808080"/>
        <w:sz w:val="28"/>
        <w:szCs w:val="28"/>
      </w:rPr>
      <w:t>Criteria for Single Engine Turbine (SET) Aircraft – Fixed Wing</w:t>
    </w:r>
  </w:p>
  <w:p w:rsidR="00B44DCC" w:rsidRPr="00B44DCC" w:rsidRDefault="00B44DCC">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C22BF"/>
    <w:multiLevelType w:val="multilevel"/>
    <w:tmpl w:val="EAD0D286"/>
    <w:lvl w:ilvl="0">
      <w:start w:val="1"/>
      <w:numFmt w:val="upperLetter"/>
      <w:pStyle w:val="ManualChapters"/>
      <w:lvlText w:val="%1."/>
      <w:lvlJc w:val="left"/>
      <w:pPr>
        <w:tabs>
          <w:tab w:val="num" w:pos="360"/>
        </w:tabs>
        <w:ind w:left="360" w:hanging="360"/>
      </w:pPr>
      <w:rPr>
        <w:rFonts w:ascii="Arial" w:hAnsi="Arial" w:cs="Times New Roman" w:hint="default"/>
        <w:b/>
        <w:i w:val="0"/>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711278C"/>
    <w:multiLevelType w:val="hybridMultilevel"/>
    <w:tmpl w:val="7A360012"/>
    <w:lvl w:ilvl="0" w:tplc="2D1E5A7E">
      <w:start w:val="1"/>
      <w:numFmt w:val="decimal"/>
      <w:pStyle w:val="TextBodyNumbered"/>
      <w:lvlText w:val="%1."/>
      <w:lvlJc w:val="left"/>
      <w:pPr>
        <w:ind w:left="900" w:hanging="360"/>
      </w:pPr>
      <w:rPr>
        <w:rFonts w:ascii="Arial" w:hAnsi="Arial" w:cs="Times New Roman" w:hint="default"/>
        <w:b w:val="0"/>
        <w:color w:val="auto"/>
        <w:sz w:val="20"/>
        <w:szCs w:val="20"/>
      </w:rPr>
    </w:lvl>
    <w:lvl w:ilvl="1" w:tplc="E92AB554">
      <w:start w:val="1"/>
      <w:numFmt w:val="lowerLetter"/>
      <w:lvlText w:val="%2)"/>
      <w:lvlJc w:val="left"/>
      <w:pPr>
        <w:ind w:left="2160" w:hanging="360"/>
      </w:pPr>
      <w:rPr>
        <w:b w:val="0"/>
        <w:i w:val="0"/>
        <w:sz w:val="20"/>
        <w:szCs w:val="20"/>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CC"/>
    <w:rsid w:val="00054FE5"/>
    <w:rsid w:val="001155BD"/>
    <w:rsid w:val="001830C0"/>
    <w:rsid w:val="00193644"/>
    <w:rsid w:val="002C0706"/>
    <w:rsid w:val="00313C7C"/>
    <w:rsid w:val="004473F6"/>
    <w:rsid w:val="004B7927"/>
    <w:rsid w:val="005236DC"/>
    <w:rsid w:val="00527C86"/>
    <w:rsid w:val="007403D8"/>
    <w:rsid w:val="0077789C"/>
    <w:rsid w:val="00A12CDB"/>
    <w:rsid w:val="00AD77E9"/>
    <w:rsid w:val="00AF6BD4"/>
    <w:rsid w:val="00B44DCC"/>
    <w:rsid w:val="00BA7408"/>
    <w:rsid w:val="00C3288D"/>
    <w:rsid w:val="00C42763"/>
    <w:rsid w:val="00C83DAC"/>
    <w:rsid w:val="00CC1005"/>
    <w:rsid w:val="00CF0DF0"/>
    <w:rsid w:val="00D76A74"/>
    <w:rsid w:val="00DD79A1"/>
    <w:rsid w:val="00E170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3D4A88-AF30-4AA1-8BCB-29A0257B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4"/>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4DCC"/>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4DCC"/>
    <w:rPr>
      <w:rFonts w:ascii="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B44DCC"/>
    <w:rPr>
      <w:rFonts w:ascii="Times New Roman" w:hAnsi="Times New Roman"/>
      <w:sz w:val="20"/>
      <w:szCs w:val="20"/>
      <w:lang w:eastAsia="ja-JP"/>
    </w:rPr>
  </w:style>
  <w:style w:type="paragraph" w:customStyle="1" w:styleId="TextBodyNumbered">
    <w:name w:val="Text Body Numbered"/>
    <w:basedOn w:val="Normal"/>
    <w:rsid w:val="00B44DCC"/>
    <w:pPr>
      <w:numPr>
        <w:numId w:val="1"/>
      </w:numPr>
      <w:spacing w:after="240"/>
      <w:ind w:left="360" w:firstLine="0"/>
      <w:contextualSpacing/>
    </w:pPr>
    <w:rPr>
      <w:rFonts w:ascii="Arial" w:hAnsi="Arial" w:cs="Arial"/>
      <w:lang w:eastAsia="ja-JP"/>
    </w:rPr>
  </w:style>
  <w:style w:type="paragraph" w:customStyle="1" w:styleId="SAText">
    <w:name w:val="SA Text"/>
    <w:basedOn w:val="Normal"/>
    <w:rsid w:val="00B44DCC"/>
    <w:pPr>
      <w:tabs>
        <w:tab w:val="num" w:pos="360"/>
      </w:tabs>
      <w:spacing w:after="240"/>
      <w:ind w:left="720" w:hanging="720"/>
      <w:jc w:val="both"/>
    </w:pPr>
    <w:rPr>
      <w:rFonts w:ascii="Arial" w:hAnsi="Arial" w:cs="Arial"/>
      <w:sz w:val="20"/>
      <w:szCs w:val="20"/>
      <w:lang w:eastAsia="ja-JP"/>
    </w:rPr>
  </w:style>
  <w:style w:type="character" w:styleId="FootnoteReference">
    <w:name w:val="footnote reference"/>
    <w:basedOn w:val="DefaultParagraphFont"/>
    <w:uiPriority w:val="99"/>
    <w:semiHidden/>
    <w:unhideWhenUsed/>
    <w:rsid w:val="00B44DCC"/>
    <w:rPr>
      <w:vertAlign w:val="superscript"/>
    </w:rPr>
  </w:style>
  <w:style w:type="paragraph" w:styleId="Header">
    <w:name w:val="header"/>
    <w:basedOn w:val="Normal"/>
    <w:link w:val="HeaderChar"/>
    <w:unhideWhenUsed/>
    <w:rsid w:val="00B44DCC"/>
    <w:pPr>
      <w:tabs>
        <w:tab w:val="center" w:pos="4513"/>
        <w:tab w:val="right" w:pos="9026"/>
      </w:tabs>
    </w:pPr>
  </w:style>
  <w:style w:type="character" w:customStyle="1" w:styleId="HeaderChar">
    <w:name w:val="Header Char"/>
    <w:basedOn w:val="DefaultParagraphFont"/>
    <w:link w:val="Header"/>
    <w:rsid w:val="00B44DCC"/>
    <w:rPr>
      <w:rFonts w:ascii="Calibri" w:hAnsi="Calibri" w:cs="Calibri"/>
      <w:szCs w:val="22"/>
    </w:rPr>
  </w:style>
  <w:style w:type="paragraph" w:styleId="Footer">
    <w:name w:val="footer"/>
    <w:basedOn w:val="Normal"/>
    <w:link w:val="FooterChar"/>
    <w:uiPriority w:val="99"/>
    <w:unhideWhenUsed/>
    <w:rsid w:val="00B44DCC"/>
    <w:pPr>
      <w:tabs>
        <w:tab w:val="center" w:pos="4513"/>
        <w:tab w:val="right" w:pos="9026"/>
      </w:tabs>
    </w:pPr>
  </w:style>
  <w:style w:type="character" w:customStyle="1" w:styleId="FooterChar">
    <w:name w:val="Footer Char"/>
    <w:basedOn w:val="DefaultParagraphFont"/>
    <w:link w:val="Footer"/>
    <w:uiPriority w:val="99"/>
    <w:rsid w:val="00B44DCC"/>
    <w:rPr>
      <w:rFonts w:ascii="Calibri" w:hAnsi="Calibri" w:cs="Calibri"/>
      <w:szCs w:val="22"/>
    </w:rPr>
  </w:style>
  <w:style w:type="paragraph" w:customStyle="1" w:styleId="ManualChapters">
    <w:name w:val="Manual Chapters"/>
    <w:basedOn w:val="Normal"/>
    <w:rsid w:val="00B44DCC"/>
    <w:pPr>
      <w:numPr>
        <w:numId w:val="2"/>
      </w:numPr>
    </w:pPr>
    <w:rPr>
      <w:rFonts w:ascii="Arial" w:eastAsia="MS Mincho" w:hAnsi="Arial" w:cs="Times New Roman"/>
      <w:szCs w:val="24"/>
      <w:lang w:eastAsia="ja-JP"/>
    </w:rPr>
  </w:style>
  <w:style w:type="character" w:styleId="CommentReference">
    <w:name w:val="annotation reference"/>
    <w:basedOn w:val="DefaultParagraphFont"/>
    <w:semiHidden/>
    <w:unhideWhenUsed/>
    <w:rsid w:val="00BA7408"/>
    <w:rPr>
      <w:sz w:val="16"/>
      <w:szCs w:val="16"/>
    </w:rPr>
  </w:style>
  <w:style w:type="paragraph" w:styleId="CommentText">
    <w:name w:val="annotation text"/>
    <w:basedOn w:val="Normal"/>
    <w:link w:val="CommentTextChar"/>
    <w:semiHidden/>
    <w:unhideWhenUsed/>
    <w:rsid w:val="00BA7408"/>
    <w:rPr>
      <w:sz w:val="20"/>
      <w:szCs w:val="20"/>
    </w:rPr>
  </w:style>
  <w:style w:type="character" w:customStyle="1" w:styleId="CommentTextChar">
    <w:name w:val="Comment Text Char"/>
    <w:basedOn w:val="DefaultParagraphFont"/>
    <w:link w:val="CommentText"/>
    <w:semiHidden/>
    <w:rsid w:val="00BA7408"/>
    <w:rPr>
      <w:rFonts w:ascii="Calibri" w:hAnsi="Calibri" w:cs="Calibri"/>
      <w:sz w:val="20"/>
      <w:szCs w:val="20"/>
    </w:rPr>
  </w:style>
  <w:style w:type="paragraph" w:styleId="CommentSubject">
    <w:name w:val="annotation subject"/>
    <w:basedOn w:val="CommentText"/>
    <w:next w:val="CommentText"/>
    <w:link w:val="CommentSubjectChar"/>
    <w:semiHidden/>
    <w:unhideWhenUsed/>
    <w:rsid w:val="00BA7408"/>
    <w:rPr>
      <w:b/>
      <w:bCs/>
    </w:rPr>
  </w:style>
  <w:style w:type="character" w:customStyle="1" w:styleId="CommentSubjectChar">
    <w:name w:val="Comment Subject Char"/>
    <w:basedOn w:val="CommentTextChar"/>
    <w:link w:val="CommentSubject"/>
    <w:semiHidden/>
    <w:rsid w:val="00BA7408"/>
    <w:rPr>
      <w:rFonts w:ascii="Calibri" w:hAnsi="Calibri" w:cs="Calibri"/>
      <w:b/>
      <w:bCs/>
      <w:sz w:val="20"/>
      <w:szCs w:val="20"/>
    </w:rPr>
  </w:style>
  <w:style w:type="paragraph" w:styleId="BalloonText">
    <w:name w:val="Balloon Text"/>
    <w:basedOn w:val="Normal"/>
    <w:link w:val="BalloonTextChar"/>
    <w:semiHidden/>
    <w:unhideWhenUsed/>
    <w:rsid w:val="00BA7408"/>
    <w:rPr>
      <w:rFonts w:ascii="Segoe UI" w:hAnsi="Segoe UI" w:cs="Segoe UI"/>
      <w:sz w:val="18"/>
      <w:szCs w:val="18"/>
    </w:rPr>
  </w:style>
  <w:style w:type="character" w:customStyle="1" w:styleId="BalloonTextChar">
    <w:name w:val="Balloon Text Char"/>
    <w:basedOn w:val="DefaultParagraphFont"/>
    <w:link w:val="BalloonText"/>
    <w:semiHidden/>
    <w:rsid w:val="00BA7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Andersch</dc:creator>
  <cp:keywords/>
  <dc:description/>
  <cp:lastModifiedBy>Alireza Ziaie</cp:lastModifiedBy>
  <cp:revision>2</cp:revision>
  <dcterms:created xsi:type="dcterms:W3CDTF">2018-11-07T19:55:00Z</dcterms:created>
  <dcterms:modified xsi:type="dcterms:W3CDTF">2018-11-07T19:55:00Z</dcterms:modified>
</cp:coreProperties>
</file>