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68416"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fab800"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2c3b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31c2d" stroked="false">
              <v:fill type="solid"/>
            </v:rect>
            <v:rect style="position:absolute;left:0;top:13300;width:564;height:165" filled="true" fillcolor="#d6a21b" stroked="false">
              <v:fill type="solid"/>
            </v:rect>
            <v:rect style="position:absolute;left:0;top:13526;width:564;height:165" filled="true" fillcolor="#30953e" stroked="false">
              <v:fill type="solid"/>
            </v:rect>
            <v:rect style="position:absolute;left:0;top:13751;width:564;height:165" filled="true" fillcolor="#c12632" stroked="false">
              <v:fill type="solid"/>
            </v:rect>
            <v:rect style="position:absolute;left:0;top:13976;width:564;height:165" filled="true" fillcolor="#e63a2a" stroked="false">
              <v:fill type="solid"/>
            </v:rect>
            <v:rect style="position:absolute;left:0;top:14201;width:564;height:165" filled="true" fillcolor="#00a7d7" stroked="false">
              <v:fill type="solid"/>
            </v:rect>
            <v:rect style="position:absolute;left:0;top:14426;width:564;height:165" filled="true" fillcolor="#fab800" stroked="false">
              <v:fill type="solid"/>
            </v:rect>
            <v:rect style="position:absolute;left:0;top:14651;width:564;height:165" filled="true" fillcolor="#95273a" stroked="false">
              <v:fill type="solid"/>
            </v:rect>
            <v:rect style="position:absolute;left:0;top:14876;width:564;height:165" filled="true" fillcolor="#ec6724" stroked="false">
              <v:fill type="solid"/>
            </v:rect>
            <v:rect style="position:absolute;left:0;top:15101;width:564;height:165" filled="true" fillcolor="#dd1f7b" stroked="false">
              <v:fill type="solid"/>
            </v:rect>
            <v:rect style="position:absolute;left:0;top:15326;width:564;height:165" filled="true" fillcolor="#f69d1f" stroked="false">
              <v:fill type="solid"/>
            </v:rect>
            <v:rect style="position:absolute;left:0;top:15551;width:564;height:165" filled="true" fillcolor="#d28d22" stroked="false">
              <v:fill type="solid"/>
            </v:rect>
            <v:rect style="position:absolute;left:0;top:15776;width:564;height:165" filled="true" fillcolor="#4f793c" stroked="false">
              <v:fill type="solid"/>
            </v:rect>
            <v:rect style="position:absolute;left:0;top:16001;width:564;height:165" filled="true" fillcolor="#0079b9" stroked="false">
              <v:fill type="solid"/>
            </v:rect>
            <v:rect style="position:absolute;left:0;top:16226;width:564;height:165" filled="true" fillcolor="#44a73d" stroked="false">
              <v:fill type="solid"/>
            </v:rect>
            <v:rect style="position:absolute;left:0;top:16451;width:564;height:165" filled="true" fillcolor="#175186" stroked="false">
              <v:fill type="solid"/>
            </v:rect>
            <v:rect style="position:absolute;left:0;top:16677;width:564;height:163" filled="true" fillcolor="#2c3b66" stroked="false">
              <v:fill type="solid"/>
            </v:rect>
            <v:line style="position:absolute" from="1275,13903" to="10689,13903" stroked="true" strokeweight="1pt" strokecolor="#292b2a"/>
            <v:shape style="position:absolute;left:5400;top:821;width:1122;height:947" type="#_x0000_t75" stroked="false">
              <v:imagedata r:id="rId6" o:title=""/>
            </v:shape>
            <w10:wrap type="none"/>
          </v:group>
        </w:pict>
      </w:r>
    </w:p>
    <w:p>
      <w:pPr>
        <w:spacing w:before="57"/>
        <w:ind w:left="3009" w:right="2988"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3009" w:right="2996" w:firstLine="0"/>
        <w:jc w:val="center"/>
        <w:rPr>
          <w:rFonts w:ascii="Myriad Pro"/>
          <w:sz w:val="48"/>
        </w:rPr>
      </w:pPr>
      <w:r>
        <w:rPr>
          <w:rFonts w:ascii="Myriad Pro"/>
          <w:b/>
          <w:color w:val="89532F"/>
          <w:sz w:val="54"/>
        </w:rPr>
        <w:t>OUTILS </w:t>
      </w:r>
      <w:r>
        <w:rPr>
          <w:rFonts w:ascii="Myriad Pro"/>
          <w:color w:val="89532F"/>
          <w:sz w:val="48"/>
        </w:rPr>
        <w:t>sur</w:t>
      </w:r>
    </w:p>
    <w:p>
      <w:pPr>
        <w:spacing w:line="615" w:lineRule="exact" w:before="0"/>
        <w:ind w:left="1041" w:right="0" w:firstLine="0"/>
        <w:jc w:val="left"/>
        <w:rPr>
          <w:rFonts w:ascii="Myriad Pro"/>
          <w:b/>
          <w:sz w:val="54"/>
        </w:rPr>
      </w:pPr>
      <w:r>
        <w:rPr>
          <w:rFonts w:ascii="Myriad Pro"/>
          <w:color w:val="89532F"/>
          <w:spacing w:val="-8"/>
          <w:sz w:val="48"/>
        </w:rPr>
        <w:t>le </w:t>
      </w:r>
      <w:r>
        <w:rPr>
          <w:rFonts w:ascii="Myriad Pro"/>
          <w:b/>
          <w:color w:val="89532F"/>
          <w:spacing w:val="-14"/>
          <w:sz w:val="54"/>
        </w:rPr>
        <w:t>HANDICAP </w:t>
      </w:r>
      <w:r>
        <w:rPr>
          <w:rFonts w:ascii="Myriad Pro"/>
          <w:color w:val="89532F"/>
          <w:spacing w:val="-13"/>
          <w:sz w:val="54"/>
        </w:rPr>
        <w:t>pour</w:t>
      </w:r>
      <w:r>
        <w:rPr>
          <w:rFonts w:ascii="Myriad Pro"/>
          <w:color w:val="89532F"/>
          <w:spacing w:val="66"/>
          <w:sz w:val="54"/>
        </w:rPr>
        <w:t> </w:t>
      </w:r>
      <w:r>
        <w:rPr>
          <w:rFonts w:ascii="Myriad Pro"/>
          <w:color w:val="89532F"/>
          <w:spacing w:val="-17"/>
          <w:sz w:val="54"/>
        </w:rPr>
        <w:t>l'</w:t>
      </w:r>
      <w:r>
        <w:rPr>
          <w:rFonts w:ascii="Myriad Pro"/>
          <w:b/>
          <w:color w:val="89532F"/>
          <w:spacing w:val="-17"/>
          <w:sz w:val="54"/>
        </w:rPr>
        <w:t>AFRIQUE</w:t>
      </w:r>
    </w:p>
    <w:p>
      <w:pPr>
        <w:pStyle w:val="BodyText"/>
        <w:spacing w:before="3"/>
        <w:rPr>
          <w:rFonts w:ascii="Myriad Pro"/>
          <w:b/>
          <w:sz w:val="21"/>
        </w:rPr>
      </w:pPr>
    </w:p>
    <w:p>
      <w:pPr>
        <w:spacing w:line="492" w:lineRule="exact" w:before="75"/>
        <w:ind w:left="2960" w:right="547" w:hanging="1813"/>
        <w:jc w:val="left"/>
        <w:rPr>
          <w:rFonts w:ascii="Myriad Pro" w:hAnsi="Myriad Pro"/>
          <w:b/>
          <w:sz w:val="42"/>
        </w:rPr>
      </w:pPr>
      <w:r>
        <w:rPr>
          <w:rFonts w:ascii="Myriad Pro" w:hAnsi="Myriad Pro"/>
          <w:b/>
          <w:color w:val="292B2A"/>
          <w:sz w:val="42"/>
        </w:rPr>
        <w:t>LÉGIFÉRER POUR LES DROITS LIÉS AU HANDICAP</w:t>
      </w:r>
    </w:p>
    <w:p>
      <w:pPr>
        <w:spacing w:after="0" w:line="492" w:lineRule="exact"/>
        <w:jc w:val="left"/>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68392" coordorigin="0,-20" coordsize="11906,16878">
            <v:shape style="position:absolute;left:0;top:0;width:11906;height:16838" type="#_x0000_t75" stroked="false">
              <v:imagedata r:id="rId7" o:title=""/>
            </v:shape>
            <v:line style="position:absolute" from="9638,7807" to="9638,16838" stroked="true" strokeweight="1.99pt" strokecolor="#fdb714"/>
            <v:line style="position:absolute" from="9638,0" to="9638,2391" stroked="true" strokeweight="2pt" strokecolor="#fdb714"/>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fdb714"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FDB714"/>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9" w:lineRule="exact" w:before="23"/>
        <w:ind w:left="1840" w:right="0" w:firstLine="0"/>
        <w:jc w:val="left"/>
        <w:rPr>
          <w:b/>
          <w:sz w:val="44"/>
        </w:rPr>
      </w:pPr>
      <w:r>
        <w:rPr>
          <w:b/>
          <w:color w:val="231F20"/>
          <w:sz w:val="44"/>
        </w:rPr>
        <w:t>LÉGIFÉRER POUR LES DROITS LIÉS</w:t>
      </w:r>
    </w:p>
    <w:p>
      <w:pPr>
        <w:spacing w:line="529" w:lineRule="exact" w:before="0"/>
        <w:ind w:left="5416" w:right="0" w:firstLine="0"/>
        <w:jc w:val="left"/>
        <w:rPr>
          <w:b/>
          <w:sz w:val="44"/>
        </w:rPr>
      </w:pPr>
      <w:r>
        <w:rPr>
          <w:b/>
          <w:color w:val="231F20"/>
          <w:sz w:val="44"/>
        </w:rPr>
        <w:t>AU HANDICAP</w:t>
      </w:r>
    </w:p>
    <w:p>
      <w:pPr>
        <w:spacing w:after="0" w:line="529" w:lineRule="exact"/>
        <w:jc w:val="lef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371;top:3057;width:673;height:673" coordorigin="9371,3057" coordsize="673,673" path="m9707,3057l9630,3066,9559,3091,9497,3131,9445,3183,9405,3245,9380,3316,9371,3393,9380,3470,9405,3541,9445,3604,9497,3656,9559,3695,9630,3721,9707,3730,9784,3721,9855,3695,9918,3656,9970,3604,10009,3541,10035,3470,10044,3393,10035,3316,10009,3245,9970,3183,9918,3131,9855,3091,9784,3066,9707,3057xe" filled="true" fillcolor="#fdb714" stroked="false">
              <v:path arrowok="t"/>
              <v:fill type="solid"/>
            </v:shape>
            <v:shape style="position:absolute;left:9447;top:3243;width:395;height:405" type="#_x0000_t75" stroked="false">
              <v:imagedata r:id="rId13" o:title=""/>
            </v:shape>
            <v:shape style="position:absolute;left:9489;top:3127;width:436;height:533" coordorigin="9489,3127" coordsize="436,533" path="m9622,3616l9589,3616,9543,3659,9860,3658,9869,3658,9884,3650,9899,3640,9906,3633,9911,3625,9916,3617,9839,3617,9622,3616xm9913,3165l9804,3165,9822,3166,9838,3167,9851,3170,9864,3177,9874,3190,9880,3204,9882,3220,9882,3505,9882,3543,9882,3564,9880,3579,9878,3588,9873,3596,9863,3605,9852,3613,9844,3614,9839,3617,9916,3617,9920,3609,9924,3593,9925,3575,9925,3207,9923,3188,9916,3171,9913,3165xm9583,3127l9572,3127,9562,3127,9553,3129,9543,3132,9522,3144,9505,3164,9494,3188,9489,3214,9489,3500,9496,3493,9526,3459,9533,3452,9533,3221,9536,3205,9543,3190,9552,3179,9564,3171,9574,3166,9913,3165,9908,3158,9898,3147,9885,3138,9870,3131,9852,3128,9839,3127,9788,3127,9583,3127xm9831,3127l9788,3127,9839,3127,9831,3127xe" filled="true" fillcolor="#ffffff" stroked="false">
              <v:path arrowok="t"/>
              <v:fill type="solid"/>
            </v:shape>
            <v:shape style="position:absolute;left:9378;top:3921;width:658;height:658" coordorigin="9378,3921" coordsize="658,658" path="m9707,3921l9632,3929,9563,3954,9502,3993,9451,4044,9412,4105,9387,4174,9378,4249,9387,4325,9412,4394,9451,4455,9502,4506,9563,4545,9632,4569,9707,4578,9783,4569,9852,4545,9913,4506,9964,4455,10002,4394,10027,4325,10036,4249,10027,4174,10002,4105,9964,4044,9913,3993,9852,3954,9783,3929,9707,3921xe" filled="true" fillcolor="#fdb714" stroked="false">
              <v:path arrowok="t"/>
              <v:fill type="solid"/>
            </v:shape>
            <v:shape style="position:absolute;left:9510;top:3995;width:395;height:510" coordorigin="9510,3995" coordsize="395,510" path="m9889,4470l9525,4470,9530,4476,9529,4476,9534,4482,9537,4484,9541,4487,9546,4490,9554,4496,9570,4502,9580,4502,9587,4505,9828,4505,9835,4502,9845,4502,9862,4495,9869,4491,9873,4487,9878,4484,9881,4482,9886,4476,9886,4475,9889,4470xm9845,4502l9835,4502,9845,4502,9845,4502xm9711,3995l9583,3995,9577,3999,9567,3999,9553,4005,9546,4010,9541,4014,9540,4015,9539,4016,9530,4025,9525,4033,9524,4033,9524,4033,9524,4033,9514,4053,9510,4080,9510,4094,9510,4116,9510,4126,9510,4367,9510,4392,9510,4421,9514,4447,9524,4467,9526,4471,9525,4470,9889,4470,9890,4469,9890,4469,9891,4467,9897,4456,9805,4456,9791,4456,9611,4456,9595,4455,9580,4454,9568,4449,9560,4440,9559,4176,9559,4072,9561,4065,9568,4054,9578,4043,9765,4043,9754,4033,9525,4033,9525,4032,9753,4032,9735,4014,9726,4004,9722,4001,9719,4000,9711,3995xm9890,4469l9890,4469,9889,4471,9890,4469xm9905,4207l9855,4207,9856,4239,9856,4273,9856,4307,9855,4415,9855,4428,9851,4439,9843,4448,9832,4454,9819,4456,9805,4456,9897,4456,9899,4451,9903,4432,9904,4415,9905,4207xm9765,4043l9578,4043,9586,4045,9681,4045,9681,4094,9681,4116,9681,4126,9683,4135,9689,4159,9701,4179,9717,4194,9737,4204,9763,4209,9794,4209,9827,4208,9855,4207,9905,4207,9905,4200,9903,4186,9897,4176,9883,4162,9765,4043xe" filled="true" fillcolor="#ffffff" stroked="false">
              <v:path arrowok="t"/>
              <v:fill type="solid"/>
            </v:shape>
            <v:shape style="position:absolute;left:9588;top:4239;width:243;height:180" type="#_x0000_t75" stroked="false">
              <v:imagedata r:id="rId14" o:title=""/>
            </v:shape>
            <v:shape style="position:absolute;left:9376;top:9349;width:658;height:658" coordorigin="9376,9349" coordsize="658,658" path="m9705,9349l9630,9358,9560,9382,9499,9421,9448,9472,9410,9533,9385,9602,9376,9678,9385,9753,9410,9822,9448,9883,9499,9934,9560,9973,9630,9998,9705,10006,9780,9998,9850,9973,9911,9934,9961,9883,10000,9822,10025,9753,10034,9678,10025,9602,10000,9533,9961,9472,9911,9421,9850,9382,9780,9358,9705,9349xe" filled="true" fillcolor="#fdb714" stroked="false">
              <v:path arrowok="t"/>
              <v:fill type="solid"/>
            </v:shape>
            <v:shape style="position:absolute;left:9479;top:9435;width:436;height:452" type="#_x0000_t75" stroked="false">
              <v:imagedata r:id="rId15" o:title=""/>
            </v:shape>
            <v:shape style="position:absolute;left:9382;top:10138;width:658;height:658" coordorigin="9382,10138" coordsize="658,658" path="m9710,10138l9635,10147,9566,10171,9505,10210,9454,10261,9415,10322,9390,10391,9382,10467,9390,10542,9415,10611,9454,10672,9505,10723,9566,10762,9635,10787,9710,10795,9786,10787,9855,10762,9916,10723,9967,10672,10006,10611,10030,10542,10039,10467,10030,10391,10006,10322,9967,10261,9916,10210,9855,10171,9786,10147,9710,10138xe" filled="true" fillcolor="#fdb714" stroked="false">
              <v:path arrowok="t"/>
              <v:fill type="solid"/>
            </v:shape>
            <v:shape style="position:absolute;left:9495;top:10203;width:436;height:500" coordorigin="9495,10203" coordsize="436,500" path="m9831,10268l9794,10281,9721,10314,9693,10326,9665,10338,9651,10343,9637,10350,9625,10359,9620,10373,9620,10663,9629,10683,9652,10695,9680,10701,9705,10703,9722,10701,9738,10695,9753,10689,9921,10616,9930,10613,9930,10482,9769,10482,9769,10428,9875,10388,9673,10388,9656,10383,9650,10375,9676,10365,9722,10346,9768,10325,9814,10305,9822,10304,9845,10304,9844,10276,9831,10268xm9704,10203l9686,10210,9651,10226,9536,10276,9521,10282,9507,10289,9498,10300,9495,10317,9495,10590,9505,10617,9530,10631,9561,10637,9590,10638,9601,10638,9598,10620,9597,10590,9597,10378,9597,10365,9597,10362,9603,10351,9612,10340,9622,10332,9635,10326,9637,10325,9575,10325,9562,10324,9548,10321,9535,10316,9527,10310,9544,10304,9574,10292,9662,10253,9685,10243,9697,10239,9723,10239,9722,10210,9713,10204,9704,10203xm9930,10387l9877,10387,9877,10441,9769,10482,9930,10482,9930,10387xm9926,10302l9918,10302,9893,10311,9846,10331,9762,10367,9739,10378,9724,10384,9710,10387,9688,10388,9875,10388,9877,10387,9930,10387,9930,10311,9926,10302xm9798,10237l9793,10237,9757,10251,9690,10281,9620,10311,9575,10325,9637,10325,9648,10320,9799,10255,9802,10255,9805,10250,9802,10240,9796,10238,9798,10237xm9845,10304l9822,10304,9829,10307,9845,10312,9845,10304xm9802,10255l9799,10255,9801,10255,9802,10255xm9723,10239l9697,10239,9703,10239,9712,10247,9723,10247,9723,10239xe" filled="true" fillcolor="#ffffff" stroked="false">
              <v:path arrowok="t"/>
              <v:fill type="solid"/>
            </v:shape>
            <v:shape style="position:absolute;left:9382;top:10939;width:658;height:658" coordorigin="9382,10939" coordsize="658,658" path="m9711,10939l9635,10948,9566,10972,9505,11011,9454,11062,9415,11123,9391,11192,9382,11268,9391,11343,9415,11412,9454,11473,9505,11524,9566,11563,9635,11588,9711,11596,9786,11588,9855,11563,9916,11524,9967,11473,10006,11412,10031,11343,10039,11268,10031,11192,10006,11123,9967,11062,9916,11011,9855,10972,9786,10948,9711,10939xe" filled="true" fillcolor="#fdb714" stroked="false">
              <v:path arrowok="t"/>
              <v:fill type="solid"/>
            </v:shape>
            <v:shape style="position:absolute;left:9475;top:11025;width:481;height:479" coordorigin="9475,11025" coordsize="481,479" path="m9538,11040l9529,11041,9515,11048,9501,11058,9494,11064,9489,11072,9480,11088,9477,11103,9475,11120,9475,11387,9475,11407,9476,11426,9478,11444,9484,11461,9492,11473,9502,11484,9514,11493,9529,11499,9546,11502,9566,11503,9607,11503,9868,11503,9876,11502,9889,11498,9909,11487,9925,11471,9932,11457,9580,11457,9565,11456,9551,11453,9539,11446,9529,11435,9523,11422,9522,11409,9522,11185,9521,11158,9521,11149,9521,11134,9523,11120,9525,11111,9530,11103,9539,11095,9550,11087,9558,11086,9562,11084,9755,11084,9759,11079,9771,11068,9792,11047,9793,11046,9794,11044,9796,11042,9798,11041,9798,11040,9540,11040,9538,11040xm9940,11179l9933,11185,9920,11197,9897,11221,9895,11222,9894,11223,9893,11226,9893,11409,9891,11423,9886,11435,9878,11444,9868,11451,9858,11456,9597,11456,9580,11457,9932,11457,9936,11450,9939,11426,9940,11422,9940,11407,9940,11238,9940,11221,9940,11197,9940,11179xm9612,11360l9611,11362,9611,11362,9609,11370,9614,11369,9615,11369,9610,11369,9611,11365,9612,11362,9612,11360xm9641,11258l9635,11277,9626,11311,9616,11344,9612,11360,9612,11362,9611,11365,9610,11369,9616,11367,9722,11338,9709,11324,9682,11297,9654,11270,9641,11258xm9616,11367l9610,11369,9615,11369,9616,11367xm9831,11069l9828,11071,9813,11087,9796,11103,9653,11245,9659,11253,9672,11266,9693,11286,9714,11307,9727,11320,9734,11326,9749,11311,9904,11158,9909,11153,9911,11149,9899,11136,9872,11109,9845,11082,9831,11069xm9896,11025l9873,11025,9867,11033,9858,11041,9846,11053,9844,11056,9924,11137,9930,11132,9937,11124,9947,11114,9956,11108,9956,11085,9948,11079,9918,11050,9913,11045,9901,11034,9896,11025xm9755,11084l9562,11084,9588,11085,9730,11085,9754,11084,9755,11084xm9540,11040l9540,11040,9540,11040,9798,11040,9798,11040,9545,11040,9540,11040xm9738,11039l9551,11039,9545,11040,9798,11040,9799,11039,9738,11039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iii</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13" w:firstLine="0"/>
        <w:rPr>
          <w:b/>
        </w:rPr>
      </w:pPr>
      <w:r>
        <w:rPr>
          <w:b/>
          <w:color w:val="FDB714"/>
        </w:rPr>
        <w:t>TABLE DES MATIÈRES</w:t>
      </w:r>
    </w:p>
    <w:p>
      <w:pPr>
        <w:pStyle w:val="BodyText"/>
        <w:rPr>
          <w:b/>
          <w:sz w:val="42"/>
        </w:rPr>
      </w:pPr>
    </w:p>
    <w:p>
      <w:pPr>
        <w:pStyle w:val="BodyText"/>
        <w:rPr>
          <w:b/>
          <w:sz w:val="42"/>
        </w:rPr>
      </w:pPr>
    </w:p>
    <w:sdt>
      <w:sdtPr>
        <w:docPartObj>
          <w:docPartGallery w:val="Table of Contents"/>
          <w:docPartUnique/>
        </w:docPartObj>
      </w:sdtPr>
      <w:sdtEndPr/>
      <w:sdtContent>
        <w:p>
          <w:pPr>
            <w:pStyle w:val="TOC1"/>
            <w:numPr>
              <w:ilvl w:val="0"/>
              <w:numId w:val="1"/>
            </w:numPr>
            <w:tabs>
              <w:tab w:pos="511" w:val="left" w:leader="none"/>
              <w:tab w:pos="7953" w:val="right" w:leader="dot"/>
            </w:tabs>
            <w:spacing w:line="240" w:lineRule="auto" w:before="302" w:after="0"/>
            <w:ind w:left="510" w:right="0" w:hanging="397"/>
            <w:jc w:val="left"/>
            <w:rPr>
              <w:b/>
            </w:rPr>
          </w:pPr>
          <w:hyperlink w:history="true" w:anchor="_TOC_250014">
            <w:r>
              <w:rPr>
                <w:b/>
                <w:color w:val="FDB714"/>
                <w:spacing w:val="-4"/>
              </w:rPr>
              <w:t>PRÉSENTATION</w:t>
              <w:tab/>
            </w:r>
            <w:r>
              <w:rPr>
                <w:b/>
                <w:color w:val="FDB714"/>
              </w:rPr>
              <w:t>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13">
            <w:r>
              <w:rPr>
                <w:b/>
                <w:color w:val="FDB714"/>
              </w:rPr>
              <w:t>CONTENU</w:t>
            </w:r>
            <w:r>
              <w:rPr>
                <w:b/>
                <w:color w:val="FDB714"/>
                <w:spacing w:val="-11"/>
              </w:rPr>
              <w:t> </w:t>
            </w:r>
            <w:r>
              <w:rPr>
                <w:b/>
                <w:color w:val="FDB714"/>
              </w:rPr>
              <w:t>TECHNIQUE</w:t>
              <w:tab/>
              <w:t>3</w:t>
            </w:r>
          </w:hyperlink>
        </w:p>
        <w:p>
          <w:pPr>
            <w:pStyle w:val="TOC2"/>
            <w:numPr>
              <w:ilvl w:val="1"/>
              <w:numId w:val="1"/>
            </w:numPr>
            <w:tabs>
              <w:tab w:pos="965" w:val="left" w:leader="none"/>
              <w:tab w:pos="7953" w:val="right" w:leader="dot"/>
            </w:tabs>
            <w:spacing w:line="240" w:lineRule="auto" w:before="218" w:after="0"/>
            <w:ind w:left="964" w:right="0" w:hanging="454"/>
            <w:jc w:val="left"/>
          </w:pPr>
          <w:hyperlink w:history="true" w:anchor="_TOC_250012">
            <w:r>
              <w:rPr>
                <w:color w:val="231F20"/>
              </w:rPr>
              <w:t>Contexte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11">
            <w:r>
              <w:rPr>
                <w:color w:val="231F20"/>
              </w:rPr>
              <w:t>Cadre juridique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10">
            <w:r>
              <w:rPr>
                <w:color w:val="231F20"/>
              </w:rPr>
              <w:t>Évaluation de la conformité à la CDPH</w:t>
              <w:tab/>
              <w:t>4</w:t>
            </w:r>
          </w:hyperlink>
        </w:p>
        <w:p>
          <w:pPr>
            <w:pStyle w:val="TOC2"/>
            <w:numPr>
              <w:ilvl w:val="1"/>
              <w:numId w:val="1"/>
            </w:numPr>
            <w:tabs>
              <w:tab w:pos="965" w:val="left" w:leader="none"/>
              <w:tab w:pos="7937" w:val="right" w:leader="dot"/>
            </w:tabs>
            <w:spacing w:line="244" w:lineRule="auto" w:before="174" w:after="0"/>
            <w:ind w:left="964" w:right="2929" w:hanging="454"/>
            <w:jc w:val="left"/>
          </w:pPr>
          <w:hyperlink w:history="true" w:anchor="_TOC_250009">
            <w:r>
              <w:rPr>
                <w:color w:val="231F20"/>
              </w:rPr>
              <w:t>Légiférer pour les droits liés au handicap : éléments clés à prendre en considération</w:t>
              <w:tab/>
              <w:t> 6</w:t>
            </w:r>
          </w:hyperlink>
        </w:p>
        <w:p>
          <w:pPr>
            <w:pStyle w:val="TOC3"/>
            <w:tabs>
              <w:tab w:pos="7953" w:val="right" w:leader="dot"/>
            </w:tabs>
            <w:spacing w:before="169"/>
          </w:pPr>
          <w:r>
            <w:rPr>
              <w:color w:val="231F20"/>
            </w:rPr>
            <w:t>Point sur la situation nationale</w:t>
            <w:tab/>
            <w:t>7</w:t>
          </w:r>
        </w:p>
        <w:p>
          <w:pPr>
            <w:pStyle w:val="TOC3"/>
            <w:tabs>
              <w:tab w:pos="7953" w:val="right" w:leader="dot"/>
            </w:tabs>
          </w:pPr>
          <w:r>
            <w:rPr>
              <w:color w:val="231F20"/>
            </w:rPr>
            <w:t>Point sur la situation nationale</w:t>
            <w:tab/>
            <w:t>9</w:t>
          </w:r>
        </w:p>
        <w:p>
          <w:pPr>
            <w:pStyle w:val="TOC3"/>
            <w:tabs>
              <w:tab w:pos="7953" w:val="right" w:leader="dot"/>
            </w:tabs>
          </w:pPr>
          <w:r>
            <w:rPr>
              <w:color w:val="231F20"/>
            </w:rPr>
            <w:t>Point sur la situation nationale</w:t>
            <w:tab/>
            <w:t>11</w:t>
          </w:r>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8">
            <w:r>
              <w:rPr>
                <w:color w:val="231F20"/>
              </w:rPr>
              <w:t>Domaines prioritaires pour une réforme législative</w:t>
              <w:tab/>
              <w:t>11</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7">
            <w:r>
              <w:rPr>
                <w:color w:val="231F20"/>
              </w:rPr>
              <w:t>Participation à la réforme des lois relatives au handicap</w:t>
              <w:tab/>
              <w:t>13</w:t>
            </w:r>
          </w:hyperlink>
        </w:p>
        <w:p>
          <w:pPr>
            <w:pStyle w:val="TOC3"/>
            <w:tabs>
              <w:tab w:pos="7953" w:val="right" w:leader="dot"/>
            </w:tabs>
          </w:pPr>
          <w:r>
            <w:rPr>
              <w:color w:val="231F20"/>
            </w:rPr>
            <w:t>Point sur la situation nationale</w:t>
            <w:tab/>
            <w:t>14</w:t>
          </w:r>
        </w:p>
        <w:p>
          <w:pPr>
            <w:pStyle w:val="TOC1"/>
            <w:numPr>
              <w:ilvl w:val="0"/>
              <w:numId w:val="1"/>
            </w:numPr>
            <w:tabs>
              <w:tab w:pos="511" w:val="left" w:leader="none"/>
              <w:tab w:pos="7953" w:val="right" w:leader="dot"/>
            </w:tabs>
            <w:spacing w:line="240" w:lineRule="auto" w:before="522" w:after="0"/>
            <w:ind w:left="510" w:right="0" w:hanging="397"/>
            <w:jc w:val="left"/>
            <w:rPr>
              <w:rFonts w:ascii="Myriad Pro" w:hAnsi="Myriad Pro"/>
              <w:b/>
            </w:rPr>
          </w:pPr>
          <w:hyperlink w:history="true" w:anchor="_TOC_250006">
            <w:r>
              <w:rPr>
                <w:b/>
                <w:color w:val="FDB714"/>
              </w:rPr>
              <w:t>RÉSUMÉ ET </w:t>
            </w:r>
            <w:r>
              <w:rPr>
                <w:b/>
                <w:color w:val="FDB714"/>
                <w:spacing w:val="-3"/>
              </w:rPr>
              <w:t>PRINCIPAUX</w:t>
            </w:r>
            <w:r>
              <w:rPr>
                <w:b/>
                <w:color w:val="FDB714"/>
              </w:rPr>
              <w:t> ENSEIGNEMENTS</w:t>
            </w:r>
            <w:r>
              <w:rPr>
                <w:rFonts w:ascii="Myriad Pro" w:hAnsi="Myriad Pro"/>
                <w:b/>
                <w:color w:val="FDB714"/>
              </w:rPr>
              <w:tab/>
              <w:t>15</w:t>
            </w:r>
          </w:hyperlink>
        </w:p>
        <w:p>
          <w:pPr>
            <w:pStyle w:val="TOC1"/>
            <w:numPr>
              <w:ilvl w:val="0"/>
              <w:numId w:val="1"/>
            </w:numPr>
            <w:tabs>
              <w:tab w:pos="511" w:val="left" w:leader="none"/>
              <w:tab w:pos="7953" w:val="right" w:leader="dot"/>
            </w:tabs>
            <w:spacing w:line="240" w:lineRule="auto" w:before="481" w:after="0"/>
            <w:ind w:left="510" w:right="0" w:hanging="397"/>
            <w:jc w:val="left"/>
            <w:rPr>
              <w:rFonts w:ascii="Myriad Pro"/>
              <w:b/>
            </w:rPr>
          </w:pPr>
          <w:hyperlink w:history="true" w:anchor="_TOC_250005">
            <w:r>
              <w:rPr>
                <w:b/>
                <w:color w:val="FDB714"/>
              </w:rPr>
              <w:t>RESSOURCES UTILES</w:t>
            </w:r>
            <w:r>
              <w:rPr>
                <w:rFonts w:ascii="Myriad Pro"/>
                <w:b/>
                <w:color w:val="FDB714"/>
              </w:rPr>
              <w:tab/>
              <w:t>15</w:t>
            </w:r>
          </w:hyperlink>
        </w:p>
        <w:p>
          <w:pPr>
            <w:pStyle w:val="TOC1"/>
            <w:numPr>
              <w:ilvl w:val="0"/>
              <w:numId w:val="1"/>
            </w:numPr>
            <w:tabs>
              <w:tab w:pos="511" w:val="left" w:leader="none"/>
              <w:tab w:pos="7953" w:val="right" w:leader="dot"/>
            </w:tabs>
            <w:spacing w:line="240" w:lineRule="auto" w:before="481" w:after="0"/>
            <w:ind w:left="510" w:right="0" w:hanging="397"/>
            <w:jc w:val="left"/>
            <w:rPr>
              <w:rFonts w:ascii="Myriad Pro" w:hAnsi="Myriad Pro"/>
              <w:b/>
            </w:rPr>
          </w:pPr>
          <w:hyperlink w:history="true" w:anchor="_TOC_250004">
            <w:r>
              <w:rPr>
                <w:b/>
                <w:color w:val="FDB714"/>
              </w:rPr>
              <w:t>ACTIVITÉS</w:t>
            </w:r>
            <w:r>
              <w:rPr>
                <w:b/>
                <w:color w:val="FDB714"/>
                <w:spacing w:val="-1"/>
              </w:rPr>
              <w:t> </w:t>
            </w:r>
            <w:r>
              <w:rPr>
                <w:b/>
                <w:color w:val="FDB714"/>
              </w:rPr>
              <w:t>D’APPRENTISSAGE</w:t>
            </w:r>
            <w:r>
              <w:rPr>
                <w:rFonts w:ascii="Myriad Pro" w:hAnsi="Myriad Pro"/>
                <w:b/>
                <w:color w:val="FDB714"/>
              </w:rPr>
              <w:tab/>
              <w:t>16</w:t>
            </w:r>
          </w:hyperlink>
        </w:p>
        <w:p>
          <w:pPr>
            <w:pStyle w:val="TOC2"/>
            <w:tabs>
              <w:tab w:pos="7937" w:val="right" w:leader="dot"/>
            </w:tabs>
            <w:spacing w:line="244" w:lineRule="auto" w:before="218"/>
            <w:ind w:left="510" w:right="2929" w:firstLine="0"/>
          </w:pPr>
          <w:hyperlink w:history="true" w:anchor="_TOC_250003">
            <w:r>
              <w:rPr>
                <w:color w:val="231F20"/>
              </w:rPr>
              <w:t>Fiche de cours du formateur – Légiférer pour les droits relatifs au handicap, Session 1 </w:t>
              <w:tab/>
            </w:r>
            <w:r>
              <w:rPr>
                <w:color w:val="231F20"/>
                <w:w w:val="26"/>
              </w:rPr>
              <w:t> </w:t>
            </w:r>
            <w:r>
              <w:rPr>
                <w:color w:val="231F20"/>
              </w:rPr>
              <w:t>17</w:t>
            </w:r>
          </w:hyperlink>
        </w:p>
        <w:p>
          <w:pPr>
            <w:pStyle w:val="TOC3"/>
            <w:tabs>
              <w:tab w:pos="7951" w:val="right" w:leader="dot"/>
            </w:tabs>
            <w:spacing w:before="113"/>
          </w:pPr>
          <w:hyperlink w:history="true" w:anchor="_TOC_250002">
            <w:r>
              <w:rPr>
                <w:color w:val="231F20"/>
                <w:spacing w:val="-3"/>
              </w:rPr>
              <w:t>Activité d'apprentissage 2.C. </w:t>
            </w:r>
            <w:r>
              <w:rPr>
                <w:color w:val="231F20"/>
              </w:rPr>
              <w:t>: </w:t>
            </w:r>
            <w:r>
              <w:rPr>
                <w:color w:val="231F20"/>
                <w:spacing w:val="-3"/>
              </w:rPr>
              <w:t>Lacunes </w:t>
            </w:r>
            <w:r>
              <w:rPr>
                <w:color w:val="231F20"/>
              </w:rPr>
              <w:t>de</w:t>
            </w:r>
            <w:r>
              <w:rPr>
                <w:color w:val="231F20"/>
                <w:spacing w:val="-17"/>
              </w:rPr>
              <w:t> </w:t>
            </w:r>
            <w:r>
              <w:rPr>
                <w:color w:val="231F20"/>
              </w:rPr>
              <w:t>la</w:t>
            </w:r>
            <w:r>
              <w:rPr>
                <w:color w:val="231F20"/>
                <w:spacing w:val="-5"/>
              </w:rPr>
              <w:t> </w:t>
            </w:r>
            <w:r>
              <w:rPr>
                <w:color w:val="231F20"/>
                <w:spacing w:val="-3"/>
              </w:rPr>
              <w:t>législation</w:t>
              <w:tab/>
              <w:t>18</w:t>
            </w:r>
          </w:hyperlink>
        </w:p>
        <w:p>
          <w:pPr>
            <w:pStyle w:val="TOC2"/>
            <w:tabs>
              <w:tab w:pos="7937" w:val="right" w:leader="dot"/>
            </w:tabs>
            <w:spacing w:line="244" w:lineRule="auto"/>
            <w:ind w:left="510" w:right="2929" w:firstLine="0"/>
          </w:pPr>
          <w:hyperlink w:history="true" w:anchor="_TOC_250001">
            <w:r>
              <w:rPr>
                <w:color w:val="231F20"/>
              </w:rPr>
              <w:t>Fiche de cours du formateur – Légiférer pour les droits relatifs au handicap, Session 2 </w:t>
              <w:tab/>
            </w:r>
            <w:r>
              <w:rPr>
                <w:color w:val="231F20"/>
                <w:w w:val="26"/>
              </w:rPr>
              <w:t> </w:t>
            </w:r>
            <w:r>
              <w:rPr>
                <w:color w:val="231F20"/>
              </w:rPr>
              <w:t>19</w:t>
            </w:r>
          </w:hyperlink>
        </w:p>
        <w:p>
          <w:pPr>
            <w:pStyle w:val="TOC3"/>
            <w:spacing w:before="113"/>
          </w:pPr>
          <w:r>
            <w:rPr>
              <w:color w:val="231F20"/>
            </w:rPr>
            <w:t>Activité d’apprentissage 2.F. : Participation et inclusion pleines et</w:t>
          </w:r>
        </w:p>
        <w:p>
          <w:pPr>
            <w:pStyle w:val="TOC3"/>
            <w:tabs>
              <w:tab w:pos="7951" w:val="right" w:leader="dot"/>
            </w:tabs>
            <w:spacing w:before="4"/>
          </w:pPr>
          <w:r>
            <w:rPr>
              <w:color w:val="231F20"/>
              <w:spacing w:val="-3"/>
            </w:rPr>
            <w:t>effectives dans </w:t>
          </w:r>
          <w:r>
            <w:rPr>
              <w:color w:val="231F20"/>
            </w:rPr>
            <w:t>la </w:t>
          </w:r>
          <w:r>
            <w:rPr>
              <w:color w:val="231F20"/>
              <w:spacing w:val="-3"/>
            </w:rPr>
            <w:t>réforme </w:t>
          </w:r>
          <w:r>
            <w:rPr>
              <w:color w:val="231F20"/>
            </w:rPr>
            <w:t>de</w:t>
          </w:r>
          <w:r>
            <w:rPr>
              <w:color w:val="231F20"/>
              <w:spacing w:val="-16"/>
            </w:rPr>
            <w:t> </w:t>
          </w:r>
          <w:r>
            <w:rPr>
              <w:color w:val="231F20"/>
            </w:rPr>
            <w:t>la</w:t>
          </w:r>
          <w:r>
            <w:rPr>
              <w:color w:val="231F20"/>
              <w:spacing w:val="-5"/>
            </w:rPr>
            <w:t> </w:t>
          </w:r>
          <w:r>
            <w:rPr>
              <w:color w:val="231F20"/>
              <w:spacing w:val="-3"/>
            </w:rPr>
            <w:t>loi</w:t>
            <w:tab/>
            <w:t>20</w:t>
          </w:r>
        </w:p>
        <w:p>
          <w:pPr>
            <w:pStyle w:val="TOC3"/>
            <w:tabs>
              <w:tab w:pos="7951" w:val="right" w:leader="dot"/>
            </w:tabs>
            <w:spacing w:before="118"/>
          </w:pPr>
          <w:hyperlink w:history="true" w:anchor="_TOC_250000">
            <w:r>
              <w:rPr>
                <w:color w:val="231F20"/>
                <w:spacing w:val="-3"/>
              </w:rPr>
              <w:t>Support </w:t>
            </w:r>
            <w:r>
              <w:rPr>
                <w:color w:val="231F20"/>
              </w:rPr>
              <w:t>: </w:t>
            </w:r>
            <w:r>
              <w:rPr>
                <w:color w:val="231F20"/>
                <w:spacing w:val="-3"/>
              </w:rPr>
              <w:t>Modèle </w:t>
            </w:r>
            <w:r>
              <w:rPr>
                <w:color w:val="231F20"/>
              </w:rPr>
              <w:t>de </w:t>
            </w:r>
            <w:r>
              <w:rPr>
                <w:color w:val="231F20"/>
                <w:spacing w:val="-3"/>
              </w:rPr>
              <w:t>diagramme</w:t>
            </w:r>
            <w:r>
              <w:rPr>
                <w:color w:val="231F20"/>
                <w:spacing w:val="-19"/>
              </w:rPr>
              <w:t> </w:t>
            </w:r>
            <w:r>
              <w:rPr>
                <w:color w:val="231F20"/>
              </w:rPr>
              <w:t>de</w:t>
            </w:r>
            <w:r>
              <w:rPr>
                <w:color w:val="231F20"/>
                <w:spacing w:val="-5"/>
              </w:rPr>
              <w:t> </w:t>
            </w:r>
            <w:r>
              <w:rPr>
                <w:color w:val="231F20"/>
                <w:spacing w:val="-3"/>
              </w:rPr>
              <w:t>Gantt</w:t>
              <w:tab/>
              <w:t>21</w:t>
            </w:r>
          </w:hyperlink>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spacing w:before="10"/>
        <w:rPr>
          <w:rFonts w:ascii="TradeGothic Light"/>
          <w:sz w:val="14"/>
        </w:rPr>
      </w:pPr>
    </w:p>
    <w:p>
      <w:pPr>
        <w:spacing w:before="1"/>
        <w:ind w:left="4012"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8272"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iv</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right="374"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fdb714">
            <w10:wrap type="topAndBottom"/>
          </v:line>
        </w:pict>
      </w:r>
      <w:r>
        <w:rPr>
          <w:b/>
          <w:color w:val="FDB714"/>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49"/>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v</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33" w:right="374"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fdb714">
            <w10:wrap type="topAndBottom"/>
          </v:line>
        </w:pict>
      </w:r>
      <w:r>
        <w:rPr>
          <w:b/>
          <w:color w:val="FDB714"/>
        </w:rPr>
        <w:t>Liste d’acronymes</w:t>
      </w:r>
    </w:p>
    <w:p>
      <w:pPr>
        <w:pStyle w:val="BodyText"/>
        <w:spacing w:before="3"/>
        <w:rPr>
          <w:b/>
          <w:sz w:val="31"/>
        </w:rPr>
      </w:pPr>
    </w:p>
    <w:p>
      <w:pPr>
        <w:pStyle w:val="BodyText"/>
        <w:tabs>
          <w:tab w:pos="1413" w:val="left" w:leader="none"/>
        </w:tabs>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413" w:val="left" w:leader="none"/>
        </w:tabs>
        <w:spacing w:before="131"/>
        <w:ind w:left="133" w:right="374"/>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2"/>
        <w:rPr>
          <w:b w:val="0"/>
          <w:sz w:val="20"/>
        </w:rPr>
      </w:pPr>
    </w:p>
    <w:p>
      <w:pPr>
        <w:spacing w:before="101"/>
        <w:ind w:left="4032"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8152"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vi</w:t>
                      <w:tab/>
                    </w:r>
                  </w:p>
                </w:txbxContent>
              </v:textbox>
              <w10:wrap type="none"/>
            </v:shape>
            <w10:wrap type="none"/>
          </v:group>
        </w:pict>
      </w:r>
    </w:p>
    <w:p>
      <w:pPr>
        <w:spacing w:before="75"/>
        <w:ind w:left="2892" w:right="11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63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11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2891" w:right="11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360"/>
        </w:sectPr>
      </w:pPr>
    </w:p>
    <w:p>
      <w:pPr>
        <w:spacing w:before="57"/>
        <w:ind w:left="5054" w:right="1235" w:firstLine="0"/>
        <w:jc w:val="left"/>
        <w:rPr>
          <w:rFonts w:ascii="Myriad Pro" w:hAnsi="Myriad Pro"/>
          <w:sz w:val="16"/>
        </w:rPr>
      </w:pPr>
      <w:r>
        <w:rPr/>
        <w:pict>
          <v:group style="position:absolute;margin-left:56.692913pt;margin-top:0pt;width:538.6pt;height:841.9pt;mso-position-horizontal-relative:page;mso-position-vertical-relative:page;z-index:-68104" coordorigin="1134,0" coordsize="10772,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678;top:1248;width:1402;height:1402" coordorigin="9678,1248" coordsize="1402,1402" path="m10379,1248l10302,1252,10228,1264,10157,1283,10089,1310,10025,1343,9965,1383,9909,1428,9859,1479,9813,1534,9774,1595,9740,1659,9714,1727,9694,1798,9682,1872,9678,1948,9682,2025,9694,2099,9714,2170,9740,2238,9774,2302,9813,2362,9859,2418,9909,2468,9965,2514,10025,2553,10089,2587,10157,2613,10228,2633,10302,2645,10379,2649,10455,2645,10529,2633,10600,2613,10668,2587,10732,2553,10793,2514,10848,2468,10899,2418,10944,2362,10984,2302,11017,2238,11044,2170,11063,2099,11075,2025,11079,1948,11075,1872,11063,1798,11044,1727,11017,1659,10984,1595,10944,1534,10899,1479,10848,1428,10793,1383,10732,1343,10668,1310,10600,1283,10529,1264,10455,1252,10379,1248xe" filled="true" fillcolor="#fdb714" stroked="false">
              <v:path arrowok="t"/>
              <v:fill type="solid"/>
            </v:shape>
            <v:shape style="position:absolute;left:9852;top:1652;width:791;height:811" coordorigin="9852,1652" coordsize="791,811" path="m10059,2169l9852,2385,9869,2404,9888,2424,9907,2444,9928,2463,10139,2241,10121,2226,10161,2185,10079,2185,10059,2169xm10511,2150l10239,2150,10244,2152,10257,2159,10299,2176,10346,2185,10395,2186,10444,2178,10471,2169,10498,2157,10511,2150xm10369,1652l10333,1656,10299,1663,10267,1675,10255,1681,10244,1687,10233,1693,10222,1701,10206,1712,10191,1726,10178,1740,10165,1755,10149,1777,10136,1800,10125,1825,10117,1851,10109,1894,10109,1939,10116,1983,10130,2025,10134,2035,10138,2043,10143,2052,10146,2062,10143,2069,10139,2081,10139,2102,10140,2108,10142,2114,10142,2120,10126,2135,10091,2172,10079,2185,10161,2185,10183,2162,10185,2159,10186,2157,10222,2157,10228,2154,10235,2150,10239,2150,10511,2150,10522,2143,10534,2135,10385,2135,10332,2130,10282,2113,10239,2086,10202,2047,10195,2037,10188,2026,10182,2014,10164,1961,10161,1906,10171,1852,10195,1802,10206,1786,10219,1772,10233,1758,10247,1746,10274,1729,10303,1717,10333,1709,10367,1704,10534,1704,10523,1696,10500,1683,10478,1672,10455,1664,10431,1658,10406,1654,10369,1652xm10222,2157l10186,2157,10203,2159,10217,2159,10222,2157xm10534,1704l10367,1704,10391,1705,10415,1708,10438,1713,10458,1721,10477,1730,10493,1739,10508,1750,10523,1763,10532,1771,10541,1781,10557,1804,10562,1811,10569,1825,10577,1844,10584,1865,10588,1887,10591,1911,10582,1980,10553,2041,10508,2089,10451,2121,10385,2135,10534,2135,10545,2126,10560,2113,10573,2099,10586,2084,10598,2068,10624,2018,10637,1976,10641,1945,10643,1930,10643,1907,10642,1904,10642,1893,10640,1882,10639,1876,10638,1870,10631,1842,10621,1814,10608,1788,10593,1764,10588,1758,10584,1752,10579,1746,10561,1727,10542,1711,10534,1704xe" filled="true" fillcolor="#ffffff" stroked="false">
              <v:path arrowok="t"/>
              <v:fill type="solid"/>
            </v:shape>
            <v:shape style="position:absolute;left:-514;top:16786;width:791;height:811" coordorigin="-514,16786" coordsize="791,811" path="m10367,1704l10391,1705,10415,1708,10438,1713,10458,1721,10477,1730,10493,1739,10508,1750,10523,1763,10532,1771,10541,1781,10549,1792,10557,1804,10562,1811,10569,1825,10577,1844,10584,1865,10588,1887,10591,1911,10582,1980,10553,2041,10508,2089,10451,2121,10385,2135,10332,2130,10282,2113,10239,2086,10202,2047,10195,2037,10188,2026,10182,2014,10164,1961,10161,1906,10171,1852,10195,1802,10206,1786,10219,1772,10233,1758,10247,1746,10274,1729,10303,1717,10333,1709,10367,1704xm10643,1930l10643,1907,10642,1904,10642,1893,10641,1888,10640,1882,10639,1876,10638,1870,10631,1842,10621,1814,10608,1788,10593,1764,10588,1758,10584,1752,10579,1746,10561,1727,10542,1711,10523,1696,10500,1683,10478,1672,10455,1664,10431,1658,10406,1654,10369,1652,10333,1656,10299,1663,10267,1675,10255,1681,10244,1687,10233,1693,10222,1701,10206,1712,10191,1726,10178,1740,10165,1755,10149,1777,10136,1800,10125,1825,10117,1851,10109,1894,10109,1939,10116,1983,10130,2025,10134,2035,10138,2043,10143,2052,10146,2062,10143,2069,10139,2081,10139,2102,10140,2108,10142,2114,10142,2120,10126,2135,10091,2172,10079,2185,10065,2173,10059,2169,9852,2385,9869,2404,9888,2424,9907,2444,9928,2463,10139,2241,10121,2226,10149,2197,10183,2162,10185,2159,10186,2157,10191,2157,10203,2159,10217,2159,10228,2154,10235,2150,10239,2150,10244,2152,10257,2159,10299,2176,10346,2185,10395,2186,10444,2178,10471,2169,10498,2157,10522,2143,10545,2126,10560,2113,10573,2099,10586,2084,10598,2068,10624,2018,10637,1976,10641,1945,10643,1930xe" filled="false" stroked="true" strokeweight="1.648pt" strokecolor="#ffffff">
              <v:path arrowok="t"/>
            </v:shape>
            <v:shape style="position:absolute;left:9925;top:1393;width:909;height:1109" coordorigin="9925,1393" coordsize="909,1109" path="m10246,2413l10166,2413,10133,2413,10036,2502,10698,2501,10713,2497,10731,2491,10748,2482,10760,2475,10773,2465,10784,2455,10795,2443,10804,2431,10813,2414,10603,2414,10246,2413xm10807,1474l10581,1474,10619,1475,10651,1476,10679,1483,10705,1499,10727,1525,10738,1554,10742,1587,10742,1600,10742,2182,10743,2261,10743,2304,10739,2334,10734,2349,10728,2361,10721,2372,10712,2382,10704,2389,10691,2397,10677,2405,10649,2411,10626,2413,10603,2414,10813,2414,10822,2397,10830,2364,10833,2327,10833,1644,10833,1600,10833,1560,10827,1522,10814,1485,10807,1474xm10120,1393l10098,1393,10077,1395,10057,1398,10037,1404,9994,1430,9958,1470,9934,1520,9925,1575,9925,2172,9940,2156,10002,2086,10016,2070,10016,1590,10022,1556,10036,1526,10057,1502,10080,1486,10094,1480,10109,1476,10125,1475,10807,1474,10797,1459,10775,1436,10749,1417,10718,1403,10681,1396,10654,1394,10548,1394,10120,1393xm10636,1394l10548,1394,10654,1394,10636,1394xe" filled="true" fillcolor="#ffffff" stroked="false">
              <v:path arrowok="t"/>
              <v:fill type="solid"/>
            </v:shape>
            <v:shape style="position:absolute;left:1134;top:10328;width:8107;height:5385" type="#_x0000_t75" stroked="false">
              <v:imagedata r:id="rId17" o:title=""/>
            </v:shape>
            <w10:wrap type="none"/>
          </v:group>
        </w:pict>
      </w: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both"/>
        <w:rPr>
          <w:b/>
        </w:rPr>
      </w:pPr>
      <w:r>
        <w:rPr/>
        <w:pict>
          <v:line style="position:absolute;mso-position-horizontal-relative:page;mso-position-vertical-relative:paragraph;z-index:1312;mso-wrap-distance-left:0;mso-wrap-distance-right:0" from="56.692902pt,29.548626pt" to="450.708902pt,29.548626pt" stroked="true" strokeweight="1.5pt" strokecolor="#fdb714">
            <w10:wrap type="topAndBottom"/>
          </v:line>
        </w:pict>
      </w:r>
      <w:bookmarkStart w:name="_TOC_250014" w:id="1"/>
      <w:bookmarkEnd w:id="1"/>
      <w:r>
        <w:rPr>
          <w:b/>
          <w:color w:val="FDB714"/>
          <w:spacing w:val="-6"/>
        </w:rPr>
        <w:t>PRÉSENTATION</w:t>
      </w:r>
    </w:p>
    <w:p>
      <w:pPr>
        <w:pStyle w:val="Heading2"/>
        <w:spacing w:before="338"/>
        <w:ind w:firstLine="0"/>
        <w:jc w:val="both"/>
        <w:rPr>
          <w:b/>
        </w:rPr>
      </w:pPr>
      <w:r>
        <w:rPr>
          <w:b/>
          <w:color w:val="231F20"/>
        </w:rPr>
        <w:t>Objectifs du module</w:t>
      </w:r>
    </w:p>
    <w:p>
      <w:pPr>
        <w:pStyle w:val="BodyText"/>
        <w:spacing w:line="264" w:lineRule="auto" w:before="23"/>
        <w:ind w:left="813" w:right="1387" w:hanging="341"/>
        <w:rPr>
          <w:b w:val="0"/>
        </w:rPr>
      </w:pPr>
      <w:r>
        <w:rPr>
          <w:rFonts w:ascii="Arial" w:hAnsi="Arial"/>
          <w:color w:val="FDB714"/>
          <w:sz w:val="26"/>
        </w:rPr>
        <w:t>► </w:t>
      </w:r>
      <w:r>
        <w:rPr>
          <w:b w:val="0"/>
          <w:color w:val="231F20"/>
        </w:rPr>
        <w:t>Étudier des approches d'harmonisation des lois domestiques avec la Convention relative aux droits des personnes handicapées (CDPH).</w:t>
      </w:r>
    </w:p>
    <w:p>
      <w:pPr>
        <w:pStyle w:val="Heading2"/>
        <w:spacing w:before="61"/>
        <w:ind w:firstLine="0"/>
        <w:jc w:val="both"/>
        <w:rPr>
          <w:b/>
        </w:rPr>
      </w:pPr>
      <w:r>
        <w:rPr>
          <w:b/>
          <w:color w:val="231F20"/>
        </w:rPr>
        <w:t>À qui est destiné ce module ?</w:t>
      </w:r>
    </w:p>
    <w:p>
      <w:pPr>
        <w:pStyle w:val="BodyText"/>
        <w:spacing w:line="266" w:lineRule="auto" w:before="117"/>
        <w:ind w:left="133" w:right="1480"/>
        <w:jc w:val="both"/>
        <w:rPr>
          <w:b w:val="0"/>
        </w:rPr>
      </w:pPr>
      <w:r>
        <w:rPr>
          <w:b w:val="0"/>
          <w:color w:val="231F20"/>
        </w:rPr>
        <w:t>Ce module s’adresse à toute personne intéressée par le handicap ou chargée de traiter des questions relatives au handicap (y compris au moyen de réformes législatives) dans le cadre de ses fonctions professionnelles, y compris les personnes handicapées ou</w:t>
      </w:r>
      <w:r>
        <w:rPr>
          <w:b w:val="0"/>
          <w:color w:val="231F20"/>
          <w:spacing w:val="-14"/>
        </w:rPr>
        <w:t> </w:t>
      </w:r>
      <w:r>
        <w:rPr>
          <w:b w:val="0"/>
          <w:color w:val="231F20"/>
        </w:rPr>
        <w:t>non qui travaillent dans la société civile, dans le service public et civil ou dans les</w:t>
      </w:r>
      <w:r>
        <w:rPr>
          <w:b w:val="0"/>
          <w:color w:val="231F20"/>
          <w:spacing w:val="-1"/>
        </w:rPr>
        <w:t> </w:t>
      </w:r>
      <w:r>
        <w:rPr>
          <w:b w:val="0"/>
          <w:color w:val="231F20"/>
        </w:rPr>
        <w:t>institutions</w:t>
      </w:r>
    </w:p>
    <w:p>
      <w:pPr>
        <w:pStyle w:val="BodyText"/>
        <w:spacing w:line="266" w:lineRule="auto"/>
        <w:ind w:left="133" w:right="1235"/>
        <w:rPr>
          <w:b w:val="0"/>
        </w:rPr>
      </w:pPr>
      <w:r>
        <w:rPr>
          <w:b w:val="0"/>
          <w:color w:val="231F20"/>
        </w:rPr>
        <w:t>de défense des droits de l’homme. Il s’adresse également aux parlements, aux agences de développement, aux universités et au secteur privé.</w:t>
      </w:r>
    </w:p>
    <w:p>
      <w:pPr>
        <w:pStyle w:val="Heading2"/>
        <w:spacing w:before="59"/>
        <w:ind w:firstLine="0"/>
        <w:jc w:val="both"/>
        <w:rPr>
          <w:b/>
        </w:rPr>
      </w:pPr>
      <w:r>
        <w:rPr>
          <w:b/>
          <w:color w:val="231F20"/>
        </w:rPr>
        <w:t>De quoi traite ce module ?</w:t>
      </w:r>
    </w:p>
    <w:p>
      <w:pPr>
        <w:pStyle w:val="BodyText"/>
        <w:spacing w:before="117"/>
        <w:ind w:left="133"/>
        <w:jc w:val="both"/>
        <w:rPr>
          <w:b w:val="0"/>
        </w:rPr>
      </w:pPr>
      <w:r>
        <w:rPr>
          <w:b w:val="0"/>
          <w:color w:val="231F20"/>
        </w:rPr>
        <w:t>Le contenu de ce module :</w:t>
      </w:r>
    </w:p>
    <w:p>
      <w:pPr>
        <w:pStyle w:val="BodyText"/>
        <w:spacing w:line="264" w:lineRule="auto" w:before="48"/>
        <w:ind w:left="813" w:right="1628" w:hanging="341"/>
        <w:rPr>
          <w:b w:val="0"/>
        </w:rPr>
      </w:pPr>
      <w:r>
        <w:rPr>
          <w:rFonts w:ascii="Arial" w:hAnsi="Arial"/>
          <w:color w:val="FDB714"/>
          <w:sz w:val="26"/>
        </w:rPr>
        <w:t>► </w:t>
      </w:r>
      <w:r>
        <w:rPr>
          <w:b w:val="0"/>
          <w:color w:val="231F20"/>
        </w:rPr>
        <w:t>souligne le rôle important de la législation dans l’application de la Convention relative aux droits des personnes handicapées (CDPH) ;</w:t>
      </w:r>
    </w:p>
    <w:p>
      <w:pPr>
        <w:pStyle w:val="BodyText"/>
        <w:spacing w:line="264" w:lineRule="auto" w:before="21"/>
        <w:ind w:left="813" w:right="1409" w:hanging="341"/>
        <w:rPr>
          <w:b w:val="0"/>
        </w:rPr>
      </w:pPr>
      <w:r>
        <w:rPr>
          <w:rFonts w:ascii="Arial" w:hAnsi="Arial"/>
          <w:color w:val="FDB714"/>
          <w:sz w:val="26"/>
        </w:rPr>
        <w:t>► </w:t>
      </w:r>
      <w:r>
        <w:rPr>
          <w:b w:val="0"/>
          <w:color w:val="231F20"/>
        </w:rPr>
        <w:t>examine les obligations des États parties dans le cadre de la CDPH en matière de réforme de la loi ;</w:t>
      </w:r>
    </w:p>
    <w:p>
      <w:pPr>
        <w:pStyle w:val="BodyText"/>
        <w:spacing w:line="264" w:lineRule="auto" w:before="21"/>
        <w:ind w:left="813" w:right="1235" w:hanging="341"/>
        <w:rPr>
          <w:b w:val="0"/>
        </w:rPr>
      </w:pPr>
      <w:r>
        <w:rPr>
          <w:rFonts w:ascii="Arial" w:hAnsi="Arial"/>
          <w:color w:val="FDB714"/>
          <w:sz w:val="26"/>
        </w:rPr>
        <w:t>► </w:t>
      </w:r>
      <w:r>
        <w:rPr>
          <w:b w:val="0"/>
          <w:color w:val="231F20"/>
        </w:rPr>
        <w:t>établit les points clés à prendre en compte pour légiférer en faveur des droits liés au handicap et de l’inclusion ;</w:t>
      </w:r>
    </w:p>
    <w:p>
      <w:pPr>
        <w:pStyle w:val="BodyText"/>
        <w:spacing w:line="264" w:lineRule="auto" w:before="21"/>
        <w:ind w:left="813" w:right="1235" w:hanging="341"/>
        <w:rPr>
          <w:b w:val="0"/>
        </w:rPr>
      </w:pPr>
      <w:r>
        <w:rPr>
          <w:rFonts w:ascii="Arial" w:hAnsi="Arial"/>
          <w:color w:val="FDB714"/>
          <w:sz w:val="26"/>
        </w:rPr>
        <w:t>► </w:t>
      </w:r>
      <w:r>
        <w:rPr>
          <w:b w:val="0"/>
          <w:color w:val="231F20"/>
        </w:rPr>
        <w:t>explique les stratégies permettant de garantir que la réforme et le développement législatifs sont conformes à la CDPH ;</w:t>
      </w:r>
    </w:p>
    <w:p>
      <w:pPr>
        <w:pStyle w:val="BodyText"/>
        <w:spacing w:before="21"/>
        <w:ind w:left="473" w:right="1235"/>
        <w:rPr>
          <w:b w:val="0"/>
        </w:rPr>
      </w:pPr>
      <w:r>
        <w:rPr>
          <w:rFonts w:ascii="Arial" w:hAnsi="Arial"/>
          <w:color w:val="FDB714"/>
          <w:sz w:val="26"/>
        </w:rPr>
        <w:t>► </w:t>
      </w:r>
      <w:r>
        <w:rPr>
          <w:b w:val="0"/>
          <w:color w:val="231F20"/>
        </w:rPr>
        <w:t>met en lumière la nature participative de la réforme de la loi requise par la CDPH ;</w:t>
      </w:r>
    </w:p>
    <w:p>
      <w:pPr>
        <w:pStyle w:val="BodyText"/>
        <w:spacing w:before="47"/>
        <w:ind w:left="473" w:right="1235"/>
        <w:rPr>
          <w:b w:val="0"/>
          <w:i/>
        </w:rPr>
      </w:pPr>
      <w:r>
        <w:rPr>
          <w:rFonts w:ascii="Arial" w:hAnsi="Arial"/>
          <w:color w:val="FDB714"/>
          <w:sz w:val="26"/>
        </w:rPr>
        <w:t>► </w:t>
      </w:r>
      <w:r>
        <w:rPr>
          <w:b w:val="0"/>
          <w:color w:val="231F20"/>
        </w:rPr>
        <w:t>inclut des exercices d’apprentissage pour accompagner les supports ; </w:t>
      </w:r>
      <w:r>
        <w:rPr>
          <w:b w:val="0"/>
          <w:i/>
          <w:color w:val="231F20"/>
        </w:rPr>
        <w:t>et</w:t>
      </w:r>
    </w:p>
    <w:p>
      <w:pPr>
        <w:pStyle w:val="BodyText"/>
        <w:spacing w:before="47"/>
        <w:ind w:left="473" w:right="1235"/>
        <w:rPr>
          <w:b w:val="0"/>
        </w:rPr>
      </w:pPr>
      <w:r>
        <w:rPr>
          <w:rFonts w:ascii="Arial" w:hAnsi="Arial"/>
          <w:color w:val="FDB714"/>
          <w:sz w:val="26"/>
        </w:rPr>
        <w:t>► </w:t>
      </w:r>
      <w:r>
        <w:rPr>
          <w:b w:val="0"/>
          <w:color w:val="231F20"/>
        </w:rPr>
        <w:t>fournit une liste de ressources clés pour référence.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7"/>
        </w:rPr>
      </w:pPr>
    </w:p>
    <w:p>
      <w:pPr>
        <w:tabs>
          <w:tab w:pos="8240" w:val="left" w:leader="none"/>
          <w:tab w:pos="9147" w:val="left" w:leader="none"/>
        </w:tabs>
        <w:spacing w:before="56"/>
        <w:ind w:left="4032" w:right="0" w:firstLine="0"/>
        <w:jc w:val="left"/>
        <w:rPr>
          <w:rFonts w:ascii="Myriad Pro" w:hAnsi="Myriad Pro"/>
          <w:sz w:val="26"/>
        </w:rPr>
      </w:pPr>
      <w:r>
        <w:rPr/>
        <w:pict>
          <v:shape style="position:absolute;margin-left:452.049622pt;margin-top:-69.515633pt;width:8pt;height:47.45pt;mso-position-horizontal-relative:page;mso-position-vertical-relative:paragraph;z-index:1360" type="#_x0000_t202" filled="false" stroked="false">
            <v:textbox inset="0,0,0,0" style="layout-flow:vertical;mso-layout-flow-alt:bottom-to-top">
              <w:txbxContent>
                <w:p>
                  <w:pPr>
                    <w:spacing w:before="4"/>
                    <w:ind w:left="20" w:right="0" w:firstLine="0"/>
                    <w:jc w:val="left"/>
                    <w:rPr>
                      <w:rFonts w:ascii="Arial" w:hAnsi="Arial"/>
                      <w:sz w:val="12"/>
                    </w:rPr>
                  </w:pPr>
                  <w:r>
                    <w:rPr>
                      <w:rFonts w:ascii="Arial" w:hAnsi="Arial"/>
                      <w:color w:val="FFFFFF"/>
                      <w:sz w:val="12"/>
                    </w:rPr>
                    <w:t>© OIT/</w:t>
                  </w:r>
                  <w:r>
                    <w:rPr>
                      <w:rFonts w:ascii="Arial" w:hAnsi="Arial"/>
                      <w:color w:val="FFFFFF"/>
                      <w:spacing w:val="-1"/>
                      <w:sz w:val="12"/>
                    </w:rPr>
                    <w:t> </w:t>
                  </w:r>
                  <w:r>
                    <w:rPr>
                      <w:rFonts w:ascii="Arial" w:hAnsi="Arial"/>
                      <w:color w:val="FFFFFF"/>
                      <w:sz w:val="12"/>
                    </w:rPr>
                    <w:t>M. </w:t>
                  </w:r>
                  <w:r>
                    <w:rPr>
                      <w:rFonts w:ascii="Arial" w:hAnsi="Arial"/>
                      <w:color w:val="FFFFFF"/>
                      <w:spacing w:val="-1"/>
                      <w:sz w:val="12"/>
                    </w:rPr>
                    <w:t>Crozet</w:t>
                  </w:r>
                </w:p>
              </w:txbxContent>
            </v:textbox>
            <w10:wrap type="none"/>
          </v:shape>
        </w:pict>
      </w:r>
      <w:r>
        <w:rPr>
          <w:rFonts w:ascii="Myriad Pro" w:hAnsi="Myriad Pro"/>
          <w:color w:val="6D6E71"/>
          <w:sz w:val="16"/>
        </w:rPr>
        <w:t>Module 7 - LÉGIFÉRER POUR LES DROITS LIÉS </w:t>
      </w:r>
      <w:r>
        <w:rPr>
          <w:rFonts w:ascii="Myriad Pro" w:hAnsi="Myriad Pro"/>
          <w:color w:val="6D6E71"/>
          <w:spacing w:val="-3"/>
          <w:sz w:val="16"/>
        </w:rPr>
        <w:t>AU</w:t>
      </w:r>
      <w:r>
        <w:rPr>
          <w:rFonts w:ascii="Myriad Pro" w:hAnsi="Myriad Pro"/>
          <w:color w:val="6D6E71"/>
          <w:sz w:val="16"/>
        </w:rPr>
        <w:t> HANDICAP</w:t>
        <w:tab/>
      </w:r>
      <w:r>
        <w:rPr>
          <w:rFonts w:ascii="Myriad Pro" w:hAnsi="Myriad Pro"/>
          <w:color w:val="FFFFFF"/>
          <w:position w:val="-4"/>
          <w:sz w:val="26"/>
          <w:shd w:fill="FDB714" w:color="auto" w:val="clear"/>
        </w:rPr>
        <w:t>1</w:t>
        <w:tab/>
      </w:r>
    </w:p>
    <w:p>
      <w:pPr>
        <w:spacing w:after="0"/>
        <w:jc w:val="left"/>
        <w:rPr>
          <w:rFonts w:ascii="Myriad Pro" w:hAnsi="Myriad Pro"/>
          <w:sz w:val="26"/>
        </w:rPr>
        <w:sectPr>
          <w:pgSz w:w="11910" w:h="16840"/>
          <w:pgMar w:top="360" w:bottom="28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67744"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firstLine="0"/>
        <w:rPr>
          <w:b/>
        </w:rPr>
      </w:pPr>
      <w:r>
        <w:rPr>
          <w:b/>
          <w:color w:val="231F20"/>
        </w:rPr>
        <w:t>Objectifs d’apprentissage</w:t>
      </w:r>
    </w:p>
    <w:p>
      <w:pPr>
        <w:pStyle w:val="BodyText"/>
        <w:spacing w:before="117"/>
        <w:ind w:left="2891"/>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540" w:hanging="400"/>
        <w:jc w:val="left"/>
        <w:rPr>
          <w:b w:val="0"/>
          <w:sz w:val="22"/>
        </w:rPr>
      </w:pPr>
      <w:r>
        <w:rPr>
          <w:b w:val="0"/>
          <w:color w:val="231F20"/>
          <w:sz w:val="22"/>
        </w:rPr>
        <w:t>souligné le rôle important de la législation dans l’application de la</w:t>
      </w:r>
      <w:r>
        <w:rPr>
          <w:b w:val="0"/>
          <w:color w:val="231F20"/>
          <w:spacing w:val="-10"/>
          <w:sz w:val="22"/>
        </w:rPr>
        <w:t> </w:t>
      </w:r>
      <w:r>
        <w:rPr>
          <w:b w:val="0"/>
          <w:color w:val="231F20"/>
          <w:sz w:val="22"/>
        </w:rPr>
        <w:t>Convention relative aux droits des personnes handicapées (CDPH)</w:t>
      </w:r>
      <w:r>
        <w:rPr>
          <w:b w:val="0"/>
          <w:color w:val="231F20"/>
          <w:spacing w:val="-10"/>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308" w:hanging="400"/>
        <w:jc w:val="left"/>
        <w:rPr>
          <w:b w:val="0"/>
          <w:sz w:val="22"/>
        </w:rPr>
      </w:pPr>
      <w:r>
        <w:rPr>
          <w:b w:val="0"/>
          <w:color w:val="231F20"/>
          <w:sz w:val="22"/>
        </w:rPr>
        <w:t>examiné les obligations des États parties de la CDPH en matière de réforme de la loi ;</w:t>
      </w:r>
    </w:p>
    <w:p>
      <w:pPr>
        <w:pStyle w:val="ListParagraph"/>
        <w:numPr>
          <w:ilvl w:val="1"/>
          <w:numId w:val="2"/>
        </w:numPr>
        <w:tabs>
          <w:tab w:pos="3632" w:val="left" w:leader="none"/>
        </w:tabs>
        <w:spacing w:line="240" w:lineRule="auto" w:before="112" w:after="0"/>
        <w:ind w:left="3631" w:right="525" w:hanging="400"/>
        <w:jc w:val="left"/>
        <w:rPr>
          <w:b w:val="0"/>
          <w:sz w:val="22"/>
        </w:rPr>
      </w:pPr>
      <w:r>
        <w:rPr>
          <w:b w:val="0"/>
          <w:color w:val="231F20"/>
          <w:sz w:val="22"/>
        </w:rPr>
        <w:t>discuté de la manière d'évaluer la conformité de la législation existante avec</w:t>
      </w:r>
      <w:r>
        <w:rPr>
          <w:b w:val="0"/>
          <w:color w:val="231F20"/>
          <w:spacing w:val="-20"/>
          <w:sz w:val="22"/>
        </w:rPr>
        <w:t> </w:t>
      </w:r>
      <w:r>
        <w:rPr>
          <w:b w:val="0"/>
          <w:color w:val="231F20"/>
          <w:sz w:val="22"/>
        </w:rPr>
        <w:t>la CDPH ;</w:t>
      </w:r>
    </w:p>
    <w:p>
      <w:pPr>
        <w:pStyle w:val="ListParagraph"/>
        <w:numPr>
          <w:ilvl w:val="1"/>
          <w:numId w:val="2"/>
        </w:numPr>
        <w:tabs>
          <w:tab w:pos="3632" w:val="left" w:leader="none"/>
        </w:tabs>
        <w:spacing w:line="240" w:lineRule="auto" w:before="112" w:after="0"/>
        <w:ind w:left="3631" w:right="297" w:hanging="400"/>
        <w:jc w:val="left"/>
        <w:rPr>
          <w:b w:val="0"/>
          <w:sz w:val="22"/>
        </w:rPr>
      </w:pPr>
      <w:r>
        <w:rPr>
          <w:b w:val="0"/>
          <w:color w:val="231F20"/>
          <w:sz w:val="22"/>
        </w:rPr>
        <w:t>discuté des composantes et des principes clés d’une réforme de la loi en</w:t>
      </w:r>
      <w:r>
        <w:rPr>
          <w:b w:val="0"/>
          <w:color w:val="231F20"/>
          <w:spacing w:val="-11"/>
          <w:sz w:val="22"/>
        </w:rPr>
        <w:t> </w:t>
      </w:r>
      <w:r>
        <w:rPr>
          <w:b w:val="0"/>
          <w:color w:val="231F20"/>
          <w:sz w:val="22"/>
        </w:rPr>
        <w:t>matière de handicap ;</w:t>
      </w:r>
    </w:p>
    <w:p>
      <w:pPr>
        <w:pStyle w:val="ListParagraph"/>
        <w:numPr>
          <w:ilvl w:val="1"/>
          <w:numId w:val="2"/>
        </w:numPr>
        <w:tabs>
          <w:tab w:pos="3632" w:val="left" w:leader="none"/>
        </w:tabs>
        <w:spacing w:line="240" w:lineRule="auto" w:before="112" w:after="0"/>
        <w:ind w:left="3631" w:right="251" w:hanging="400"/>
        <w:jc w:val="left"/>
        <w:rPr>
          <w:b w:val="0"/>
          <w:sz w:val="22"/>
        </w:rPr>
      </w:pPr>
      <w:r>
        <w:rPr>
          <w:b w:val="0"/>
          <w:color w:val="231F20"/>
          <w:sz w:val="22"/>
        </w:rPr>
        <w:t>exploré les stratégies permettant de garantir que la réforme et le</w:t>
      </w:r>
      <w:r>
        <w:rPr>
          <w:b w:val="0"/>
          <w:color w:val="231F20"/>
          <w:spacing w:val="-14"/>
          <w:sz w:val="22"/>
        </w:rPr>
        <w:t> </w:t>
      </w:r>
      <w:r>
        <w:rPr>
          <w:b w:val="0"/>
          <w:color w:val="231F20"/>
          <w:sz w:val="22"/>
        </w:rPr>
        <w:t>développement législatifs sont conformes à la CDPH</w:t>
      </w:r>
      <w:r>
        <w:rPr>
          <w:b w:val="0"/>
          <w:color w:val="231F20"/>
          <w:spacing w:val="-8"/>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341" w:hanging="400"/>
        <w:jc w:val="left"/>
        <w:rPr>
          <w:b w:val="0"/>
          <w:sz w:val="22"/>
        </w:rPr>
      </w:pPr>
      <w:r>
        <w:rPr>
          <w:b w:val="0"/>
          <w:color w:val="231F20"/>
          <w:sz w:val="22"/>
        </w:rPr>
        <w:t>réfléchi à la manière de s'assurer de la participation pleine et effective des personnes handicapées et de leurs organisations représentatives à la réforme</w:t>
      </w:r>
      <w:r>
        <w:rPr>
          <w:b w:val="0"/>
          <w:color w:val="231F20"/>
          <w:spacing w:val="-17"/>
          <w:sz w:val="22"/>
        </w:rPr>
        <w:t> </w:t>
      </w:r>
      <w:r>
        <w:rPr>
          <w:b w:val="0"/>
          <w:color w:val="231F20"/>
          <w:sz w:val="22"/>
        </w:rPr>
        <w:t>de la loi.</w:t>
      </w:r>
    </w:p>
    <w:p>
      <w:pPr>
        <w:pStyle w:val="BodyText"/>
        <w:rPr>
          <w:b w:val="0"/>
        </w:rPr>
      </w:pPr>
    </w:p>
    <w:p>
      <w:pPr>
        <w:pStyle w:val="BodyText"/>
        <w:spacing w:before="4"/>
        <w:rPr>
          <w:b w:val="0"/>
          <w:sz w:val="19"/>
        </w:rPr>
      </w:pPr>
    </w:p>
    <w:p>
      <w:pPr>
        <w:pStyle w:val="Heading2"/>
        <w:spacing w:before="1"/>
        <w:ind w:left="2891" w:firstLine="0"/>
        <w:rPr>
          <w:b/>
        </w:rPr>
      </w:pPr>
      <w:r>
        <w:rPr>
          <w:b/>
          <w:color w:val="231F20"/>
        </w:rPr>
        <w:t>Plan du module</w:t>
      </w:r>
    </w:p>
    <w:p>
      <w:pPr>
        <w:pStyle w:val="BodyText"/>
        <w:spacing w:before="4"/>
        <w:rPr>
          <w:b/>
          <w:sz w:val="9"/>
        </w:rPr>
      </w:pPr>
      <w:r>
        <w:rPr/>
        <w:pict>
          <v:group style="position:absolute;margin-left:141.528pt;margin-top:7.697314pt;width:402.65pt;height:375.8pt;mso-position-horizontal-relative:page;mso-position-vertical-relative:paragraph;z-index:1648;mso-wrap-distance-left:0;mso-wrap-distance-right:0" coordorigin="2831,154" coordsize="8053,7516">
            <v:rect style="position:absolute;left:8550;top:6172;width:2333;height:1498" filled="true" fillcolor="#231f20" stroked="false">
              <v:fill opacity="22937f" type="solid"/>
            </v:rect>
            <v:shape style="position:absolute;left:8624;top:6245;width:2072;height:1241" coordorigin="8624,6245" coordsize="2072,1241" path="m10525,6245l8794,6245,8695,6248,8645,6267,8626,6317,8624,6416,8624,7316,8626,7414,8645,7464,8695,7483,8794,7486,10525,7486,10623,7483,10674,7464,10692,7414,10695,7316,10695,6416,10692,6317,10674,6267,10623,6248,10525,6245xe" filled="true" fillcolor="#e0e0c6" stroked="false">
              <v:path arrowok="t"/>
              <v:fill type="solid"/>
            </v:shape>
            <v:shape style="position:absolute;left:8624;top:6245;width:2072;height:1241" coordorigin="8624,6245" coordsize="2072,1241" path="m8794,6245l8695,6248,8645,6267,8626,6317,8624,6416,8624,7316,8626,7414,8645,7464,8695,7483,8794,7486,10525,7486,10623,7483,10674,7464,10692,7414,10695,7316,10695,6416,10692,6317,10674,6267,10623,6248,10525,6245,8794,6245xe" filled="false" stroked="true" strokeweight="2pt" strokecolor="#8a9221">
              <v:path arrowok="t"/>
            </v:shape>
            <v:line style="position:absolute" from="9619,5700" to="9619,6139" stroked="true" strokeweight="2pt" strokecolor="#55479d"/>
            <v:shape style="position:absolute;left:9541;top:6063;width:157;height:215" coordorigin="9541,6063" coordsize="157,215" path="m9697,6063l9541,6063,9619,6278,9697,6063xe" filled="true" fillcolor="#55479d" stroked="false">
              <v:path arrowok="t"/>
              <v:fill type="solid"/>
            </v:shape>
            <v:line style="position:absolute" from="5127,847" to="5630,847" stroked="true" strokeweight="2pt" strokecolor="#231f20"/>
            <v:shape style="position:absolute;left:5534;top:769;width:215;height:157" coordorigin="5534,769" coordsize="215,157" path="m5534,769l5534,925,5748,847,5534,769xe" filled="true" fillcolor="#231f20" stroked="false">
              <v:path arrowok="t"/>
              <v:fill type="solid"/>
            </v:shape>
            <v:rect style="position:absolute;left:2845;top:154;width:2282;height:1498" filled="true" fillcolor="#231f20" stroked="false">
              <v:fill opacity="22937f" type="solid"/>
            </v:rect>
            <v:shape style="position:absolute;left:2918;top:227;width:2026;height:1241" coordorigin="2918,227" coordsize="2026,1241" path="m4773,227l3088,227,2990,230,2939,249,2921,299,2918,397,2918,1297,2921,1396,2939,1446,2990,1465,3088,1467,4773,1467,4871,1465,4922,1446,4940,1396,4943,1297,4943,397,4940,299,4922,249,4871,230,4773,227xe" filled="true" fillcolor="#d9eaf0" stroked="false">
              <v:path arrowok="t"/>
              <v:fill type="solid"/>
            </v:shape>
            <v:shape style="position:absolute;left:2918;top:227;width:2026;height:1241" coordorigin="2918,227" coordsize="2026,1241" path="m3088,227l2990,230,2939,249,2921,299,2918,397,2918,1297,2921,1396,2939,1446,2990,1465,3088,1467,4773,1467,4871,1465,4922,1446,4940,1396,4943,1297,4943,397,4940,299,4922,249,4871,230,4773,227,3088,227xe" filled="false" stroked="true" strokeweight="2pt" strokecolor="#231f20">
              <v:path arrowok="t"/>
            </v:shape>
            <v:line style="position:absolute" from="7986,847" to="8457,847" stroked="true" strokeweight="2pt" strokecolor="#fdb714"/>
            <v:shape style="position:absolute;left:8361;top:769;width:215;height:157" coordorigin="8361,769" coordsize="215,157" path="m8361,769l8362,925,8576,847,8361,769xe" filled="true" fillcolor="#fdb714" stroked="false">
              <v:path arrowok="t"/>
              <v:fill type="solid"/>
            </v:shape>
            <v:rect style="position:absolute;left:5704;top:157;width:2282;height:1498" filled="true" fillcolor="#231f20" stroked="false">
              <v:fill opacity="22937f" type="solid"/>
            </v:rect>
            <v:shape style="position:absolute;left:5777;top:231;width:2026;height:1241" coordorigin="5777,231" coordsize="2026,1241" path="m7632,231l5947,231,5849,233,5798,252,5780,303,5777,401,5777,1301,5780,1399,5798,1450,5849,1468,5947,1471,7632,1471,7730,1468,7781,1450,7799,1399,7802,1301,7802,401,7799,303,7781,252,7730,233,7632,231xe" filled="true" fillcolor="#fff5e4" stroked="false">
              <v:path arrowok="t"/>
              <v:fill type="solid"/>
            </v:shape>
            <v:line style="position:absolute" from="9619,1652" to="9619,2093" stroked="true" strokeweight="2pt" strokecolor="#fdb714"/>
            <v:shape style="position:absolute;left:9541;top:2017;width:157;height:215" coordorigin="9541,2017" coordsize="157,215" path="m9697,2017l9541,2017,9619,2231,9697,2017xe" filled="true" fillcolor="#fdb714" stroked="false">
              <v:path arrowok="t"/>
              <v:fill type="solid"/>
            </v:shape>
            <v:rect style="position:absolute;left:8533;top:154;width:2333;height:1498" filled="true" fillcolor="#231f20" stroked="false">
              <v:fill opacity="22937f" type="solid"/>
            </v:rect>
            <v:shape style="position:absolute;left:8606;top:228;width:2072;height:1241" coordorigin="8606,228" coordsize="2072,1241" path="m10507,228l8776,228,8678,230,8627,249,8609,300,8606,398,8606,1298,8609,1396,8627,1447,8678,1465,8776,1468,10507,1468,10606,1465,10656,1447,10675,1396,10677,1298,10677,398,10675,300,10656,249,10606,230,10507,228xe" filled="true" fillcolor="#fff5e4" stroked="false">
              <v:path arrowok="t"/>
              <v:fill type="solid"/>
            </v:shape>
            <v:line style="position:absolute" from="5122,2876" to="5704,2876" stroked="true" strokeweight="2pt" strokecolor="#fdb714"/>
            <v:shape style="position:absolute;left:4983;top:2798;width:215;height:157" coordorigin="4983,2798" coordsize="215,157" path="m5198,2798l4983,2876,5198,2954,5198,2798xe" filled="true" fillcolor="#fdb714" stroked="false">
              <v:path arrowok="t"/>
              <v:fill type="solid"/>
            </v:shape>
            <v:line style="position:absolute" from="3931,3680" to="3931,4125" stroked="true" strokeweight="2pt" strokecolor="#fdb714"/>
            <v:shape style="position:absolute;left:3853;top:4049;width:157;height:215" coordorigin="3853,4049" coordsize="157,215" path="m4009,4049l3853,4049,3931,4264,4009,4049xe" filled="true" fillcolor="#fdb714" stroked="false">
              <v:path arrowok="t"/>
              <v:fill type="solid"/>
            </v:shape>
            <v:rect style="position:absolute;left:2845;top:2182;width:2282;height:1498" filled="true" fillcolor="#231f20" stroked="false">
              <v:fill opacity="22937f" type="solid"/>
            </v:rect>
            <v:shape style="position:absolute;left:2918;top:2256;width:2026;height:1241" coordorigin="2918,2256" coordsize="2026,1241" path="m4773,2256l3088,2256,2990,2258,2939,2277,2921,2327,2918,2426,2918,3326,2921,3424,2939,3475,2990,3493,3088,3496,4773,3496,4871,3493,4922,3475,4940,3424,4943,3326,4943,2426,4940,2327,4922,2277,4871,2258,4773,2256xe" filled="true" fillcolor="#fff5e4" stroked="false">
              <v:path arrowok="t"/>
              <v:fill type="solid"/>
            </v:shape>
            <v:line style="position:absolute" from="7986,2876" to="8533,2876" stroked="true" strokeweight="2pt" strokecolor="#fdb714"/>
            <v:shape style="position:absolute;left:7812;top:2798;width:215;height:157" coordorigin="7812,2798" coordsize="215,157" path="m8027,2798l7812,2876,8027,2954,8027,2798xe" filled="true" fillcolor="#fdb714" stroked="false">
              <v:path arrowok="t"/>
              <v:fill type="solid"/>
            </v:shape>
            <v:rect style="position:absolute;left:5704;top:2182;width:2282;height:1498" filled="true" fillcolor="#231f20" stroked="false">
              <v:fill opacity="22937f" type="solid"/>
            </v:rect>
            <v:shape style="position:absolute;left:5777;top:2256;width:2026;height:1241" coordorigin="5777,2256" coordsize="2026,1241" path="m7632,2256l5947,2256,5849,2258,5798,2277,5780,2327,5777,2426,5777,3326,5780,3424,5798,3475,5849,3493,5947,3496,7632,3496,7730,3493,7781,3475,7799,3424,7802,3326,7802,2426,7799,2327,7781,2277,7730,2258,7632,2256xe" filled="true" fillcolor="#fff5e4" stroked="false">
              <v:path arrowok="t"/>
              <v:fill type="solid"/>
            </v:shape>
            <v:rect style="position:absolute;left:8533;top:2182;width:2333;height:1498" filled="true" fillcolor="#231f20" stroked="false">
              <v:fill opacity="22937f" type="solid"/>
            </v:rect>
            <v:shape style="position:absolute;left:8606;top:2256;width:2072;height:1241" coordorigin="8606,2256" coordsize="2072,1241" path="m10507,2256l8776,2256,8678,2258,8627,2277,8609,2327,8606,2426,8606,3326,8609,3424,8627,3475,8678,3493,8776,3496,10507,3496,10606,3493,10656,3475,10675,3424,10677,3326,10677,2426,10675,2327,10656,2277,10606,2258,10507,2256xe" filled="true" fillcolor="#fff5e4" stroked="false">
              <v:path arrowok="t"/>
              <v:fill type="solid"/>
            </v:shape>
            <v:line style="position:absolute" from="5113,4888" to="5683,4888" stroked="true" strokeweight="2pt" strokecolor="#fdb714"/>
            <v:shape style="position:absolute;left:5587;top:4810;width:215;height:157" coordorigin="5587,4810" coordsize="215,157" path="m5587,4810l5587,4966,5802,4889,5587,4810xe" filled="true" fillcolor="#fdb714" stroked="false">
              <v:path arrowok="t"/>
              <v:fill type="solid"/>
            </v:shape>
            <v:rect style="position:absolute;left:2831;top:4195;width:2282;height:1498" filled="true" fillcolor="#231f20" stroked="false">
              <v:fill opacity="22937f" type="solid"/>
            </v:rect>
            <v:shape style="position:absolute;left:2904;top:4268;width:2026;height:1241" coordorigin="2904,4268" coordsize="2026,1241" path="m4759,4268l3074,4268,2976,4271,2925,4290,2907,4340,2904,4438,2904,5338,2907,5437,2925,5487,2976,5506,3074,5508,4759,5508,4857,5506,4908,5487,4926,5437,4929,5338,4929,4438,4926,4340,4908,4290,4857,4271,4759,4268xe" filled="true" fillcolor="#fff5e4" stroked="false">
              <v:path arrowok="t"/>
              <v:fill type="solid"/>
            </v:shape>
            <v:line style="position:absolute" from="7998,4893" to="8457,4893" stroked="true" strokeweight="2pt" strokecolor="#fdb714"/>
            <v:shape style="position:absolute;left:8361;top:4815;width:215;height:157" coordorigin="8361,4815" coordsize="215,157" path="m8362,4815l8361,4971,8576,4893,8362,4815xe" filled="true" fillcolor="#fdb714" stroked="false">
              <v:path arrowok="t"/>
              <v:fill type="solid"/>
            </v:shape>
            <v:rect style="position:absolute;left:8524;top:4202;width:2333;height:1498" filled="true" fillcolor="#231f20" stroked="false">
              <v:fill opacity="22937f" type="solid"/>
            </v:rect>
            <v:shape style="position:absolute;left:8597;top:4275;width:2072;height:1241" coordorigin="8597,4275" coordsize="2072,1241" path="m10499,4275l8768,4275,8669,4278,8619,4297,8600,4347,8597,4445,8597,5345,8600,5444,8619,5494,8669,5513,8768,5516,10499,5516,10597,5513,10647,5494,10666,5444,10669,5345,10669,4445,10666,4347,10647,4297,10597,4278,10499,4275xe" filled="true" fillcolor="#dbd8ec" stroked="false">
              <v:path arrowok="t"/>
              <v:fill type="solid"/>
            </v:shape>
            <v:rect style="position:absolute;left:5715;top:4207;width:2282;height:1498" filled="true" fillcolor="#231f20" stroked="false">
              <v:fill opacity="22937f" type="solid"/>
            </v:rect>
            <v:shape style="position:absolute;left:5789;top:4281;width:2026;height:1241" coordorigin="5789,4281" coordsize="2026,1241" path="m7644,4281l5959,4281,5860,4283,5810,4302,5791,4352,5789,4451,5789,5351,5791,5449,5810,5500,5860,5518,5959,5521,7644,5521,7742,5518,7792,5500,7811,5449,7814,5351,7814,4451,7811,4352,7792,4302,7742,4283,7644,4281xe" filled="true" fillcolor="#fff5e4" stroked="false">
              <v:path arrowok="t"/>
              <v:fill type="solid"/>
            </v:shape>
            <v:rect style="position:absolute;left:5503;top:6165;width:2506;height:1498" filled="true" fillcolor="#231f20" stroked="false">
              <v:fill opacity="22937f" type="solid"/>
            </v:rect>
            <v:shape style="position:absolute;left:5576;top:6238;width:2249;height:1241" coordorigin="5576,6238" coordsize="2249,1241" path="m7655,6238l5746,6238,5648,6241,5597,6260,5579,6310,5576,6408,5576,7308,5579,7407,5597,7457,5648,7476,5746,7479,7655,7479,7753,7476,7804,7457,7822,7407,7825,7308,7825,6408,7822,6310,7804,6260,7753,6241,7655,6238xe" filled="true" fillcolor="#fae3d0" stroked="false">
              <v:path arrowok="t"/>
              <v:fill type="solid"/>
            </v:shape>
            <v:shape style="position:absolute;left:5576;top:6238;width:2249;height:1241" coordorigin="5576,6238" coordsize="2249,1241" path="m5746,6238l5648,6241,5597,6260,5579,6310,5576,6408,5576,7308,5579,7407,5597,7457,5648,7476,5746,7479,7655,7479,7753,7476,7804,7457,7822,7407,7825,7308,7825,6408,7822,6310,7804,6260,7753,6241,7655,6238,5746,6238xe" filled="false" stroked="true" strokeweight="2.0pt" strokecolor="#e36f1e">
              <v:path arrowok="t"/>
            </v:shape>
            <v:line style="position:absolute" from="7979,6867" to="8617,6867" stroked="true" strokeweight="2pt" strokecolor="#8a9221"/>
            <v:shape style="position:absolute;left:7841;top:6789;width:215;height:157" coordorigin="7841,6789" coordsize="215,157" path="m8055,6789l7841,6867,8055,6945,8055,6789xe" filled="true" fillcolor="#8a9221" stroked="false">
              <v:path arrowok="t"/>
              <v:fill type="solid"/>
            </v:shape>
            <v:shape style="position:absolute;left:8630;top:6245;width:2060;height:1241" type="#_x0000_t202" filled="false" stroked="false">
              <v:textbox inset="0,0,0,0">
                <w:txbxContent>
                  <w:p>
                    <w:pPr>
                      <w:spacing w:line="240" w:lineRule="auto" w:before="0"/>
                      <w:rPr>
                        <w:b/>
                        <w:sz w:val="32"/>
                      </w:rPr>
                    </w:pPr>
                  </w:p>
                  <w:p>
                    <w:pPr>
                      <w:spacing w:line="220" w:lineRule="exact" w:before="0"/>
                      <w:ind w:left="370" w:right="14" w:hanging="284"/>
                      <w:jc w:val="left"/>
                      <w:rPr>
                        <w:b/>
                        <w:sz w:val="22"/>
                      </w:rPr>
                    </w:pPr>
                    <w:r>
                      <w:rPr>
                        <w:b/>
                        <w:color w:val="231F20"/>
                        <w:sz w:val="22"/>
                      </w:rPr>
                      <w:t>4. RESSOURCES UTILES</w:t>
                    </w:r>
                  </w:p>
                </w:txbxContent>
              </v:textbox>
              <w10:wrap type="none"/>
            </v:shape>
            <v:shape style="position:absolute;left:8612;top:228;width:2060;height:1241" type="#_x0000_t202" filled="true" fillcolor="#fff5e4" stroked="false">
              <v:textbox inset="0,0,0,0">
                <w:txbxContent>
                  <w:p>
                    <w:pPr>
                      <w:spacing w:line="240" w:lineRule="auto" w:before="0"/>
                      <w:rPr>
                        <w:b/>
                        <w:sz w:val="18"/>
                      </w:rPr>
                    </w:pPr>
                  </w:p>
                  <w:p>
                    <w:pPr>
                      <w:spacing w:line="240" w:lineRule="auto" w:before="2"/>
                      <w:rPr>
                        <w:b/>
                        <w:sz w:val="15"/>
                      </w:rPr>
                    </w:pPr>
                  </w:p>
                  <w:p>
                    <w:pPr>
                      <w:spacing w:before="0"/>
                      <w:ind w:left="136" w:right="14" w:firstLine="0"/>
                      <w:jc w:val="left"/>
                      <w:rPr>
                        <w:b w:val="0"/>
                        <w:sz w:val="18"/>
                      </w:rPr>
                    </w:pPr>
                    <w:r>
                      <w:rPr>
                        <w:b w:val="0"/>
                        <w:color w:val="231F20"/>
                        <w:sz w:val="18"/>
                      </w:rPr>
                      <w:t>2.A.  Contexte</w:t>
                    </w:r>
                  </w:p>
                </w:txbxContent>
              </v:textbox>
              <v:fill type="solid"/>
              <w10:wrap type="none"/>
            </v:shape>
            <v:shape style="position:absolute;left:5783;top:231;width:2014;height:1241" type="#_x0000_t202" filled="true" fillcolor="#fff5e4" stroked="false">
              <v:textbox inset="0,0,0,0">
                <w:txbxContent>
                  <w:p>
                    <w:pPr>
                      <w:spacing w:line="240" w:lineRule="auto" w:before="5"/>
                      <w:rPr>
                        <w:b/>
                        <w:sz w:val="32"/>
                      </w:rPr>
                    </w:pPr>
                  </w:p>
                  <w:p>
                    <w:pPr>
                      <w:spacing w:line="220" w:lineRule="exact" w:before="0"/>
                      <w:ind w:left="396" w:right="470" w:hanging="284"/>
                      <w:jc w:val="left"/>
                      <w:rPr>
                        <w:b/>
                        <w:sz w:val="22"/>
                      </w:rPr>
                    </w:pPr>
                    <w:r>
                      <w:rPr>
                        <w:b/>
                        <w:color w:val="231F20"/>
                        <w:sz w:val="22"/>
                      </w:rPr>
                      <w:t>2. CONTENU TECHNIQUE</w:t>
                    </w:r>
                  </w:p>
                </w:txbxContent>
              </v:textbox>
              <v:fill type="solid"/>
              <w10:wrap type="none"/>
            </v:shape>
            <v:shape style="position:absolute;left:2924;top:2256;width:2014;height:1241" type="#_x0000_t202" filled="true" fillcolor="#fff5e4" stroked="false">
              <v:textbox inset="0,0,0,0">
                <w:txbxContent>
                  <w:p>
                    <w:pPr>
                      <w:spacing w:line="247" w:lineRule="auto" w:before="64"/>
                      <w:ind w:left="424" w:right="444" w:hanging="341"/>
                      <w:jc w:val="left"/>
                      <w:rPr>
                        <w:b w:val="0"/>
                        <w:sz w:val="18"/>
                      </w:rPr>
                    </w:pPr>
                    <w:r>
                      <w:rPr>
                        <w:b w:val="0"/>
                        <w:color w:val="231F20"/>
                        <w:sz w:val="18"/>
                      </w:rPr>
                      <w:t>2.D. Légiférer pour les droits liés au</w:t>
                    </w:r>
                  </w:p>
                  <w:p>
                    <w:pPr>
                      <w:spacing w:line="247" w:lineRule="auto" w:before="0"/>
                      <w:ind w:left="424" w:right="121" w:firstLine="0"/>
                      <w:jc w:val="left"/>
                      <w:rPr>
                        <w:b w:val="0"/>
                        <w:sz w:val="18"/>
                      </w:rPr>
                    </w:pPr>
                    <w:r>
                      <w:rPr>
                        <w:b w:val="0"/>
                        <w:color w:val="231F20"/>
                        <w:sz w:val="18"/>
                      </w:rPr>
                      <w:t>handicap : éléments clés à prendre en considération</w:t>
                    </w:r>
                  </w:p>
                </w:txbxContent>
              </v:textbox>
              <v:fill type="solid"/>
              <w10:wrap type="none"/>
            </v:shape>
            <v:shape style="position:absolute;left:5783;top:2256;width:2014;height:1241" type="#_x0000_t202" filled="true" fillcolor="#fff5e4" stroked="false">
              <v:textbox inset="0,0,0,0">
                <w:txbxContent>
                  <w:p>
                    <w:pPr>
                      <w:spacing w:line="247" w:lineRule="auto" w:before="64"/>
                      <w:ind w:left="485" w:right="121" w:hanging="340"/>
                      <w:jc w:val="left"/>
                      <w:rPr>
                        <w:b w:val="0"/>
                        <w:sz w:val="18"/>
                      </w:rPr>
                    </w:pPr>
                    <w:r>
                      <w:rPr>
                        <w:b w:val="0"/>
                        <w:color w:val="231F20"/>
                        <w:sz w:val="18"/>
                      </w:rPr>
                      <w:t>2.C. Évaluation de la conformité à la CDPH</w:t>
                    </w:r>
                  </w:p>
                </w:txbxContent>
              </v:textbox>
              <v:fill type="solid"/>
              <w10:wrap type="none"/>
            </v:shape>
            <v:shape style="position:absolute;left:8612;top:2256;width:2060;height:1241" type="#_x0000_t202" filled="true" fillcolor="#fff5e4" stroked="false">
              <v:textbox inset="0,0,0,0">
                <w:txbxContent>
                  <w:p>
                    <w:pPr>
                      <w:spacing w:before="64"/>
                      <w:ind w:left="179" w:right="14" w:firstLine="0"/>
                      <w:jc w:val="left"/>
                      <w:rPr>
                        <w:b w:val="0"/>
                        <w:sz w:val="18"/>
                      </w:rPr>
                    </w:pPr>
                    <w:r>
                      <w:rPr>
                        <w:b w:val="0"/>
                        <w:color w:val="231F20"/>
                        <w:sz w:val="18"/>
                      </w:rPr>
                      <w:t>2.B.  Cadre juridique</w:t>
                    </w:r>
                  </w:p>
                </w:txbxContent>
              </v:textbox>
              <v:fill type="solid"/>
              <w10:wrap type="none"/>
            </v:shape>
            <v:shape style="position:absolute;left:8603;top:4275;width:2060;height:1241" type="#_x0000_t202" filled="true" fillcolor="#dbd8ec" stroked="false">
              <v:textbox inset="0,0,0,0">
                <w:txbxContent>
                  <w:p>
                    <w:pPr>
                      <w:spacing w:line="240" w:lineRule="auto" w:before="11"/>
                      <w:rPr>
                        <w:b/>
                        <w:sz w:val="17"/>
                      </w:rPr>
                    </w:pPr>
                  </w:p>
                  <w:p>
                    <w:pPr>
                      <w:spacing w:line="220" w:lineRule="exact" w:before="0"/>
                      <w:ind w:left="396" w:right="14" w:hanging="284"/>
                      <w:jc w:val="left"/>
                      <w:rPr>
                        <w:b/>
                        <w:sz w:val="22"/>
                      </w:rPr>
                    </w:pPr>
                    <w:r>
                      <w:rPr>
                        <w:b/>
                        <w:color w:val="231F20"/>
                        <w:sz w:val="22"/>
                      </w:rPr>
                      <w:t>3. RÉSUMÉ ET PRINCIPAUX ENSEIGNEMENTS</w:t>
                    </w:r>
                  </w:p>
                </w:txbxContent>
              </v:textbox>
              <v:fill type="solid"/>
              <w10:wrap type="none"/>
            </v:shape>
            <v:shape style="position:absolute;left:2910;top:4268;width:2014;height:1241" type="#_x0000_t202" filled="true" fillcolor="#fff5e4" stroked="false">
              <v:textbox inset="0,0,0,0">
                <w:txbxContent>
                  <w:p>
                    <w:pPr>
                      <w:spacing w:line="240" w:lineRule="auto" w:before="8"/>
                      <w:rPr>
                        <w:b/>
                        <w:sz w:val="16"/>
                      </w:rPr>
                    </w:pPr>
                  </w:p>
                  <w:p>
                    <w:pPr>
                      <w:spacing w:before="0"/>
                      <w:ind w:left="113" w:right="470" w:firstLine="0"/>
                      <w:jc w:val="left"/>
                      <w:rPr>
                        <w:b w:val="0"/>
                        <w:sz w:val="18"/>
                      </w:rPr>
                    </w:pPr>
                    <w:r>
                      <w:rPr>
                        <w:b w:val="0"/>
                        <w:color w:val="231F20"/>
                        <w:sz w:val="18"/>
                      </w:rPr>
                      <w:t>2.E.  Domaines</w:t>
                    </w:r>
                  </w:p>
                  <w:p>
                    <w:pPr>
                      <w:spacing w:line="247" w:lineRule="auto" w:before="6"/>
                      <w:ind w:left="453" w:right="79" w:firstLine="0"/>
                      <w:jc w:val="left"/>
                      <w:rPr>
                        <w:b w:val="0"/>
                        <w:sz w:val="18"/>
                      </w:rPr>
                    </w:pPr>
                    <w:r>
                      <w:rPr>
                        <w:b w:val="0"/>
                        <w:color w:val="231F20"/>
                        <w:sz w:val="18"/>
                      </w:rPr>
                      <w:t>prioritaires pour une réforme législative</w:t>
                    </w:r>
                  </w:p>
                </w:txbxContent>
              </v:textbox>
              <v:fill type="solid"/>
              <w10:wrap type="none"/>
            </v:shape>
            <v:shape style="position:absolute;left:5794;top:4281;width:2014;height:1241" type="#_x0000_t202" filled="true" fillcolor="#fff5e4" stroked="false">
              <v:textbox inset="0,0,0,0">
                <w:txbxContent>
                  <w:p>
                    <w:pPr>
                      <w:spacing w:line="240" w:lineRule="auto" w:before="8"/>
                      <w:rPr>
                        <w:b/>
                        <w:sz w:val="15"/>
                      </w:rPr>
                    </w:pPr>
                  </w:p>
                  <w:p>
                    <w:pPr>
                      <w:spacing w:line="247" w:lineRule="auto" w:before="0"/>
                      <w:ind w:left="485" w:right="424" w:hanging="340"/>
                      <w:jc w:val="left"/>
                      <w:rPr>
                        <w:b w:val="0"/>
                        <w:sz w:val="18"/>
                      </w:rPr>
                    </w:pPr>
                    <w:r>
                      <w:rPr>
                        <w:b w:val="0"/>
                        <w:color w:val="231F20"/>
                        <w:sz w:val="18"/>
                      </w:rPr>
                      <w:t>2.F.   Participation à la réforme des lois relatives au handicap</w:t>
                    </w:r>
                  </w:p>
                </w:txbxContent>
              </v:textbox>
              <v:fill type="solid"/>
              <w10:wrap type="none"/>
            </v:shape>
            <v:shape style="position:absolute;left:5576;top:6238;width:2249;height:1241" type="#_x0000_t202" filled="false" stroked="false">
              <v:textbox inset="0,0,0,0">
                <w:txbxContent>
                  <w:p>
                    <w:pPr>
                      <w:spacing w:line="240" w:lineRule="auto" w:before="7"/>
                      <w:rPr>
                        <w:b/>
                        <w:sz w:val="32"/>
                      </w:rPr>
                    </w:pPr>
                  </w:p>
                  <w:p>
                    <w:pPr>
                      <w:spacing w:line="220" w:lineRule="exact" w:before="0"/>
                      <w:ind w:left="362" w:right="0" w:hanging="284"/>
                      <w:jc w:val="left"/>
                      <w:rPr>
                        <w:b/>
                        <w:sz w:val="22"/>
                      </w:rPr>
                    </w:pPr>
                    <w:r>
                      <w:rPr>
                        <w:b/>
                        <w:color w:val="231F20"/>
                        <w:sz w:val="22"/>
                      </w:rPr>
                      <w:t>5. ACTIVITÉS D'APPRENTISSAGE</w:t>
                    </w:r>
                  </w:p>
                </w:txbxContent>
              </v:textbox>
              <w10:wrap type="none"/>
            </v:shape>
            <v:shape style="position:absolute;left:2845;top:154;width:2283;height:1498" type="#_x0000_t202" filled="false" stroked="false">
              <v:textbox inset="0,0,0,0">
                <w:txbxContent>
                  <w:p>
                    <w:pPr>
                      <w:spacing w:line="240" w:lineRule="auto" w:before="0"/>
                      <w:rPr>
                        <w:b/>
                        <w:sz w:val="22"/>
                      </w:rPr>
                    </w:pPr>
                  </w:p>
                  <w:p>
                    <w:pPr>
                      <w:spacing w:before="164"/>
                      <w:ind w:left="174" w:right="0" w:firstLine="0"/>
                      <w:jc w:val="left"/>
                      <w:rPr>
                        <w:b/>
                        <w:sz w:val="22"/>
                      </w:rPr>
                    </w:pPr>
                    <w:r>
                      <w:rPr>
                        <w:b/>
                        <w:color w:val="231F20"/>
                        <w:sz w:val="22"/>
                      </w:rPr>
                      <w:t>1.  PRÉSENTATION</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4"/>
        </w:rPr>
      </w:pPr>
    </w:p>
    <w:p>
      <w:pPr>
        <w:spacing w:before="117"/>
        <w:ind w:left="2891"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9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68"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694;top:1265;width:1370;height:1370" coordorigin="9694,1265" coordsize="1370,1370" path="m10379,1265l10304,1269,10232,1281,10162,1300,10096,1326,10033,1359,9974,1398,9920,1442,9870,1491,9826,1546,9787,1605,9755,1667,9729,1734,9710,1803,9698,1876,9694,1950,9698,2025,9710,2097,9729,2167,9755,2233,9787,2296,9826,2355,9870,2409,9920,2459,9974,2503,10033,2542,10096,2574,10162,2600,10232,2619,10304,2631,10379,2635,10453,2631,10526,2619,10595,2600,10662,2574,10724,2542,10783,2503,10838,2459,10887,2409,10931,2355,10970,2296,11003,2233,11029,2167,11048,2097,11060,2025,11064,1950,11060,1876,11048,1803,11029,1734,11003,1667,10970,1605,10931,1546,10887,1491,10838,1442,10783,1398,10724,1359,10662,1326,10595,1300,10526,1281,10453,1269,10379,1265xe" filled="true" fillcolor="#fdb714" stroked="false">
              <v:path arrowok="t"/>
              <v:fill type="solid"/>
            </v:shape>
            <v:shape style="position:absolute;left:9968;top:1421;width:823;height:1062" coordorigin="9968,1421" coordsize="823,1062" path="m10758,2409l10000,2409,10009,2422,10008,2423,10019,2436,10024,2440,10033,2445,10042,2451,10052,2458,10064,2464,10075,2470,10089,2474,10103,2477,10116,2479,10128,2483,10630,2483,10642,2479,10656,2477,10670,2474,10685,2469,10696,2463,10707,2457,10717,2451,10725,2445,10735,2440,10741,2435,10751,2422,10751,2420,10758,2409xm9998,1498l9997,1500,9997,1500,9977,1542,9969,1598,9968,1657,9969,1711,9969,2195,9968,2248,9969,2308,9977,2363,9997,2404,10001,2413,10000,2409,10758,2409,10759,2409,10759,2409,10761,2404,10774,2381,10583,2381,10553,2380,10178,2380,10144,2380,10114,2376,10090,2367,10072,2348,10071,1602,10071,1588,10074,1575,10078,1563,10084,1552,10091,1544,10101,1534,10114,1527,10126,1525,10502,1525,10476,1498,9999,1498,9998,1498xm10759,2409l10759,2409,10758,2412,10759,2409xm10790,1863l10687,1863,10689,1929,10689,2000,10688,2071,10688,2137,10688,2295,10686,2322,10679,2345,10663,2365,10640,2376,10613,2381,10583,2381,10774,2381,10779,2371,10788,2332,10790,2295,10790,1901,10790,1863xm10502,1525l10126,1525,10325,1526,10325,1627,10324,1648,10324,1672,10324,1694,10328,1712,10340,1762,10365,1803,10400,1835,10440,1856,10494,1866,10560,1867,10627,1864,10687,1863,10790,1863,10790,1848,10787,1819,10774,1798,10746,1769,10502,1525xm10388,1421l10120,1421,10109,1426,10096,1429,10083,1432,10072,1436,10061,1441,10050,1447,10041,1453,10033,1459,10032,1460,10032,1461,10031,1461,10031,1462,10030,1463,10030,1463,10029,1464,10016,1478,10006,1489,10001,1496,9999,1498,10476,1498,10437,1460,10417,1440,10409,1434,10403,1431,10388,1421xe" filled="true" fillcolor="#ffffff" stroked="false">
              <v:path arrowok="t"/>
              <v:fill type="solid"/>
            </v:shape>
            <v:shape style="position:absolute;left:10269;top:1928;width:367;height:92" coordorigin="10269,1928" coordsize="367,92" path="m10600,1928l10305,1928,10291,1931,10280,1938,10272,1950,10269,1964,10269,1984,10272,1997,10280,2009,10291,2016,10305,2019,10600,2019,10614,2016,10625,2009,10633,1997,10635,1984,10635,1964,10633,1950,10625,1938,10614,1931,10600,1928xe" filled="true" fillcolor="#ffffff" stroked="false">
              <v:path arrowok="t"/>
              <v:fill type="solid"/>
            </v:shape>
            <v:shape style="position:absolute;left:10130;top:1928;width:92;height:92" coordorigin="10130,1928" coordsize="92,92" path="m10175,1928l10158,1932,10143,1941,10133,1956,10130,1974,10133,1991,10143,2006,10158,2016,10175,2019,10193,2016,10208,2006,10217,1991,10221,1974,10217,1956,10208,1941,10193,1932,10175,1928xe" filled="true" fillcolor="#ffffff" stroked="false">
              <v:path arrowok="t"/>
              <v:fill type="solid"/>
            </v:shape>
            <v:shape style="position:absolute;left:10269;top:2070;width:367;height:92" coordorigin="10269,2070" coordsize="367,92" path="m10600,2070l10305,2070,10291,2073,10280,2080,10272,2092,10269,2106,10269,2126,10272,2139,10280,2151,10291,2158,10305,2161,10600,2161,10614,2158,10625,2151,10633,2139,10635,2126,10635,2106,10633,2092,10625,2080,10614,2073,10600,2070xe" filled="true" fillcolor="#ffffff" stroked="false">
              <v:path arrowok="t"/>
              <v:fill type="solid"/>
            </v:shape>
            <v:shape style="position:absolute;left:10130;top:2070;width:92;height:92" coordorigin="10130,2070" coordsize="92,92" path="m10175,2070l10158,2073,10143,2083,10133,2098,10130,2116,10133,2133,10143,2148,10158,2158,10175,2161,10193,2158,10208,2148,10217,2133,10221,2116,10217,2098,10208,2083,10193,2073,10175,2070xe" filled="true" fillcolor="#ffffff" stroked="false">
              <v:path arrowok="t"/>
              <v:fill type="solid"/>
            </v:shape>
            <v:shape style="position:absolute;left:10269;top:2212;width:367;height:92" coordorigin="10269,2212" coordsize="367,92" path="m10600,2212l10305,2212,10291,2215,10280,2222,10272,2234,10269,2247,10269,2268,10272,2281,10280,2293,10291,2300,10305,2303,10600,2303,10614,2300,10625,2293,10633,2281,10635,2268,10635,2247,10633,2234,10625,2222,10614,2215,10600,2212xe" filled="true" fillcolor="#ffffff" stroked="false">
              <v:path arrowok="t"/>
              <v:fill type="solid"/>
            </v:shape>
            <v:shape style="position:absolute;left:10130;top:2212;width:92;height:92" coordorigin="10130,2212" coordsize="92,92" path="m10175,2212l10158,2215,10143,2225,10133,2240,10130,2258,10133,2275,10143,2290,10158,2300,10175,2303,10193,2300,10208,2290,10217,2275,10221,2258,10217,2240,10208,2225,10193,2215,10175,2212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720;mso-wrap-distance-left:0;mso-wrap-distance-right:0" from="56.692902pt,29.548626pt" to="450.708902pt,29.548626pt" stroked="true" strokeweight="1.5pt" strokecolor="#fdb714">
            <w10:wrap type="topAndBottom"/>
          </v:line>
        </w:pict>
      </w:r>
      <w:bookmarkStart w:name="_TOC_250013" w:id="2"/>
      <w:r>
        <w:rPr>
          <w:b/>
          <w:color w:val="FDB714"/>
        </w:rPr>
        <w:t>CONTENU</w:t>
      </w:r>
      <w:r>
        <w:rPr>
          <w:b/>
          <w:color w:val="FDB714"/>
          <w:spacing w:val="-28"/>
        </w:rPr>
        <w:t> </w:t>
      </w:r>
      <w:bookmarkEnd w:id="2"/>
      <w:r>
        <w:rPr>
          <w:b/>
          <w:color w:val="FDB714"/>
        </w:rPr>
        <w:t>TECHNIQUE</w:t>
      </w:r>
    </w:p>
    <w:p>
      <w:pPr>
        <w:pStyle w:val="Heading2"/>
        <w:numPr>
          <w:ilvl w:val="1"/>
          <w:numId w:val="3"/>
        </w:numPr>
        <w:tabs>
          <w:tab w:pos="854" w:val="left" w:leader="none"/>
        </w:tabs>
        <w:spacing w:line="240" w:lineRule="auto" w:before="338" w:after="0"/>
        <w:ind w:left="3611" w:right="0" w:hanging="3478"/>
        <w:jc w:val="left"/>
        <w:rPr>
          <w:b/>
        </w:rPr>
      </w:pPr>
      <w:bookmarkStart w:name="_TOC_250012" w:id="3"/>
      <w:bookmarkEnd w:id="3"/>
      <w:r>
        <w:rPr>
          <w:b/>
          <w:color w:val="231F20"/>
        </w:rPr>
        <w:t>Contexte</w:t>
      </w:r>
    </w:p>
    <w:p>
      <w:pPr>
        <w:pStyle w:val="BodyText"/>
        <w:spacing w:line="266" w:lineRule="auto" w:before="117"/>
        <w:ind w:left="133" w:right="3104"/>
        <w:rPr>
          <w:b w:val="0"/>
        </w:rPr>
      </w:pPr>
      <w:r>
        <w:rPr>
          <w:b w:val="0"/>
          <w:color w:val="231F20"/>
        </w:rPr>
        <w:t>Dans les pays africains comme dans de nombreux pays du monde, les cadres juridiques et poIitiques offrent souvent une protection insuffisante ou inadéquate aux droits et</w:t>
      </w:r>
    </w:p>
    <w:p>
      <w:pPr>
        <w:pStyle w:val="BodyText"/>
        <w:spacing w:line="266" w:lineRule="auto"/>
        <w:ind w:left="133" w:right="2914"/>
        <w:rPr>
          <w:b w:val="0"/>
        </w:rPr>
      </w:pPr>
      <w:r>
        <w:rPr>
          <w:b w:val="0"/>
          <w:color w:val="231F20"/>
        </w:rPr>
        <w:t>à l’inclusion des personnes handicapées dans la société et le développement. Dans certains cas, les lois peuvent en fait perpétuer la discrimination ou nuire aux intérêts des personnes handicapées. Ce module propose des orientations pour mettre la législation nationale en conformité avec les exigences de la Convention relative aux droits des personnes handicapées (CDPH), norme internationale en matière de droits des personnes handicapées et de leur inclusion dans le développement.</w:t>
      </w:r>
    </w:p>
    <w:p>
      <w:pPr>
        <w:pStyle w:val="BodyText"/>
        <w:rPr>
          <w:b w:val="0"/>
        </w:rPr>
      </w:pPr>
    </w:p>
    <w:p>
      <w:pPr>
        <w:pStyle w:val="BodyText"/>
        <w:rPr>
          <w:b w:val="0"/>
          <w:sz w:val="17"/>
        </w:rPr>
      </w:pPr>
    </w:p>
    <w:p>
      <w:pPr>
        <w:pStyle w:val="Heading2"/>
        <w:numPr>
          <w:ilvl w:val="1"/>
          <w:numId w:val="3"/>
        </w:numPr>
        <w:tabs>
          <w:tab w:pos="854" w:val="left" w:leader="none"/>
        </w:tabs>
        <w:spacing w:line="240" w:lineRule="auto" w:before="0" w:after="0"/>
        <w:ind w:left="853" w:right="0" w:hanging="720"/>
        <w:jc w:val="left"/>
        <w:rPr>
          <w:b/>
        </w:rPr>
      </w:pPr>
      <w:bookmarkStart w:name="_TOC_250011" w:id="4"/>
      <w:r>
        <w:rPr>
          <w:b/>
          <w:color w:val="231F20"/>
        </w:rPr>
        <w:t>Cadre</w:t>
      </w:r>
      <w:r>
        <w:rPr>
          <w:b/>
          <w:color w:val="231F20"/>
          <w:spacing w:val="-6"/>
        </w:rPr>
        <w:t> </w:t>
      </w:r>
      <w:bookmarkEnd w:id="4"/>
      <w:r>
        <w:rPr>
          <w:b/>
          <w:color w:val="231F20"/>
        </w:rPr>
        <w:t>juridique</w:t>
      </w:r>
    </w:p>
    <w:p>
      <w:pPr>
        <w:pStyle w:val="BodyText"/>
        <w:spacing w:line="266" w:lineRule="auto" w:before="117"/>
        <w:ind w:left="133" w:right="3202"/>
        <w:rPr>
          <w:b w:val="0"/>
        </w:rPr>
      </w:pPr>
      <w:r>
        <w:rPr>
          <w:b w:val="0"/>
          <w:color w:val="231F20"/>
        </w:rPr>
        <w:t>La Convention relative aux droits des personnes handicapées définit les obligations légales des États parties pour la promotion et la protection des droits des personnes handicapées. Pour que la Convention change véritablement la vie des personnes handicapées et de leurs familles, de leurs soignants et de leurs communautés, les États parties doivent l’appliquer. L’une des conditions clés à cet égard, établie par l’article 4, Obligations générales, consiste pour les États parties à harmoniser leurs lois nationales avec la Convention.</w:t>
      </w:r>
    </w:p>
    <w:p>
      <w:pPr>
        <w:pStyle w:val="BodyText"/>
        <w:spacing w:before="114"/>
        <w:ind w:left="133" w:right="374"/>
        <w:rPr>
          <w:b w:val="0"/>
        </w:rPr>
      </w:pPr>
      <w:r>
        <w:rPr>
          <w:b w:val="0"/>
          <w:color w:val="231F20"/>
        </w:rPr>
        <w:t>Les responsabilités des États parties selon l’article 4 incluent :</w:t>
      </w:r>
    </w:p>
    <w:p>
      <w:pPr>
        <w:pStyle w:val="BodyText"/>
        <w:spacing w:line="264" w:lineRule="auto" w:before="48"/>
        <w:ind w:left="813" w:right="2945" w:hanging="341"/>
        <w:rPr>
          <w:b w:val="0"/>
        </w:rPr>
      </w:pPr>
      <w:r>
        <w:rPr>
          <w:rFonts w:ascii="Arial" w:hAnsi="Arial"/>
          <w:color w:val="FDB714"/>
          <w:sz w:val="26"/>
        </w:rPr>
        <w:t>► </w:t>
      </w:r>
      <w:r>
        <w:rPr>
          <w:b w:val="0"/>
          <w:color w:val="231F20"/>
        </w:rPr>
        <w:t>l'adoption de toutes mesures appropriées d’ordre législatif, administratif ou autre pour mettre en œuvre les droits reconnus dans la Convention ;</w:t>
      </w:r>
    </w:p>
    <w:p>
      <w:pPr>
        <w:pStyle w:val="BodyText"/>
        <w:spacing w:line="264" w:lineRule="auto" w:before="21"/>
        <w:ind w:left="813" w:right="3110" w:hanging="341"/>
        <w:rPr>
          <w:b w:val="0"/>
        </w:rPr>
      </w:pPr>
      <w:r>
        <w:rPr>
          <w:rFonts w:ascii="Arial" w:hAnsi="Arial"/>
          <w:color w:val="FDB714"/>
          <w:sz w:val="26"/>
        </w:rPr>
        <w:t>► </w:t>
      </w:r>
      <w:r>
        <w:rPr>
          <w:b w:val="0"/>
          <w:color w:val="231F20"/>
        </w:rPr>
        <w:t>la prise de toutes mesures appropriées, y compris des mesures législatives, pour modifier, abroger ou abolir les lois, règlements, coutumes et pratiques qui sont source de discrimination envers les personnes handicapées ;</w:t>
      </w:r>
    </w:p>
    <w:p>
      <w:pPr>
        <w:pStyle w:val="BodyText"/>
        <w:spacing w:line="264" w:lineRule="auto" w:before="22"/>
        <w:ind w:left="813" w:right="2990" w:hanging="341"/>
        <w:rPr>
          <w:b w:val="0"/>
        </w:rPr>
      </w:pPr>
      <w:r>
        <w:rPr>
          <w:rFonts w:ascii="Arial" w:hAnsi="Arial"/>
          <w:color w:val="FDB714"/>
          <w:sz w:val="26"/>
        </w:rPr>
        <w:t>► </w:t>
      </w:r>
      <w:r>
        <w:rPr>
          <w:b w:val="0"/>
          <w:color w:val="231F20"/>
        </w:rPr>
        <w:t>la prise de toutes mesures appropriées pour éliminer la discrimination fondée sur le handicap pratiquée par toute personne, organisation ou entreprise privée.</w:t>
      </w:r>
    </w:p>
    <w:p>
      <w:pPr>
        <w:pStyle w:val="BodyText"/>
        <w:spacing w:line="266" w:lineRule="auto" w:before="116"/>
        <w:ind w:left="133" w:right="3023"/>
        <w:rPr>
          <w:b w:val="0"/>
        </w:rPr>
      </w:pPr>
      <w:r>
        <w:rPr>
          <w:b w:val="0"/>
          <w:color w:val="231F20"/>
        </w:rPr>
        <w:t>Outre les dispositions générales prévues par l’article 4, la Convention fournit aussi dans certains cas des instructions concernant les mesures législatives que les États parties doivent prendre en matière de droits spécifiques. Par exemple, elle exige des États parties qu’ils prennent les mesures appropriées, y compris des mesures législatives, pour empêcher que les personnes handicapées soient soumises à la torture ou à des peines ou traitements cruels, inhumains ou dégradants (art. 15) et pour protéger les personnes handicapées contre toutes formes d’exploitation, de violence et de maltraitance (art. 16).</w:t>
      </w:r>
    </w:p>
    <w:p>
      <w:pPr>
        <w:pStyle w:val="BodyText"/>
        <w:spacing w:line="266" w:lineRule="auto" w:before="114"/>
        <w:ind w:left="133" w:right="3292"/>
        <w:rPr>
          <w:b w:val="0"/>
        </w:rPr>
      </w:pPr>
      <w:r>
        <w:rPr>
          <w:b w:val="0"/>
          <w:color w:val="231F20"/>
        </w:rPr>
        <w:t>La législation joue un rôle important dans l’application de la CDPH dans tous les pays, mais ce rôle varie selon le contexte juridique de chaque pays, à savoir :</w:t>
      </w:r>
    </w:p>
    <w:p>
      <w:pPr>
        <w:pStyle w:val="BodyText"/>
        <w:spacing w:line="264" w:lineRule="auto" w:before="19"/>
        <w:ind w:left="813" w:right="3616" w:hanging="341"/>
        <w:rPr>
          <w:b w:val="0"/>
        </w:rPr>
      </w:pPr>
      <w:r>
        <w:rPr>
          <w:rFonts w:ascii="Arial" w:hAnsi="Arial"/>
          <w:color w:val="FDB714"/>
          <w:sz w:val="26"/>
        </w:rPr>
        <w:t>► </w:t>
      </w:r>
      <w:r>
        <w:rPr>
          <w:b w:val="0"/>
          <w:color w:val="231F20"/>
        </w:rPr>
        <w:t>dans certains pays, une nouvelle législation est nécessaire pour inscrire les dispositions d’une convention internationale dans les lois nationales ;</w:t>
      </w:r>
    </w:p>
    <w:p>
      <w:pPr>
        <w:pStyle w:val="BodyText"/>
        <w:spacing w:line="264" w:lineRule="auto" w:before="21"/>
        <w:ind w:left="813" w:right="2895" w:hanging="341"/>
        <w:jc w:val="both"/>
        <w:rPr>
          <w:b w:val="0"/>
        </w:rPr>
      </w:pPr>
      <w:r>
        <w:rPr>
          <w:rFonts w:ascii="Arial" w:hAnsi="Arial"/>
          <w:color w:val="FDB714"/>
          <w:sz w:val="26"/>
        </w:rPr>
        <w:t>► </w:t>
      </w:r>
      <w:r>
        <w:rPr>
          <w:b w:val="0"/>
          <w:color w:val="231F20"/>
        </w:rPr>
        <w:t>dans d'autres pays, un traité international approuvé est automatiquement accepté comme faisant partie de la loi et peut, par exemple, être appliqué directement par les tribunaux ;</w:t>
      </w:r>
    </w:p>
    <w:p>
      <w:pPr>
        <w:pStyle w:val="BodyText"/>
        <w:rPr>
          <w:b w:val="0"/>
          <w:sz w:val="20"/>
        </w:rPr>
      </w:pPr>
    </w:p>
    <w:p>
      <w:pPr>
        <w:pStyle w:val="BodyText"/>
        <w:rPr>
          <w:b w:val="0"/>
          <w:sz w:val="20"/>
        </w:rPr>
      </w:pPr>
    </w:p>
    <w:p>
      <w:pPr>
        <w:pStyle w:val="BodyText"/>
        <w:rPr>
          <w:b w:val="0"/>
          <w:sz w:val="20"/>
        </w:rPr>
      </w:pPr>
    </w:p>
    <w:p>
      <w:pPr>
        <w:pStyle w:val="BodyText"/>
        <w:spacing w:before="1"/>
        <w:rPr>
          <w:b w:val="0"/>
          <w:sz w:val="19"/>
        </w:rPr>
      </w:pPr>
    </w:p>
    <w:p>
      <w:pPr>
        <w:spacing w:before="101"/>
        <w:ind w:left="4032"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7552"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956;top:6083;width:1135;height:1343" coordorigin="956,6083" coordsize="1135,1343" path="m1347,7425l1347,7228,1293,7228,1243,7225,1149,7187,1094,7126,1069,7063,1065,7032,1065,6910,1001,6910,987,6910,977,6907,970,6900,956,6887,956,6879,956,6863,971,6820,1004,6735,1038,6651,1055,6609,1062,6589,1066,6574,1068,6558,1070,6535,1075,6494,1095,6416,1126,6349,1161,6296,1202,6248,1264,6193,1331,6149,1402,6115,1477,6093,1556,6083,1601,6083,1677,6092,1747,6111,1834,6150,1897,6194,1956,6248,1959,6253,1963,6256,1965,6259,1967,6261,1970,6264,2009,6318,2043,6377,2069,6445,2084,6508,2090,6577,2090,6618,2088,6655,2072,6736,2035,6829,1973,6922,1931,6967,1921,6977,1909,6989,1899,7000,1894,7007,1894,7415e" filled="false" stroked="true" strokeweight="3.544pt" strokecolor="#fdb714">
              <v:path arrowok="t"/>
            </v:shape>
            <v:shape style="position:absolute;left:1181;top:6186;width:740;height:540" coordorigin="1181,6186" coordsize="740,540" path="m1418,6676l1268,6676,1268,6678,1280,6684,1284,6684,1287,6686,1289,6692,1291,6706,1293,6718,1296,6726,1334,6726,1336,6716,1337,6706,1338,6696,1341,6686,1345,6684,1351,6682,1360,6678,1416,6678,1418,6676xm1234,6486l1208,6514,1209,6520,1218,6530,1222,6536,1226,6542,1231,6546,1227,6554,1226,6558,1222,6568,1216,6568,1213,6570,1201,6572,1181,6576,1183,6614,1203,6618,1216,6620,1219,6620,1223,6622,1223,6626,1228,6638,1228,6644,1224,6652,1213,6666,1208,6672,1210,6678,1218,6686,1235,6702,1242,6696,1253,6688,1268,6676,1418,6676,1421,6672,1416,6666,1409,6656,1398,6642,1398,6640,1400,6636,1304,6636,1279,6622,1266,6596,1274,6570,1295,6552,1400,6552,1397,6548,1402,6542,1411,6528,1415,6522,1639,6522,1644,6520,1728,6520,1732,6516,1896,6516,1897,6514,1896,6512,1270,6512,1251,6498,1242,6494,1234,6486xm1416,6678l1360,6678,1368,6684,1377,6688,1387,6694,1395,6702,1416,6678xm1834,6652l1796,6652,1797,6658,1802,6684,1829,6682,1831,6674,1831,6666,1834,6652xm1896,6516l1732,6516,1745,6534,1747,6542,1743,6548,1740,6560,1730,6562,1719,6562,1709,6566,1710,6592,1738,6596,1743,6604,1742,6610,1749,6618,1745,6622,1742,6628,1739,6632,1733,6642,1734,6646,1739,6652,1751,6662,1759,6654,1767,6652,1775,6644,1898,6644,1899,6642,1897,6640,1883,6622,1808,6622,1785,6610,1776,6596,1773,6580,1776,6564,1785,6550,1810,6536,1883,6536,1884,6534,1893,6520,1896,6516xm1898,6644l1855,6644,1859,6648,1865,6652,1869,6654,1878,6660,1883,6660,1889,6654,1898,6644xm1855,6644l1775,6644,1779,6648,1783,6650,1794,6654,1796,6652,1834,6652,1835,6650,1848,6650,1855,6644xm1848,6650l1835,6650,1846,6652,1848,6650xm1400,6552l1326,6552,1338,6558,1346,6568,1352,6580,1354,6592,1347,6616,1329,6632,1304,6636,1400,6636,1404,6626,1404,6622,1423,6618,1435,6616,1446,6612,1445,6574,1441,6572,1437,6572,1414,6570,1406,6566,1404,6560,1400,6552xm1883,6536l1810,6536,1835,6540,1854,6558,1860,6580,1851,6606,1832,6620,1808,6622,1883,6622,1883,6620,1882,6616,1889,6602,1891,6596,1895,6596,1901,6594,1903,6594,1911,6592,1915,6592,1921,6590,1919,6564,1910,6562,1900,6562,1891,6560,1889,6554,1889,6552,1883,6540,1880,6540,1883,6536xm1639,6522l1503,6522,1517,6528,1530,6532,1541,6580,1542,6586,1542,6590,1544,6594,1603,6594,1605,6584,1607,6574,1609,6552,1611,6544,1613,6532,1627,6528,1634,6524,1639,6522xm1497,6522l1415,6522,1451,6556,1457,6550,1465,6546,1472,6540,1497,6522xm1728,6520l1644,6520,1656,6526,1670,6536,1685,6546,1696,6554,1728,6520xm1289,6500l1271,6508,1270,6512,1364,6512,1354,6508,1344,6502,1288,6502,1289,6500xm1392,6486l1388,6490,1383,6494,1368,6504,1364,6512,1778,6512,1773,6510,1771,6510,1768,6508,1736,6508,1734,6506,1413,6506,1392,6486xm1841,6504l1789,6504,1779,6508,1778,6512,1852,6512,1848,6508,1843,6506,1841,6504xm1879,6494l1858,6510,1852,6512,1896,6512,1893,6508,1879,6494xm1750,6494l1736,6508,1768,6508,1753,6496,1750,6494xm1449,6226l1407,6270,1414,6278,1421,6288,1427,6296,1434,6306,1439,6312,1445,6316,1441,6324,1435,6336,1432,6344,1428,6350,1420,6352,1394,6356,1380,6360,1368,6362,1369,6422,1379,6424,1389,6424,1399,6426,1426,6430,1430,6432,1433,6440,1440,6456,1442,6464,1438,6472,1426,6488,1421,6494,1418,6500,1413,6506,1734,6506,1730,6502,1724,6492,1712,6478,1706,6470,1701,6462,1715,6432,1569,6432,1553,6430,1539,6422,1536,6418,1530,6410,1529,6408,1525,6394,1526,6380,1531,6368,1540,6358,1570,6346,1713,6346,1712,6344,1706,6324,1701,6318,1709,6308,1720,6292,1730,6276,1737,6266,1732,6262,1500,6262,1493,6254,1482,6250,1469,6240,1466,6238,1456,6232,1453,6230,1449,6226xm1828,6472l1801,6474,1799,6484,1799,6492,1796,6502,1792,6504,1834,6504,1832,6494,1828,6472xm1340,6500l1290,6500,1288,6502,1344,6502,1340,6500xm1332,6462l1294,6462,1292,6466,1292,6470,1289,6500,1290,6500,1340,6500,1339,6494,1336,6482,1335,6474,1334,6468,1332,6462xm1713,6346l1570,6346,1598,6358,1612,6386,1598,6420,1585,6430,1569,6432,1715,6432,1725,6428,1735,6428,1754,6422,1768,6422,1776,6418,1774,6360,1714,6350,1713,6346xm1600,6186l1541,6188,1534,6234,1533,6238,1533,6244,1532,6248,1528,6250,1527,6250,1520,6252,1520,6252,1510,6256,1506,6258,1500,6262,1647,6262,1640,6260,1625,6254,1617,6250,1613,6246,1611,6240,1600,6186xm1694,6224l1685,6232,1676,6238,1658,6252,1651,6256,1647,6262,1732,6262,1694,6224xe" filled="true" fillcolor="#fdb714" stroked="false">
              <v:path arrowok="t"/>
              <v:fill type="solid"/>
            </v:shape>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4</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6" w:lineRule="auto" w:before="67"/>
        <w:ind w:left="3571" w:right="465" w:hanging="341"/>
        <w:rPr>
          <w:b w:val="0"/>
        </w:rPr>
      </w:pPr>
      <w:r>
        <w:rPr>
          <w:rFonts w:ascii="Arial" w:hAnsi="Arial"/>
          <w:color w:val="FDB714"/>
          <w:sz w:val="26"/>
        </w:rPr>
        <w:t>► </w:t>
      </w:r>
      <w:r>
        <w:rPr>
          <w:b w:val="0"/>
          <w:color w:val="231F20"/>
        </w:rPr>
        <w:t>dans certains cas, un mélange de ces deux approches peut être nécessaire (certaines parties d’une convention peuvent automatiquement être intégrées à la loi, tandis que d'autres nécessitent une nouvelle législation pour entrer en vigueur).</w:t>
      </w:r>
    </w:p>
    <w:p>
      <w:pPr>
        <w:pStyle w:val="BodyText"/>
        <w:rPr>
          <w:b w:val="0"/>
        </w:rPr>
      </w:pPr>
    </w:p>
    <w:p>
      <w:pPr>
        <w:pStyle w:val="BodyText"/>
        <w:rPr>
          <w:b w:val="0"/>
          <w:sz w:val="17"/>
        </w:rPr>
      </w:pPr>
    </w:p>
    <w:p>
      <w:pPr>
        <w:pStyle w:val="Heading2"/>
        <w:numPr>
          <w:ilvl w:val="1"/>
          <w:numId w:val="3"/>
        </w:numPr>
        <w:tabs>
          <w:tab w:pos="3612" w:val="left" w:leader="none"/>
        </w:tabs>
        <w:spacing w:line="240" w:lineRule="auto" w:before="0" w:after="0"/>
        <w:ind w:left="3611" w:right="0" w:hanging="720"/>
        <w:jc w:val="left"/>
        <w:rPr>
          <w:b/>
        </w:rPr>
      </w:pPr>
      <w:bookmarkStart w:name="_TOC_250010" w:id="5"/>
      <w:r>
        <w:rPr>
          <w:b/>
          <w:color w:val="231F20"/>
        </w:rPr>
        <w:t>Évaluation de la conformité à la</w:t>
      </w:r>
      <w:r>
        <w:rPr>
          <w:b/>
          <w:color w:val="231F20"/>
          <w:spacing w:val="-17"/>
        </w:rPr>
        <w:t> </w:t>
      </w:r>
      <w:bookmarkEnd w:id="5"/>
      <w:r>
        <w:rPr>
          <w:b/>
          <w:color w:val="231F20"/>
        </w:rPr>
        <w:t>CDPH</w:t>
      </w:r>
    </w:p>
    <w:p>
      <w:pPr>
        <w:pStyle w:val="BodyText"/>
        <w:spacing w:line="266" w:lineRule="auto" w:before="117"/>
        <w:ind w:left="2891" w:right="149"/>
        <w:rPr>
          <w:b w:val="0"/>
        </w:rPr>
      </w:pPr>
      <w:r>
        <w:rPr>
          <w:b w:val="0"/>
          <w:color w:val="231F20"/>
        </w:rPr>
        <w:t>L’une des étapes les plus importantes qu’un État peut franchir en faveur de l’application de la CDPH consiste à entreprendre un « cadrage » complet (ou une étude) afin d’examiner et d'évaluer les lois existantes et de repérer tous les domaines dans</w:t>
      </w:r>
    </w:p>
    <w:p>
      <w:pPr>
        <w:pStyle w:val="BodyText"/>
        <w:spacing w:line="266" w:lineRule="auto"/>
        <w:ind w:left="2891" w:right="707"/>
        <w:rPr>
          <w:b w:val="0"/>
        </w:rPr>
      </w:pPr>
      <w:r>
        <w:rPr>
          <w:b w:val="0"/>
          <w:color w:val="231F20"/>
        </w:rPr>
        <w:t>lesquels elles ne sont pas en conformité avec la CDPH, par exemple lorsqu’il s'agit de lois discriminatoires ou lorsqu’il existe des lacunes et que de nouvelles mesures</w:t>
      </w:r>
    </w:p>
    <w:p>
      <w:pPr>
        <w:pStyle w:val="BodyText"/>
        <w:spacing w:line="266" w:lineRule="auto"/>
        <w:ind w:left="2891" w:right="149"/>
        <w:rPr>
          <w:b w:val="0"/>
        </w:rPr>
      </w:pPr>
      <w:r>
        <w:rPr>
          <w:b w:val="0"/>
          <w:color w:val="231F20"/>
        </w:rPr>
        <w:t>législatives sont nécessaires. Même dans les cas où les conventions internationales sont automatiquement intégrées dans la loi nationale, une analyse sera nécessaire afin de garantir la conformité de toute la législation, y compris la constitution elle-même, ainsi que de secteurs spécifiques tels que la santé, l’emploi et l'éducation, entre autres.</w:t>
      </w:r>
    </w:p>
    <w:p>
      <w:pPr>
        <w:pStyle w:val="BodyText"/>
        <w:spacing w:before="5"/>
        <w:rPr>
          <w:b w:val="0"/>
          <w:sz w:val="28"/>
        </w:rPr>
      </w:pPr>
      <w:r>
        <w:rPr/>
        <w:pict>
          <v:line style="position:absolute;mso-position-horizontal-relative:page;mso-position-vertical-relative:paragraph;z-index:1792;mso-wrap-distance-left:0;mso-wrap-distance-right:0" from="144.566895pt,19.820332pt" to="538.582895pt,19.820332pt" stroked="true" strokeweight="2pt" strokecolor="#fdb714">
            <w10:wrap type="topAndBottom"/>
          </v:line>
        </w:pict>
      </w:r>
    </w:p>
    <w:p>
      <w:pPr>
        <w:spacing w:before="0" w:after="53"/>
        <w:ind w:left="3250" w:right="374" w:firstLine="0"/>
        <w:jc w:val="left"/>
        <w:rPr>
          <w:rFonts w:ascii="Myriad Pro" w:hAnsi="Myriad Pro"/>
          <w:b/>
          <w:i/>
          <w:sz w:val="24"/>
        </w:rPr>
      </w:pPr>
      <w:r>
        <w:rPr>
          <w:rFonts w:ascii="Myriad Pro" w:hAnsi="Myriad Pro"/>
          <w:b/>
          <w:color w:val="FDB714"/>
          <w:sz w:val="24"/>
        </w:rPr>
        <w:t>Voir l’activité d’apprentissage 2.C. intitulée </w:t>
      </w:r>
      <w:r>
        <w:rPr>
          <w:rFonts w:ascii="Myriad Pro" w:hAnsi="Myriad Pro"/>
          <w:b/>
          <w:i/>
          <w:color w:val="FDB714"/>
          <w:sz w:val="24"/>
        </w:rPr>
        <w:t>Lacunes de la législation</w:t>
      </w:r>
    </w:p>
    <w:p>
      <w:pPr>
        <w:pStyle w:val="BodyText"/>
        <w:spacing w:line="20" w:lineRule="exact"/>
        <w:ind w:left="2881"/>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fdb714"/>
          </v:group>
        </w:pict>
      </w:r>
      <w:r>
        <w:rPr>
          <w:rFonts w:ascii="Myriad Pro"/>
          <w:sz w:val="2"/>
        </w:rPr>
      </w:r>
    </w:p>
    <w:p>
      <w:pPr>
        <w:pStyle w:val="BodyText"/>
        <w:spacing w:line="266" w:lineRule="auto" w:before="177"/>
        <w:ind w:left="2891" w:right="286"/>
        <w:rPr>
          <w:b w:val="0"/>
          <w:sz w:val="13"/>
        </w:rPr>
      </w:pPr>
      <w:r>
        <w:rPr>
          <w:b w:val="0"/>
          <w:color w:val="231F20"/>
        </w:rPr>
        <w:t>Les États peuvent adopter différentes approches pour la conduite d’une telle analyse. Dans certains cas, une entité existante, comme une commission sur l'égalité ou une commission nationale des droits de l’homme ou des personnes handicapées, pourra être chargée de superviser l’analyse. Dans d'autres cas, le gouvernement peut former un organe spécial indépendant pour mener à bien cette tâche, ou le Parlement peut établir une commission ou confier cette mission à une entité déjà existante. Quelle que soit l’approche retenue, les personnes handicapées et leurs organisations représentatives doivent participer au processus, en tant que membres de l’organe de supervision et en tant que contributeurs d’informations pour ce travail.</w:t>
      </w:r>
      <w:r>
        <w:rPr>
          <w:b w:val="0"/>
          <w:color w:val="231F20"/>
          <w:position w:val="7"/>
          <w:sz w:val="13"/>
        </w:rPr>
        <w:t>1</w:t>
      </w:r>
    </w:p>
    <w:p>
      <w:pPr>
        <w:pStyle w:val="BodyText"/>
        <w:spacing w:before="114"/>
        <w:ind w:left="2891" w:right="374"/>
        <w:rPr>
          <w:b w:val="0"/>
        </w:rPr>
      </w:pPr>
      <w:r>
        <w:rPr>
          <w:b w:val="0"/>
          <w:color w:val="231F20"/>
        </w:rPr>
        <w:t>Les droits des personnes handicapées sont affectés par une grande variété de lois.</w:t>
      </w:r>
    </w:p>
    <w:p>
      <w:pPr>
        <w:pStyle w:val="BodyText"/>
        <w:spacing w:line="266" w:lineRule="auto" w:before="29"/>
        <w:ind w:left="2891" w:right="325"/>
        <w:rPr>
          <w:b w:val="0"/>
        </w:rPr>
      </w:pPr>
      <w:r>
        <w:rPr>
          <w:b w:val="0"/>
          <w:color w:val="231F20"/>
        </w:rPr>
        <w:t>Pour évaluer complètement la conformité avec les obligations de la CDPH, il faut donc procéder à un exercice de cadrage complet concernant différents types de législation, y compris les lois :</w:t>
      </w:r>
    </w:p>
    <w:p>
      <w:pPr>
        <w:pStyle w:val="BodyText"/>
        <w:spacing w:line="264" w:lineRule="auto" w:before="19"/>
        <w:ind w:left="3571" w:right="707" w:hanging="341"/>
        <w:rPr>
          <w:b w:val="0"/>
        </w:rPr>
      </w:pPr>
      <w:r>
        <w:rPr>
          <w:rFonts w:ascii="Arial" w:hAnsi="Arial"/>
          <w:color w:val="FDB714"/>
          <w:sz w:val="26"/>
        </w:rPr>
        <w:t>► </w:t>
      </w:r>
      <w:r>
        <w:rPr>
          <w:b w:val="0"/>
          <w:color w:val="231F20"/>
        </w:rPr>
        <w:t>spécifiquement relatives aux personnes handicapées – par exemple, une loi nationale générale sur le handicap lui-même ou une loi sur l’éducation qui s'applique spécifiquement aux personnes handicapées ;</w:t>
      </w:r>
    </w:p>
    <w:p>
      <w:pPr>
        <w:pStyle w:val="BodyText"/>
        <w:spacing w:line="266" w:lineRule="auto" w:before="22"/>
        <w:ind w:left="3571" w:right="255" w:hanging="341"/>
        <w:rPr>
          <w:b w:val="0"/>
          <w:i/>
        </w:rPr>
      </w:pPr>
      <w:r>
        <w:rPr>
          <w:rFonts w:ascii="Arial" w:hAnsi="Arial"/>
          <w:color w:val="FDB714"/>
          <w:sz w:val="26"/>
        </w:rPr>
        <w:t>► </w:t>
      </w:r>
      <w:r>
        <w:rPr>
          <w:b w:val="0"/>
          <w:color w:val="231F20"/>
        </w:rPr>
        <w:t>relatives à des personnes diverses, mais qui incluent des références spécifiques aux personnes handicapées – par exemple, les lois contre la discrimination, sur la sécurité sociale ou celles qui régissent la tutelle légale, le code pénal ou le code électoral ; </w:t>
      </w:r>
      <w:r>
        <w:rPr>
          <w:b w:val="0"/>
          <w:i/>
          <w:color w:val="231F20"/>
        </w:rPr>
        <w:t>et</w:t>
      </w:r>
    </w:p>
    <w:p>
      <w:pPr>
        <w:pStyle w:val="BodyText"/>
        <w:spacing w:line="264" w:lineRule="auto" w:before="19"/>
        <w:ind w:left="3571" w:right="305" w:hanging="341"/>
        <w:jc w:val="both"/>
        <w:rPr>
          <w:b w:val="0"/>
          <w:sz w:val="13"/>
        </w:rPr>
      </w:pPr>
      <w:r>
        <w:rPr>
          <w:rFonts w:ascii="Arial" w:hAnsi="Arial"/>
          <w:color w:val="FDB714"/>
          <w:sz w:val="26"/>
        </w:rPr>
        <w:t>► </w:t>
      </w:r>
      <w:r>
        <w:rPr>
          <w:b w:val="0"/>
          <w:color w:val="231F20"/>
        </w:rPr>
        <w:t>qui ne mentionnent pas spécifiquement les personnes handicapées mais qui les concernent – par exemple, les lois régissant la construction, le droit de la famille, de la propriété ou encore, des contrats.</w:t>
      </w:r>
      <w:r>
        <w:rPr>
          <w:b w:val="0"/>
          <w:color w:val="231F20"/>
          <w:position w:val="7"/>
          <w:sz w:val="13"/>
        </w:rPr>
        <w:t>2</w:t>
      </w:r>
    </w:p>
    <w:p>
      <w:pPr>
        <w:pStyle w:val="BodyText"/>
        <w:spacing w:before="10"/>
        <w:rPr>
          <w:b w:val="0"/>
          <w:sz w:val="13"/>
        </w:rPr>
      </w:pPr>
      <w:r>
        <w:rPr/>
        <w:pict>
          <v:line style="position:absolute;mso-position-horizontal-relative:page;mso-position-vertical-relative:paragraph;z-index:1840;mso-wrap-distance-left:0;mso-wrap-distance-right:0" from="144.566895pt,10.412893pt" to="243.779895pt,10.412893pt" stroked="true" strokeweight=".5pt" strokecolor="#231f20">
            <w10:wrap type="topAndBottom"/>
          </v:line>
        </w:pict>
      </w:r>
    </w:p>
    <w:p>
      <w:pPr>
        <w:tabs>
          <w:tab w:pos="3151" w:val="left" w:leader="none"/>
        </w:tabs>
        <w:spacing w:line="180" w:lineRule="exact" w:before="87"/>
        <w:ind w:left="3151" w:right="661" w:hanging="260"/>
        <w:jc w:val="left"/>
        <w:rPr>
          <w:b w:val="0"/>
          <w:sz w:val="17"/>
        </w:rPr>
      </w:pPr>
      <w:r>
        <w:rPr>
          <w:b w:val="0"/>
          <w:color w:val="231F20"/>
          <w:position w:val="6"/>
          <w:sz w:val="10"/>
        </w:rPr>
        <w:t>1</w:t>
        <w:tab/>
      </w:r>
      <w:r>
        <w:rPr>
          <w:b w:val="0"/>
          <w:color w:val="231F20"/>
          <w:sz w:val="17"/>
        </w:rPr>
        <w:t>DAES, HCDH et Union interparlementaire, From Exclusion to Equality: Realizing the Rights of</w:t>
      </w:r>
      <w:r>
        <w:rPr>
          <w:b w:val="0"/>
          <w:color w:val="231F20"/>
          <w:spacing w:val="-15"/>
          <w:sz w:val="17"/>
        </w:rPr>
        <w:t> </w:t>
      </w:r>
      <w:r>
        <w:rPr>
          <w:b w:val="0"/>
          <w:color w:val="231F20"/>
          <w:sz w:val="17"/>
        </w:rPr>
        <w:t>Persons</w:t>
      </w:r>
      <w:r>
        <w:rPr>
          <w:b w:val="0"/>
          <w:color w:val="231F20"/>
          <w:spacing w:val="-2"/>
          <w:sz w:val="17"/>
        </w:rPr>
        <w:t> </w:t>
      </w:r>
      <w:r>
        <w:rPr>
          <w:b w:val="0"/>
          <w:color w:val="231F20"/>
          <w:sz w:val="17"/>
        </w:rPr>
        <w:t>with Disabilities: Handbook for Parliamentarians</w:t>
      </w:r>
      <w:r>
        <w:rPr>
          <w:b w:val="0"/>
          <w:color w:val="231F20"/>
          <w:spacing w:val="-7"/>
          <w:sz w:val="17"/>
        </w:rPr>
        <w:t> </w:t>
      </w:r>
      <w:r>
        <w:rPr>
          <w:b w:val="0"/>
          <w:color w:val="231F20"/>
          <w:sz w:val="17"/>
        </w:rPr>
        <w:t>(2007).</w:t>
      </w:r>
    </w:p>
    <w:p>
      <w:pPr>
        <w:tabs>
          <w:tab w:pos="3151" w:val="left" w:leader="none"/>
        </w:tabs>
        <w:spacing w:line="180" w:lineRule="exact" w:before="56"/>
        <w:ind w:left="3151" w:right="187" w:hanging="260"/>
        <w:jc w:val="left"/>
        <w:rPr>
          <w:b w:val="0"/>
          <w:sz w:val="17"/>
        </w:rPr>
      </w:pPr>
      <w:r>
        <w:rPr>
          <w:b w:val="0"/>
          <w:color w:val="231F20"/>
          <w:position w:val="6"/>
          <w:sz w:val="10"/>
        </w:rPr>
        <w:t>2</w:t>
        <w:tab/>
      </w:r>
      <w:r>
        <w:rPr>
          <w:b w:val="0"/>
          <w:color w:val="231F20"/>
          <w:sz w:val="17"/>
        </w:rPr>
        <w:t>Le droit de la famille, par exemple, est important puisque, dans de nombreux cas, les</w:t>
      </w:r>
      <w:r>
        <w:rPr>
          <w:b w:val="0"/>
          <w:color w:val="231F20"/>
          <w:spacing w:val="-13"/>
          <w:sz w:val="17"/>
        </w:rPr>
        <w:t> </w:t>
      </w:r>
      <w:r>
        <w:rPr>
          <w:b w:val="0"/>
          <w:color w:val="231F20"/>
          <w:sz w:val="17"/>
        </w:rPr>
        <w:t>personnes</w:t>
      </w:r>
      <w:r>
        <w:rPr>
          <w:b w:val="0"/>
          <w:color w:val="231F20"/>
          <w:spacing w:val="-1"/>
          <w:sz w:val="17"/>
        </w:rPr>
        <w:t> </w:t>
      </w:r>
      <w:r>
        <w:rPr>
          <w:b w:val="0"/>
          <w:color w:val="231F20"/>
          <w:sz w:val="17"/>
        </w:rPr>
        <w:t>handicapées sont soumises à des lois discriminatoires en matière de mariage et de parentalité. De la même façon, le droit</w:t>
      </w:r>
      <w:r>
        <w:rPr>
          <w:b w:val="0"/>
          <w:color w:val="231F20"/>
          <w:spacing w:val="-9"/>
          <w:sz w:val="17"/>
        </w:rPr>
        <w:t> </w:t>
      </w:r>
      <w:r>
        <w:rPr>
          <w:b w:val="0"/>
          <w:color w:val="231F20"/>
          <w:sz w:val="17"/>
        </w:rPr>
        <w:t>des contrats concerne de près les personnes handicapées qui peuvent se voir refuser le droit de posséder un compte bancaire du fait d’exclusions discriminatoires dans le droit bancaire ou des contrats, ou en encore dans le cadre des pratiques financières (par exemple, refus de compte bancaire à une personne</w:t>
      </w:r>
      <w:r>
        <w:rPr>
          <w:b w:val="0"/>
          <w:color w:val="231F20"/>
          <w:spacing w:val="-16"/>
          <w:sz w:val="17"/>
        </w:rPr>
        <w:t> </w:t>
      </w:r>
      <w:r>
        <w:rPr>
          <w:b w:val="0"/>
          <w:color w:val="231F20"/>
          <w:sz w:val="17"/>
        </w:rPr>
        <w:t>aveugle).</w:t>
      </w:r>
    </w:p>
    <w:p>
      <w:pPr>
        <w:pStyle w:val="BodyText"/>
        <w:spacing w:before="9"/>
        <w:rPr>
          <w:b w:val="0"/>
          <w:sz w:val="29"/>
        </w:rPr>
      </w:pPr>
    </w:p>
    <w:p>
      <w:pPr>
        <w:spacing w:before="117"/>
        <w:ind w:left="2891"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936"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7" w:after="1"/>
        <w:rPr>
          <w:rFonts w:ascii="Myriad Pro"/>
          <w:sz w:val="18"/>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6"/>
        <w:gridCol w:w="3373"/>
        <w:gridCol w:w="565"/>
        <w:gridCol w:w="3217"/>
      </w:tblGrid>
      <w:tr>
        <w:trPr>
          <w:trHeight w:val="653" w:hRule="exact"/>
        </w:trPr>
        <w:tc>
          <w:tcPr>
            <w:tcW w:w="7880" w:type="dxa"/>
            <w:gridSpan w:val="4"/>
            <w:shd w:val="clear" w:color="auto" w:fill="FDB714"/>
          </w:tcPr>
          <w:p>
            <w:pPr>
              <w:pStyle w:val="TableParagraph"/>
              <w:spacing w:line="254" w:lineRule="auto" w:before="32"/>
              <w:ind w:left="2263" w:hanging="1900"/>
              <w:rPr>
                <w:b/>
                <w:sz w:val="22"/>
              </w:rPr>
            </w:pPr>
            <w:r>
              <w:rPr>
                <w:b/>
                <w:color w:val="FFFFFF"/>
                <w:sz w:val="22"/>
              </w:rPr>
              <w:t>Domaines législatifs à étudier dans le cadre d’exercices de cadrage en lien avec les droits relatifs au handicap</w:t>
            </w:r>
          </w:p>
        </w:tc>
      </w:tr>
      <w:tr>
        <w:trPr>
          <w:trHeight w:val="408" w:hRule="exact"/>
        </w:trPr>
        <w:tc>
          <w:tcPr>
            <w:tcW w:w="726" w:type="dxa"/>
            <w:shd w:val="clear" w:color="auto" w:fill="FFF5E4"/>
          </w:tcPr>
          <w:p>
            <w:pPr>
              <w:pStyle w:val="TableParagraph"/>
              <w:spacing w:before="132"/>
              <w:ind w:left="0" w:right="65"/>
              <w:jc w:val="right"/>
              <w:rPr>
                <w:rFonts w:ascii="Arial"/>
                <w:sz w:val="20"/>
              </w:rPr>
            </w:pPr>
            <w:r>
              <w:rPr>
                <w:rFonts w:ascii="Arial"/>
                <w:color w:val="231F20"/>
                <w:w w:val="149"/>
                <w:sz w:val="20"/>
              </w:rPr>
              <w:t>z</w:t>
            </w:r>
          </w:p>
        </w:tc>
        <w:tc>
          <w:tcPr>
            <w:tcW w:w="3373" w:type="dxa"/>
            <w:shd w:val="clear" w:color="auto" w:fill="FFF5E4"/>
          </w:tcPr>
          <w:p>
            <w:pPr>
              <w:pStyle w:val="TableParagraph"/>
              <w:spacing w:before="129"/>
              <w:ind w:left="67" w:right="93"/>
              <w:rPr>
                <w:sz w:val="20"/>
              </w:rPr>
            </w:pPr>
            <w:r>
              <w:rPr>
                <w:color w:val="231F20"/>
                <w:sz w:val="20"/>
              </w:rPr>
              <w:t>Constitution</w:t>
            </w:r>
          </w:p>
        </w:tc>
        <w:tc>
          <w:tcPr>
            <w:tcW w:w="565" w:type="dxa"/>
            <w:shd w:val="clear" w:color="auto" w:fill="FFF5E4"/>
          </w:tcPr>
          <w:p>
            <w:pPr>
              <w:pStyle w:val="TableParagraph"/>
              <w:spacing w:before="131"/>
              <w:ind w:left="0" w:right="63"/>
              <w:jc w:val="right"/>
              <w:rPr>
                <w:rFonts w:ascii="Arial"/>
                <w:sz w:val="20"/>
              </w:rPr>
            </w:pPr>
            <w:r>
              <w:rPr>
                <w:rFonts w:ascii="Arial"/>
                <w:color w:val="231F20"/>
                <w:w w:val="149"/>
                <w:sz w:val="20"/>
              </w:rPr>
              <w:t>z</w:t>
            </w:r>
          </w:p>
        </w:tc>
        <w:tc>
          <w:tcPr>
            <w:tcW w:w="3217" w:type="dxa"/>
            <w:shd w:val="clear" w:color="auto" w:fill="FFF5E4"/>
          </w:tcPr>
          <w:p>
            <w:pPr>
              <w:pStyle w:val="TableParagraph"/>
              <w:spacing w:before="129"/>
              <w:ind w:left="68"/>
              <w:rPr>
                <w:sz w:val="20"/>
              </w:rPr>
            </w:pPr>
            <w:r>
              <w:rPr>
                <w:color w:val="231F20"/>
                <w:sz w:val="20"/>
              </w:rPr>
              <w:t>Lois sur la tutelle légale</w:t>
            </w:r>
          </w:p>
        </w:tc>
      </w:tr>
      <w:tr>
        <w:trPr>
          <w:trHeight w:val="270" w:hRule="exact"/>
        </w:trPr>
        <w:tc>
          <w:tcPr>
            <w:tcW w:w="726" w:type="dxa"/>
            <w:shd w:val="clear" w:color="auto" w:fill="FFF5E4"/>
          </w:tcPr>
          <w:p>
            <w:pPr>
              <w:pStyle w:val="TableParagraph"/>
              <w:spacing w:before="21"/>
              <w:ind w:left="0" w:right="64"/>
              <w:jc w:val="right"/>
              <w:rPr>
                <w:rFonts w:ascii="Arial"/>
                <w:sz w:val="20"/>
              </w:rPr>
            </w:pPr>
            <w:r>
              <w:rPr>
                <w:rFonts w:ascii="Arial"/>
                <w:color w:val="231F20"/>
                <w:w w:val="149"/>
                <w:sz w:val="20"/>
              </w:rPr>
              <w:t>z</w:t>
            </w:r>
          </w:p>
        </w:tc>
        <w:tc>
          <w:tcPr>
            <w:tcW w:w="3373" w:type="dxa"/>
            <w:shd w:val="clear" w:color="auto" w:fill="FFF5E4"/>
          </w:tcPr>
          <w:p>
            <w:pPr>
              <w:pStyle w:val="TableParagraph"/>
              <w:ind w:left="67" w:right="93"/>
              <w:rPr>
                <w:sz w:val="20"/>
              </w:rPr>
            </w:pPr>
            <w:r>
              <w:rPr>
                <w:color w:val="231F20"/>
                <w:sz w:val="20"/>
              </w:rPr>
              <w:t>Législation de lutte contre les</w:t>
            </w:r>
          </w:p>
        </w:tc>
        <w:tc>
          <w:tcPr>
            <w:tcW w:w="565" w:type="dxa"/>
            <w:shd w:val="clear" w:color="auto" w:fill="FFF5E4"/>
          </w:tcPr>
          <w:p>
            <w:pPr>
              <w:pStyle w:val="TableParagraph"/>
              <w:spacing w:before="20"/>
              <w:ind w:left="0" w:right="65"/>
              <w:jc w:val="right"/>
              <w:rPr>
                <w:rFonts w:ascii="Arial"/>
                <w:sz w:val="20"/>
              </w:rPr>
            </w:pPr>
            <w:r>
              <w:rPr>
                <w:rFonts w:ascii="Arial"/>
                <w:color w:val="231F20"/>
                <w:w w:val="149"/>
                <w:sz w:val="20"/>
              </w:rPr>
              <w:t>z</w:t>
            </w:r>
          </w:p>
        </w:tc>
        <w:tc>
          <w:tcPr>
            <w:tcW w:w="3217" w:type="dxa"/>
            <w:shd w:val="clear" w:color="auto" w:fill="FFF5E4"/>
          </w:tcPr>
          <w:p>
            <w:pPr>
              <w:pStyle w:val="TableParagraph"/>
              <w:spacing w:before="17"/>
              <w:ind w:left="67"/>
              <w:rPr>
                <w:sz w:val="20"/>
              </w:rPr>
            </w:pPr>
            <w:r>
              <w:rPr>
                <w:color w:val="231F20"/>
                <w:sz w:val="20"/>
              </w:rPr>
              <w:t>Droit pénal</w:t>
            </w:r>
          </w:p>
        </w:tc>
      </w:tr>
      <w:tr>
        <w:trPr>
          <w:trHeight w:val="1368" w:hRule="exact"/>
        </w:trPr>
        <w:tc>
          <w:tcPr>
            <w:tcW w:w="726" w:type="dxa"/>
            <w:shd w:val="clear" w:color="auto" w:fill="FFF5E4"/>
          </w:tcPr>
          <w:p>
            <w:pPr>
              <w:pStyle w:val="TableParagraph"/>
              <w:spacing w:before="11"/>
              <w:ind w:left="0"/>
              <w:rPr>
                <w:sz w:val="18"/>
              </w:rPr>
            </w:pPr>
          </w:p>
          <w:p>
            <w:pPr>
              <w:pStyle w:val="TableParagraph"/>
              <w:spacing w:line="530" w:lineRule="atLeast" w:before="0"/>
              <w:ind w:left="391" w:right="64"/>
              <w:jc w:val="right"/>
              <w:rPr>
                <w:rFonts w:ascii="Arial"/>
                <w:sz w:val="20"/>
              </w:rPr>
            </w:pPr>
            <w:r>
              <w:rPr>
                <w:rFonts w:ascii="Arial"/>
                <w:color w:val="231F20"/>
                <w:w w:val="145"/>
                <w:sz w:val="20"/>
              </w:rPr>
              <w:t>z z</w:t>
            </w:r>
          </w:p>
        </w:tc>
        <w:tc>
          <w:tcPr>
            <w:tcW w:w="3373" w:type="dxa"/>
            <w:shd w:val="clear" w:color="auto" w:fill="FFF5E4"/>
          </w:tcPr>
          <w:p>
            <w:pPr>
              <w:pStyle w:val="TableParagraph"/>
              <w:spacing w:before="0"/>
              <w:ind w:left="67" w:right="93"/>
              <w:rPr>
                <w:sz w:val="20"/>
              </w:rPr>
            </w:pPr>
            <w:r>
              <w:rPr>
                <w:color w:val="231F20"/>
                <w:sz w:val="20"/>
              </w:rPr>
              <w:t>discriminations (en général et spécifiques au handicap)</w:t>
            </w:r>
          </w:p>
          <w:p>
            <w:pPr>
              <w:pStyle w:val="TableParagraph"/>
              <w:spacing w:before="56"/>
              <w:ind w:left="67" w:right="93"/>
              <w:rPr>
                <w:sz w:val="20"/>
              </w:rPr>
            </w:pPr>
            <w:r>
              <w:rPr>
                <w:color w:val="231F20"/>
                <w:sz w:val="20"/>
              </w:rPr>
              <w:t>Intégralité de la législation sur les droits relatifs au handicap</w:t>
            </w:r>
          </w:p>
          <w:p>
            <w:pPr>
              <w:pStyle w:val="TableParagraph"/>
              <w:spacing w:before="56"/>
              <w:ind w:left="67" w:right="93"/>
              <w:rPr>
                <w:sz w:val="20"/>
              </w:rPr>
            </w:pPr>
            <w:r>
              <w:rPr>
                <w:color w:val="231F20"/>
                <w:sz w:val="20"/>
              </w:rPr>
              <w:t>Actes relatifs aux droits de l’homme</w:t>
            </w:r>
          </w:p>
        </w:tc>
        <w:tc>
          <w:tcPr>
            <w:tcW w:w="565" w:type="dxa"/>
            <w:shd w:val="clear" w:color="auto" w:fill="FFF5E4"/>
          </w:tcPr>
          <w:p>
            <w:pPr>
              <w:pStyle w:val="TableParagraph"/>
              <w:spacing w:line="309" w:lineRule="auto" w:before="46"/>
              <w:ind w:left="348" w:right="46"/>
              <w:rPr>
                <w:rFonts w:ascii="Arial"/>
                <w:sz w:val="20"/>
              </w:rPr>
            </w:pPr>
            <w:r>
              <w:rPr>
                <w:rFonts w:ascii="Arial"/>
                <w:color w:val="231F20"/>
                <w:w w:val="150"/>
                <w:sz w:val="20"/>
              </w:rPr>
              <w:t>z z</w:t>
            </w:r>
          </w:p>
          <w:p>
            <w:pPr>
              <w:pStyle w:val="TableParagraph"/>
              <w:spacing w:before="1"/>
              <w:ind w:left="0"/>
              <w:rPr>
                <w:sz w:val="20"/>
              </w:rPr>
            </w:pPr>
          </w:p>
          <w:p>
            <w:pPr>
              <w:pStyle w:val="TableParagraph"/>
              <w:spacing w:before="0"/>
              <w:ind w:left="348"/>
              <w:rPr>
                <w:rFonts w:ascii="Arial"/>
                <w:sz w:val="20"/>
              </w:rPr>
            </w:pPr>
            <w:r>
              <w:rPr>
                <w:rFonts w:ascii="Arial"/>
                <w:color w:val="231F20"/>
                <w:w w:val="149"/>
                <w:sz w:val="20"/>
              </w:rPr>
              <w:t>z</w:t>
            </w:r>
          </w:p>
        </w:tc>
        <w:tc>
          <w:tcPr>
            <w:tcW w:w="3217" w:type="dxa"/>
            <w:shd w:val="clear" w:color="auto" w:fill="FFF5E4"/>
          </w:tcPr>
          <w:p>
            <w:pPr>
              <w:pStyle w:val="TableParagraph"/>
              <w:spacing w:before="44"/>
              <w:ind w:left="67"/>
              <w:rPr>
                <w:sz w:val="20"/>
              </w:rPr>
            </w:pPr>
            <w:r>
              <w:rPr>
                <w:color w:val="231F20"/>
                <w:sz w:val="20"/>
              </w:rPr>
              <w:t>Droit du travail</w:t>
            </w:r>
          </w:p>
          <w:p>
            <w:pPr>
              <w:pStyle w:val="TableParagraph"/>
              <w:spacing w:before="56"/>
              <w:ind w:left="67"/>
              <w:rPr>
                <w:sz w:val="20"/>
              </w:rPr>
            </w:pPr>
            <w:r>
              <w:rPr>
                <w:color w:val="231F20"/>
                <w:sz w:val="20"/>
              </w:rPr>
              <w:t>Droit de la santé et de la sécurité au travail</w:t>
            </w:r>
          </w:p>
          <w:p>
            <w:pPr>
              <w:pStyle w:val="TableParagraph"/>
              <w:spacing w:before="56"/>
              <w:ind w:left="67" w:right="618"/>
              <w:rPr>
                <w:sz w:val="20"/>
              </w:rPr>
            </w:pPr>
            <w:r>
              <w:rPr>
                <w:color w:val="231F20"/>
                <w:sz w:val="20"/>
              </w:rPr>
              <w:t>Droit de la formation professionnelle</w:t>
            </w:r>
          </w:p>
        </w:tc>
      </w:tr>
      <w:tr>
        <w:trPr>
          <w:trHeight w:val="1250" w:hRule="exact"/>
        </w:trPr>
        <w:tc>
          <w:tcPr>
            <w:tcW w:w="726" w:type="dxa"/>
            <w:shd w:val="clear" w:color="auto" w:fill="FFF5E4"/>
          </w:tcPr>
          <w:p>
            <w:pPr>
              <w:pStyle w:val="TableParagraph"/>
              <w:spacing w:line="223" w:lineRule="exact" w:before="0"/>
              <w:ind w:left="0" w:right="64"/>
              <w:jc w:val="right"/>
              <w:rPr>
                <w:rFonts w:ascii="Arial"/>
                <w:sz w:val="20"/>
              </w:rPr>
            </w:pPr>
            <w:r>
              <w:rPr>
                <w:rFonts w:ascii="Arial"/>
                <w:color w:val="231F20"/>
                <w:w w:val="149"/>
                <w:sz w:val="20"/>
              </w:rPr>
              <w:t>z</w:t>
            </w:r>
          </w:p>
          <w:p>
            <w:pPr>
              <w:pStyle w:val="TableParagraph"/>
              <w:spacing w:before="0"/>
              <w:ind w:left="0"/>
              <w:rPr>
                <w:sz w:val="20"/>
              </w:rPr>
            </w:pPr>
          </w:p>
          <w:p>
            <w:pPr>
              <w:pStyle w:val="TableParagraph"/>
              <w:spacing w:before="5"/>
              <w:ind w:left="0"/>
              <w:rPr>
                <w:sz w:val="25"/>
              </w:rPr>
            </w:pPr>
          </w:p>
          <w:p>
            <w:pPr>
              <w:pStyle w:val="TableParagraph"/>
              <w:spacing w:before="0"/>
              <w:ind w:left="0" w:right="66"/>
              <w:jc w:val="right"/>
              <w:rPr>
                <w:rFonts w:ascii="Arial"/>
                <w:sz w:val="20"/>
              </w:rPr>
            </w:pPr>
            <w:r>
              <w:rPr>
                <w:rFonts w:ascii="Arial"/>
                <w:color w:val="231F20"/>
                <w:w w:val="149"/>
                <w:sz w:val="20"/>
              </w:rPr>
              <w:t>z</w:t>
            </w:r>
          </w:p>
        </w:tc>
        <w:tc>
          <w:tcPr>
            <w:tcW w:w="3373" w:type="dxa"/>
            <w:shd w:val="clear" w:color="auto" w:fill="FFF5E4"/>
          </w:tcPr>
          <w:p>
            <w:pPr>
              <w:pStyle w:val="TableParagraph"/>
              <w:spacing w:before="0"/>
              <w:ind w:left="67" w:right="646"/>
              <w:rPr>
                <w:sz w:val="20"/>
              </w:rPr>
            </w:pPr>
            <w:r>
              <w:rPr>
                <w:color w:val="231F20"/>
                <w:sz w:val="20"/>
              </w:rPr>
              <w:t>Lois sur l’assistance sociale, les services sociaux et la protection sociale</w:t>
            </w:r>
          </w:p>
          <w:p>
            <w:pPr>
              <w:pStyle w:val="TableParagraph"/>
              <w:spacing w:before="56"/>
              <w:ind w:left="66" w:right="93"/>
              <w:rPr>
                <w:sz w:val="20"/>
              </w:rPr>
            </w:pPr>
            <w:r>
              <w:rPr>
                <w:color w:val="231F20"/>
                <w:sz w:val="20"/>
              </w:rPr>
              <w:t>Lois relatives aux personnes présentant des handicaps</w:t>
            </w:r>
          </w:p>
        </w:tc>
        <w:tc>
          <w:tcPr>
            <w:tcW w:w="565" w:type="dxa"/>
            <w:shd w:val="clear" w:color="auto" w:fill="FFF5E4"/>
          </w:tcPr>
          <w:p>
            <w:pPr>
              <w:pStyle w:val="TableParagraph"/>
              <w:spacing w:line="309" w:lineRule="auto" w:before="48"/>
              <w:ind w:left="348" w:right="64"/>
              <w:jc w:val="both"/>
              <w:rPr>
                <w:rFonts w:ascii="Arial"/>
                <w:sz w:val="20"/>
              </w:rPr>
            </w:pPr>
            <w:r>
              <w:rPr>
                <w:rFonts w:ascii="Arial"/>
                <w:color w:val="231F20"/>
                <w:w w:val="150"/>
                <w:sz w:val="20"/>
              </w:rPr>
              <w:t>z z z z</w:t>
            </w:r>
          </w:p>
        </w:tc>
        <w:tc>
          <w:tcPr>
            <w:tcW w:w="3217" w:type="dxa"/>
            <w:shd w:val="clear" w:color="auto" w:fill="FFF5E4"/>
          </w:tcPr>
          <w:p>
            <w:pPr>
              <w:pStyle w:val="TableParagraph"/>
              <w:spacing w:line="295" w:lineRule="auto" w:before="46"/>
              <w:ind w:left="66" w:right="618"/>
              <w:rPr>
                <w:sz w:val="20"/>
              </w:rPr>
            </w:pPr>
            <w:r>
              <w:rPr>
                <w:color w:val="231F20"/>
                <w:sz w:val="20"/>
              </w:rPr>
              <w:t>Droit de l’assurance santé Droit relatif à la santé mentale Droit de l'éducation</w:t>
            </w:r>
          </w:p>
          <w:p>
            <w:pPr>
              <w:pStyle w:val="TableParagraph"/>
              <w:spacing w:before="1"/>
              <w:ind w:left="66"/>
              <w:rPr>
                <w:sz w:val="20"/>
              </w:rPr>
            </w:pPr>
            <w:r>
              <w:rPr>
                <w:color w:val="231F20"/>
                <w:sz w:val="20"/>
              </w:rPr>
              <w:t>Droit de la construction</w:t>
            </w:r>
          </w:p>
        </w:tc>
      </w:tr>
      <w:tr>
        <w:trPr>
          <w:trHeight w:val="268" w:hRule="exact"/>
        </w:trPr>
        <w:tc>
          <w:tcPr>
            <w:tcW w:w="726" w:type="dxa"/>
            <w:shd w:val="clear" w:color="auto" w:fill="FFF5E4"/>
          </w:tcPr>
          <w:p>
            <w:pPr/>
          </w:p>
        </w:tc>
        <w:tc>
          <w:tcPr>
            <w:tcW w:w="3373" w:type="dxa"/>
            <w:shd w:val="clear" w:color="auto" w:fill="FFF5E4"/>
          </w:tcPr>
          <w:p>
            <w:pPr>
              <w:pStyle w:val="TableParagraph"/>
              <w:spacing w:line="237" w:lineRule="exact" w:before="0"/>
              <w:ind w:left="66" w:right="93"/>
              <w:rPr>
                <w:sz w:val="20"/>
              </w:rPr>
            </w:pPr>
            <w:r>
              <w:rPr>
                <w:color w:val="231F20"/>
                <w:sz w:val="20"/>
              </w:rPr>
              <w:t>spécifiques</w:t>
            </w:r>
          </w:p>
        </w:tc>
        <w:tc>
          <w:tcPr>
            <w:tcW w:w="565" w:type="dxa"/>
            <w:shd w:val="clear" w:color="auto" w:fill="FFF5E4"/>
          </w:tcPr>
          <w:p>
            <w:pPr>
              <w:pStyle w:val="TableParagraph"/>
              <w:spacing w:line="215" w:lineRule="exact" w:before="0"/>
              <w:ind w:left="0" w:right="65"/>
              <w:jc w:val="right"/>
              <w:rPr>
                <w:rFonts w:ascii="Arial"/>
                <w:sz w:val="20"/>
              </w:rPr>
            </w:pPr>
            <w:r>
              <w:rPr>
                <w:rFonts w:ascii="Arial"/>
                <w:color w:val="231F20"/>
                <w:w w:val="149"/>
                <w:sz w:val="20"/>
              </w:rPr>
              <w:t>z</w:t>
            </w:r>
          </w:p>
        </w:tc>
        <w:tc>
          <w:tcPr>
            <w:tcW w:w="3217" w:type="dxa"/>
            <w:shd w:val="clear" w:color="auto" w:fill="FFF5E4"/>
          </w:tcPr>
          <w:p>
            <w:pPr>
              <w:pStyle w:val="TableParagraph"/>
              <w:spacing w:line="223" w:lineRule="exact" w:before="0"/>
              <w:ind w:left="66"/>
              <w:rPr>
                <w:sz w:val="20"/>
              </w:rPr>
            </w:pPr>
            <w:r>
              <w:rPr>
                <w:color w:val="231F20"/>
                <w:sz w:val="20"/>
              </w:rPr>
              <w:t>Droit relatif au logement social</w:t>
            </w:r>
          </w:p>
        </w:tc>
      </w:tr>
      <w:tr>
        <w:trPr>
          <w:trHeight w:val="297" w:hRule="exact"/>
        </w:trPr>
        <w:tc>
          <w:tcPr>
            <w:tcW w:w="726" w:type="dxa"/>
            <w:shd w:val="clear" w:color="auto" w:fill="FFF5E4"/>
          </w:tcPr>
          <w:p>
            <w:pPr>
              <w:pStyle w:val="TableParagraph"/>
              <w:spacing w:before="28"/>
              <w:ind w:left="0" w:right="65"/>
              <w:jc w:val="right"/>
              <w:rPr>
                <w:rFonts w:ascii="Arial"/>
                <w:sz w:val="20"/>
              </w:rPr>
            </w:pPr>
            <w:r>
              <w:rPr>
                <w:rFonts w:ascii="Arial"/>
                <w:color w:val="231F20"/>
                <w:w w:val="149"/>
                <w:sz w:val="20"/>
              </w:rPr>
              <w:t>z</w:t>
            </w:r>
          </w:p>
        </w:tc>
        <w:tc>
          <w:tcPr>
            <w:tcW w:w="3373" w:type="dxa"/>
            <w:shd w:val="clear" w:color="auto" w:fill="FFF5E4"/>
          </w:tcPr>
          <w:p>
            <w:pPr>
              <w:pStyle w:val="TableParagraph"/>
              <w:spacing w:before="25"/>
              <w:ind w:left="66" w:right="93"/>
              <w:rPr>
                <w:sz w:val="20"/>
              </w:rPr>
            </w:pPr>
            <w:r>
              <w:rPr>
                <w:color w:val="231F20"/>
                <w:sz w:val="20"/>
              </w:rPr>
              <w:t>Lois de protection de l’enfance</w:t>
            </w:r>
          </w:p>
        </w:tc>
        <w:tc>
          <w:tcPr>
            <w:tcW w:w="565" w:type="dxa"/>
            <w:shd w:val="clear" w:color="auto" w:fill="FFF5E4"/>
          </w:tcPr>
          <w:p>
            <w:pPr>
              <w:pStyle w:val="TableParagraph"/>
              <w:spacing w:before="13"/>
              <w:ind w:left="0" w:right="65"/>
              <w:jc w:val="right"/>
              <w:rPr>
                <w:rFonts w:ascii="Arial"/>
                <w:sz w:val="20"/>
              </w:rPr>
            </w:pPr>
            <w:r>
              <w:rPr>
                <w:rFonts w:ascii="Arial"/>
                <w:color w:val="231F20"/>
                <w:w w:val="149"/>
                <w:sz w:val="20"/>
              </w:rPr>
              <w:t>z</w:t>
            </w:r>
          </w:p>
        </w:tc>
        <w:tc>
          <w:tcPr>
            <w:tcW w:w="3217" w:type="dxa"/>
            <w:shd w:val="clear" w:color="auto" w:fill="FFF5E4"/>
          </w:tcPr>
          <w:p>
            <w:pPr>
              <w:pStyle w:val="TableParagraph"/>
              <w:spacing w:before="11"/>
              <w:ind w:left="66"/>
              <w:rPr>
                <w:sz w:val="20"/>
              </w:rPr>
            </w:pPr>
            <w:r>
              <w:rPr>
                <w:color w:val="231F20"/>
                <w:sz w:val="20"/>
              </w:rPr>
              <w:t>Droit fiscal</w:t>
            </w:r>
          </w:p>
        </w:tc>
      </w:tr>
      <w:tr>
        <w:trPr>
          <w:trHeight w:val="277" w:hRule="exact"/>
        </w:trPr>
        <w:tc>
          <w:tcPr>
            <w:tcW w:w="726" w:type="dxa"/>
            <w:shd w:val="clear" w:color="auto" w:fill="FFF5E4"/>
          </w:tcPr>
          <w:p>
            <w:pPr>
              <w:pStyle w:val="TableParagraph"/>
              <w:spacing w:before="28"/>
              <w:ind w:left="0" w:right="65"/>
              <w:jc w:val="right"/>
              <w:rPr>
                <w:rFonts w:ascii="Arial"/>
                <w:sz w:val="20"/>
              </w:rPr>
            </w:pPr>
            <w:r>
              <w:rPr>
                <w:rFonts w:ascii="Arial"/>
                <w:color w:val="231F20"/>
                <w:w w:val="149"/>
                <w:sz w:val="20"/>
              </w:rPr>
              <w:t>z</w:t>
            </w:r>
          </w:p>
        </w:tc>
        <w:tc>
          <w:tcPr>
            <w:tcW w:w="3373" w:type="dxa"/>
            <w:shd w:val="clear" w:color="auto" w:fill="FFF5E4"/>
          </w:tcPr>
          <w:p>
            <w:pPr>
              <w:pStyle w:val="TableParagraph"/>
              <w:spacing w:before="25"/>
              <w:ind w:left="66" w:right="93"/>
              <w:rPr>
                <w:sz w:val="20"/>
              </w:rPr>
            </w:pPr>
            <w:r>
              <w:rPr>
                <w:color w:val="231F20"/>
                <w:sz w:val="20"/>
              </w:rPr>
              <w:t>Lois en matière de justice pour</w:t>
            </w:r>
          </w:p>
        </w:tc>
        <w:tc>
          <w:tcPr>
            <w:tcW w:w="565" w:type="dxa"/>
            <w:shd w:val="clear" w:color="auto" w:fill="FFF5E4"/>
          </w:tcPr>
          <w:p>
            <w:pPr>
              <w:pStyle w:val="TableParagraph"/>
              <w:spacing w:before="13"/>
              <w:ind w:left="0" w:right="67"/>
              <w:jc w:val="right"/>
              <w:rPr>
                <w:rFonts w:ascii="Arial"/>
                <w:sz w:val="20"/>
              </w:rPr>
            </w:pPr>
            <w:r>
              <w:rPr>
                <w:rFonts w:ascii="Arial"/>
                <w:color w:val="231F20"/>
                <w:w w:val="149"/>
                <w:sz w:val="20"/>
              </w:rPr>
              <w:t>z</w:t>
            </w:r>
          </w:p>
        </w:tc>
        <w:tc>
          <w:tcPr>
            <w:tcW w:w="3217" w:type="dxa"/>
            <w:shd w:val="clear" w:color="auto" w:fill="FFF5E4"/>
          </w:tcPr>
          <w:p>
            <w:pPr>
              <w:pStyle w:val="TableParagraph"/>
              <w:spacing w:before="11"/>
              <w:ind w:left="65"/>
              <w:rPr>
                <w:sz w:val="20"/>
              </w:rPr>
            </w:pPr>
            <w:r>
              <w:rPr>
                <w:color w:val="231F20"/>
                <w:sz w:val="20"/>
              </w:rPr>
              <w:t>Droit de l'immigration</w:t>
            </w:r>
          </w:p>
        </w:tc>
      </w:tr>
      <w:tr>
        <w:trPr>
          <w:trHeight w:val="282" w:hRule="exact"/>
        </w:trPr>
        <w:tc>
          <w:tcPr>
            <w:tcW w:w="726" w:type="dxa"/>
            <w:shd w:val="clear" w:color="auto" w:fill="FFF5E4"/>
          </w:tcPr>
          <w:p>
            <w:pPr/>
          </w:p>
        </w:tc>
        <w:tc>
          <w:tcPr>
            <w:tcW w:w="3373" w:type="dxa"/>
            <w:shd w:val="clear" w:color="auto" w:fill="FFF5E4"/>
          </w:tcPr>
          <w:p>
            <w:pPr>
              <w:pStyle w:val="TableParagraph"/>
              <w:spacing w:line="228" w:lineRule="exact" w:before="0"/>
              <w:ind w:left="66" w:right="93"/>
              <w:rPr>
                <w:sz w:val="20"/>
              </w:rPr>
            </w:pPr>
            <w:r>
              <w:rPr>
                <w:color w:val="231F20"/>
                <w:sz w:val="20"/>
              </w:rPr>
              <w:t>mineurs</w:t>
            </w:r>
          </w:p>
        </w:tc>
        <w:tc>
          <w:tcPr>
            <w:tcW w:w="565" w:type="dxa"/>
            <w:shd w:val="clear" w:color="auto" w:fill="FFF5E4"/>
          </w:tcPr>
          <w:p>
            <w:pPr>
              <w:pStyle w:val="TableParagraph"/>
              <w:spacing w:before="33"/>
              <w:ind w:left="0" w:right="66"/>
              <w:jc w:val="right"/>
              <w:rPr>
                <w:rFonts w:ascii="Arial"/>
                <w:sz w:val="20"/>
              </w:rPr>
            </w:pPr>
            <w:r>
              <w:rPr>
                <w:rFonts w:ascii="Arial"/>
                <w:color w:val="231F20"/>
                <w:w w:val="149"/>
                <w:sz w:val="20"/>
              </w:rPr>
              <w:t>z</w:t>
            </w:r>
          </w:p>
        </w:tc>
        <w:tc>
          <w:tcPr>
            <w:tcW w:w="3217" w:type="dxa"/>
            <w:shd w:val="clear" w:color="auto" w:fill="FFF5E4"/>
          </w:tcPr>
          <w:p>
            <w:pPr>
              <w:pStyle w:val="TableParagraph"/>
              <w:spacing w:before="30"/>
              <w:ind w:left="65"/>
              <w:rPr>
                <w:sz w:val="20"/>
              </w:rPr>
            </w:pPr>
            <w:r>
              <w:rPr>
                <w:color w:val="231F20"/>
                <w:sz w:val="20"/>
              </w:rPr>
              <w:t>Droit relatif à la société civile et aux</w:t>
            </w:r>
          </w:p>
        </w:tc>
      </w:tr>
      <w:tr>
        <w:trPr>
          <w:trHeight w:val="281" w:hRule="exact"/>
        </w:trPr>
        <w:tc>
          <w:tcPr>
            <w:tcW w:w="726" w:type="dxa"/>
            <w:shd w:val="clear" w:color="auto" w:fill="FFF5E4"/>
          </w:tcPr>
          <w:p>
            <w:pPr>
              <w:pStyle w:val="TableParagraph"/>
              <w:spacing w:before="5"/>
              <w:ind w:left="0" w:right="65"/>
              <w:jc w:val="right"/>
              <w:rPr>
                <w:rFonts w:ascii="Arial"/>
                <w:sz w:val="20"/>
              </w:rPr>
            </w:pPr>
            <w:r>
              <w:rPr>
                <w:rFonts w:ascii="Arial"/>
                <w:color w:val="231F20"/>
                <w:w w:val="149"/>
                <w:sz w:val="20"/>
              </w:rPr>
              <w:t>z</w:t>
            </w:r>
          </w:p>
        </w:tc>
        <w:tc>
          <w:tcPr>
            <w:tcW w:w="3373" w:type="dxa"/>
            <w:shd w:val="clear" w:color="auto" w:fill="FFF5E4"/>
          </w:tcPr>
          <w:p>
            <w:pPr>
              <w:pStyle w:val="TableParagraph"/>
              <w:spacing w:before="2"/>
              <w:ind w:left="66" w:right="93"/>
              <w:rPr>
                <w:sz w:val="20"/>
              </w:rPr>
            </w:pPr>
            <w:r>
              <w:rPr>
                <w:color w:val="231F20"/>
                <w:sz w:val="20"/>
              </w:rPr>
              <w:t>Code électoral</w:t>
            </w:r>
          </w:p>
        </w:tc>
        <w:tc>
          <w:tcPr>
            <w:tcW w:w="565" w:type="dxa"/>
            <w:shd w:val="clear" w:color="auto" w:fill="FFF5E4"/>
          </w:tcPr>
          <w:p>
            <w:pPr/>
          </w:p>
        </w:tc>
        <w:tc>
          <w:tcPr>
            <w:tcW w:w="3217" w:type="dxa"/>
            <w:shd w:val="clear" w:color="auto" w:fill="FFF5E4"/>
          </w:tcPr>
          <w:p>
            <w:pPr>
              <w:pStyle w:val="TableParagraph"/>
              <w:spacing w:line="228" w:lineRule="exact" w:before="0"/>
              <w:ind w:left="65"/>
              <w:rPr>
                <w:sz w:val="20"/>
              </w:rPr>
            </w:pPr>
            <w:r>
              <w:rPr>
                <w:color w:val="231F20"/>
                <w:sz w:val="20"/>
              </w:rPr>
              <w:t>organisations à but non lucratif</w:t>
            </w:r>
          </w:p>
        </w:tc>
      </w:tr>
      <w:tr>
        <w:trPr>
          <w:trHeight w:val="436" w:hRule="exact"/>
        </w:trPr>
        <w:tc>
          <w:tcPr>
            <w:tcW w:w="726" w:type="dxa"/>
            <w:tcBorders>
              <w:bottom w:val="single" w:sz="8" w:space="0" w:color="FDB714"/>
            </w:tcBorders>
            <w:shd w:val="clear" w:color="auto" w:fill="FFF5E4"/>
          </w:tcPr>
          <w:p>
            <w:pPr>
              <w:pStyle w:val="TableParagraph"/>
              <w:spacing w:before="21"/>
              <w:ind w:left="0" w:right="65"/>
              <w:jc w:val="right"/>
              <w:rPr>
                <w:rFonts w:ascii="Arial"/>
                <w:sz w:val="20"/>
              </w:rPr>
            </w:pPr>
            <w:r>
              <w:rPr>
                <w:rFonts w:ascii="Arial"/>
                <w:color w:val="231F20"/>
                <w:w w:val="149"/>
                <w:sz w:val="20"/>
              </w:rPr>
              <w:t>z</w:t>
            </w:r>
          </w:p>
        </w:tc>
        <w:tc>
          <w:tcPr>
            <w:tcW w:w="3373" w:type="dxa"/>
            <w:tcBorders>
              <w:bottom w:val="single" w:sz="8" w:space="0" w:color="FDB714"/>
            </w:tcBorders>
            <w:shd w:val="clear" w:color="auto" w:fill="FFF5E4"/>
          </w:tcPr>
          <w:p>
            <w:pPr>
              <w:pStyle w:val="TableParagraph"/>
              <w:ind w:left="66" w:right="93"/>
              <w:rPr>
                <w:sz w:val="20"/>
              </w:rPr>
            </w:pPr>
            <w:r>
              <w:rPr>
                <w:color w:val="231F20"/>
                <w:sz w:val="20"/>
              </w:rPr>
              <w:t>Droit de la famille</w:t>
            </w:r>
          </w:p>
        </w:tc>
        <w:tc>
          <w:tcPr>
            <w:tcW w:w="565" w:type="dxa"/>
            <w:tcBorders>
              <w:bottom w:val="single" w:sz="8" w:space="0" w:color="FDB714"/>
            </w:tcBorders>
            <w:shd w:val="clear" w:color="auto" w:fill="FFF5E4"/>
          </w:tcPr>
          <w:p>
            <w:pPr/>
          </w:p>
        </w:tc>
        <w:tc>
          <w:tcPr>
            <w:tcW w:w="3217" w:type="dxa"/>
            <w:tcBorders>
              <w:bottom w:val="single" w:sz="8" w:space="0" w:color="FDB714"/>
            </w:tcBorders>
            <w:shd w:val="clear" w:color="auto" w:fill="FFF5E4"/>
          </w:tcPr>
          <w:p>
            <w:pPr/>
          </w:p>
        </w:tc>
      </w:tr>
    </w:tbl>
    <w:p>
      <w:pPr>
        <w:pStyle w:val="BodyText"/>
        <w:rPr>
          <w:rFonts w:ascii="Myriad Pro"/>
          <w:sz w:val="20"/>
        </w:rPr>
      </w:pPr>
    </w:p>
    <w:p>
      <w:pPr>
        <w:pStyle w:val="BodyText"/>
        <w:rPr>
          <w:rFonts w:ascii="Myriad Pro"/>
          <w:sz w:val="29"/>
        </w:rPr>
      </w:pPr>
    </w:p>
    <w:p>
      <w:pPr>
        <w:pStyle w:val="BodyText"/>
        <w:spacing w:line="266" w:lineRule="auto" w:before="68"/>
        <w:ind w:left="113" w:right="2826"/>
        <w:rPr>
          <w:b w:val="0"/>
        </w:rPr>
      </w:pPr>
      <w:r>
        <w:rPr>
          <w:b w:val="0"/>
          <w:color w:val="231F20"/>
        </w:rPr>
        <w:t>Outre l’identification des lacunes de la loi, les exercices de cadrage peuvent aussi aider à déterminer d’autres domaines d’élaboration de politiques. Ils peuvent aider à coordonner le travail des agences gouvernementales et promouvoir la coopération entre les autorités, les organisations de personnes handicapées (OPH) et les institutions nationales chargées des droits de l’homme. Les conclusions d’un exercice de cadrage peuvent aussi servir</w:t>
      </w:r>
    </w:p>
    <w:p>
      <w:pPr>
        <w:pStyle w:val="BodyText"/>
        <w:spacing w:line="266" w:lineRule="auto"/>
        <w:ind w:left="113" w:right="2826"/>
        <w:rPr>
          <w:b w:val="0"/>
        </w:rPr>
      </w:pPr>
      <w:r>
        <w:rPr>
          <w:b w:val="0"/>
          <w:color w:val="231F20"/>
        </w:rPr>
        <w:t>de support à l'élaboration d’une stratégie nationale concernant le handicap ou au développement d’un plan national pour les droits de l’homme. Les exercices de cadrage peuvent aussi être utiles pour développer des plans sur des sujets spécifiques, tels qu’un plan national pour l’éducation ou une stratégie nationale en matière de santé. Cependant, il est important de ne pas oublier que la réussite d’un exercice de cadrage dépend de l’implication et de la consultation des personnes handicapées et autres parties prenantes.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9"/>
        </w:rPr>
      </w:pPr>
    </w:p>
    <w:p>
      <w:pPr>
        <w:spacing w:before="0"/>
        <w:ind w:left="4012"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7384"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3612" w:val="left" w:leader="none"/>
        </w:tabs>
        <w:spacing w:line="340" w:lineRule="exact" w:before="83" w:after="0"/>
        <w:ind w:left="3611" w:right="206" w:hanging="720"/>
        <w:jc w:val="left"/>
        <w:rPr>
          <w:b/>
        </w:rPr>
      </w:pPr>
      <w:bookmarkStart w:name="_TOC_250009" w:id="6"/>
      <w:r>
        <w:rPr>
          <w:b/>
          <w:color w:val="231F20"/>
        </w:rPr>
        <w:t>Légiférer pour les droits liés au handicap :</w:t>
      </w:r>
      <w:r>
        <w:rPr>
          <w:b/>
          <w:color w:val="231F20"/>
          <w:spacing w:val="-18"/>
        </w:rPr>
        <w:t> </w:t>
      </w:r>
      <w:r>
        <w:rPr>
          <w:b/>
          <w:color w:val="231F20"/>
        </w:rPr>
        <w:t>éléments clés à prendre en</w:t>
      </w:r>
      <w:r>
        <w:rPr>
          <w:b/>
          <w:color w:val="231F20"/>
          <w:spacing w:val="-14"/>
        </w:rPr>
        <w:t> </w:t>
      </w:r>
      <w:bookmarkEnd w:id="6"/>
      <w:r>
        <w:rPr>
          <w:b/>
          <w:color w:val="231F20"/>
        </w:rPr>
        <w:t>considération</w:t>
      </w:r>
    </w:p>
    <w:p>
      <w:pPr>
        <w:pStyle w:val="BodyText"/>
        <w:spacing w:line="266" w:lineRule="auto" w:before="130"/>
        <w:ind w:left="2891" w:right="94"/>
        <w:rPr>
          <w:b w:val="0"/>
        </w:rPr>
      </w:pPr>
      <w:r>
        <w:rPr>
          <w:b w:val="0"/>
          <w:color w:val="231F20"/>
        </w:rPr>
        <w:t>Une fois un exercice de cadrage rigoureux terminé, les États parties peuvent développer un plan de réforme législative. L'alignement du droit national sur la CDPH peut requérir des révisions constitutionnelles, le développement ou la révision de lois nationales spécifiquement axées sur les droits des personnes handicapées, et très probablement, des amendements de lois très diverses, y compris des lois de lutte contre les discriminations, qu’elles soient générales ou sectorielles. Dans de nombreux cas, les pays devront</w:t>
      </w:r>
    </w:p>
    <w:p>
      <w:pPr>
        <w:pStyle w:val="BodyText"/>
        <w:spacing w:line="266" w:lineRule="auto"/>
        <w:ind w:left="2891"/>
        <w:rPr>
          <w:b w:val="0"/>
        </w:rPr>
      </w:pPr>
      <w:r>
        <w:rPr>
          <w:b w:val="0"/>
          <w:color w:val="231F20"/>
        </w:rPr>
        <w:t>aussi amender ou promulguer des mesures réglementaires ou dérivées afin de guider l'application des lois nationales et d'assurer les voies de recours nécessaires.</w:t>
      </w:r>
    </w:p>
    <w:p>
      <w:pPr>
        <w:pStyle w:val="BodyText"/>
        <w:spacing w:before="8"/>
        <w:rPr>
          <w:b w:val="0"/>
          <w:sz w:val="25"/>
        </w:rPr>
      </w:pPr>
    </w:p>
    <w:p>
      <w:pPr>
        <w:pStyle w:val="Heading3"/>
        <w:rPr>
          <w:b/>
        </w:rPr>
      </w:pPr>
      <w:r>
        <w:rPr>
          <w:b/>
          <w:color w:val="FDB714"/>
        </w:rPr>
        <w:t>Définition du but de la législation sur le handicap</w:t>
      </w:r>
    </w:p>
    <w:p>
      <w:pPr>
        <w:pStyle w:val="BodyText"/>
        <w:spacing w:line="266" w:lineRule="auto" w:before="127"/>
        <w:ind w:left="2891" w:right="405"/>
        <w:rPr>
          <w:b w:val="0"/>
        </w:rPr>
      </w:pPr>
      <w:r>
        <w:rPr>
          <w:b w:val="0"/>
          <w:color w:val="231F20"/>
          <w:spacing w:val="-3"/>
        </w:rPr>
        <w:t>Le </w:t>
      </w:r>
      <w:r>
        <w:rPr>
          <w:b w:val="0"/>
          <w:color w:val="231F20"/>
        </w:rPr>
        <w:t>but de la </w:t>
      </w:r>
      <w:r>
        <w:rPr>
          <w:b w:val="0"/>
          <w:color w:val="231F20"/>
          <w:spacing w:val="-3"/>
        </w:rPr>
        <w:t>CDPH, selon </w:t>
      </w:r>
      <w:r>
        <w:rPr>
          <w:b w:val="0"/>
          <w:color w:val="231F20"/>
        </w:rPr>
        <w:t>son article 1 est de « </w:t>
      </w:r>
      <w:r>
        <w:rPr>
          <w:b w:val="0"/>
          <w:color w:val="231F20"/>
          <w:spacing w:val="-4"/>
        </w:rPr>
        <w:t>promouvoir, </w:t>
      </w:r>
      <w:r>
        <w:rPr>
          <w:b w:val="0"/>
          <w:color w:val="231F20"/>
          <w:spacing w:val="-3"/>
        </w:rPr>
        <w:t>protéger </w:t>
      </w:r>
      <w:r>
        <w:rPr>
          <w:b w:val="0"/>
          <w:color w:val="231F20"/>
        </w:rPr>
        <w:t>et </w:t>
      </w:r>
      <w:r>
        <w:rPr>
          <w:b w:val="0"/>
          <w:color w:val="231F20"/>
          <w:spacing w:val="-3"/>
        </w:rPr>
        <w:t>assurer </w:t>
      </w:r>
      <w:r>
        <w:rPr>
          <w:b w:val="0"/>
          <w:color w:val="231F20"/>
        </w:rPr>
        <w:t>la </w:t>
      </w:r>
      <w:r>
        <w:rPr>
          <w:b w:val="0"/>
          <w:color w:val="231F20"/>
          <w:spacing w:val="-3"/>
        </w:rPr>
        <w:t>pleine </w:t>
      </w:r>
      <w:r>
        <w:rPr>
          <w:b w:val="0"/>
          <w:color w:val="231F20"/>
        </w:rPr>
        <w:t>et </w:t>
      </w:r>
      <w:r>
        <w:rPr>
          <w:b w:val="0"/>
          <w:color w:val="231F20"/>
          <w:spacing w:val="-3"/>
        </w:rPr>
        <w:t>égale jouissance </w:t>
      </w:r>
      <w:r>
        <w:rPr>
          <w:b w:val="0"/>
          <w:color w:val="231F20"/>
        </w:rPr>
        <w:t>de </w:t>
      </w:r>
      <w:r>
        <w:rPr>
          <w:b w:val="0"/>
          <w:color w:val="231F20"/>
          <w:spacing w:val="-3"/>
        </w:rPr>
        <w:t>tous </w:t>
      </w:r>
      <w:r>
        <w:rPr>
          <w:b w:val="0"/>
          <w:color w:val="231F20"/>
        </w:rPr>
        <w:t>les </w:t>
      </w:r>
      <w:r>
        <w:rPr>
          <w:b w:val="0"/>
          <w:color w:val="231F20"/>
          <w:spacing w:val="-3"/>
        </w:rPr>
        <w:t>droits </w:t>
      </w:r>
      <w:r>
        <w:rPr>
          <w:b w:val="0"/>
          <w:color w:val="231F20"/>
        </w:rPr>
        <w:t>de </w:t>
      </w:r>
      <w:r>
        <w:rPr>
          <w:b w:val="0"/>
          <w:color w:val="231F20"/>
          <w:spacing w:val="-3"/>
        </w:rPr>
        <w:t>l’homme </w:t>
      </w:r>
      <w:r>
        <w:rPr>
          <w:b w:val="0"/>
          <w:color w:val="231F20"/>
        </w:rPr>
        <w:t>et de </w:t>
      </w:r>
      <w:r>
        <w:rPr>
          <w:b w:val="0"/>
          <w:color w:val="231F20"/>
          <w:spacing w:val="-3"/>
        </w:rPr>
        <w:t>toutes </w:t>
      </w:r>
      <w:r>
        <w:rPr>
          <w:b w:val="0"/>
          <w:color w:val="231F20"/>
        </w:rPr>
        <w:t>les libertés </w:t>
      </w:r>
      <w:r>
        <w:rPr>
          <w:b w:val="0"/>
          <w:color w:val="231F20"/>
          <w:spacing w:val="-4"/>
        </w:rPr>
        <w:t>fondamentales </w:t>
      </w:r>
      <w:r>
        <w:rPr>
          <w:b w:val="0"/>
          <w:color w:val="231F20"/>
        </w:rPr>
        <w:t>par les </w:t>
      </w:r>
      <w:r>
        <w:rPr>
          <w:b w:val="0"/>
          <w:color w:val="231F20"/>
          <w:spacing w:val="-3"/>
        </w:rPr>
        <w:t>personnes handicapées </w:t>
      </w:r>
      <w:r>
        <w:rPr>
          <w:b w:val="0"/>
          <w:color w:val="231F20"/>
        </w:rPr>
        <w:t>et de </w:t>
      </w:r>
      <w:r>
        <w:rPr>
          <w:b w:val="0"/>
          <w:color w:val="231F20"/>
          <w:spacing w:val="-3"/>
        </w:rPr>
        <w:t>promouvoir </w:t>
      </w:r>
      <w:r>
        <w:rPr>
          <w:b w:val="0"/>
          <w:color w:val="231F20"/>
        </w:rPr>
        <w:t>le </w:t>
      </w:r>
      <w:r>
        <w:rPr>
          <w:b w:val="0"/>
          <w:color w:val="231F20"/>
          <w:spacing w:val="-3"/>
        </w:rPr>
        <w:t>respect </w:t>
      </w:r>
      <w:r>
        <w:rPr>
          <w:b w:val="0"/>
          <w:color w:val="231F20"/>
        </w:rPr>
        <w:t>de </w:t>
      </w:r>
      <w:r>
        <w:rPr>
          <w:b w:val="0"/>
          <w:color w:val="231F20"/>
          <w:spacing w:val="-3"/>
        </w:rPr>
        <w:t>leur dignité intrinsèque ». Le </w:t>
      </w:r>
      <w:r>
        <w:rPr>
          <w:b w:val="0"/>
          <w:color w:val="231F20"/>
        </w:rPr>
        <w:t>but de la </w:t>
      </w:r>
      <w:r>
        <w:rPr>
          <w:b w:val="0"/>
          <w:color w:val="231F20"/>
          <w:spacing w:val="-3"/>
        </w:rPr>
        <w:t>CDPH doit être </w:t>
      </w:r>
      <w:r>
        <w:rPr>
          <w:b w:val="0"/>
          <w:color w:val="231F20"/>
        </w:rPr>
        <w:t>pris en </w:t>
      </w:r>
      <w:r>
        <w:rPr>
          <w:b w:val="0"/>
          <w:color w:val="231F20"/>
          <w:spacing w:val="-3"/>
        </w:rPr>
        <w:t>compte dans </w:t>
      </w:r>
      <w:r>
        <w:rPr>
          <w:b w:val="0"/>
          <w:color w:val="231F20"/>
        </w:rPr>
        <w:t>le </w:t>
      </w:r>
      <w:r>
        <w:rPr>
          <w:b w:val="0"/>
          <w:color w:val="231F20"/>
          <w:spacing w:val="-3"/>
        </w:rPr>
        <w:t>développement </w:t>
      </w:r>
      <w:r>
        <w:rPr>
          <w:b w:val="0"/>
          <w:color w:val="231F20"/>
        </w:rPr>
        <w:t>des </w:t>
      </w:r>
      <w:r>
        <w:rPr>
          <w:b w:val="0"/>
          <w:color w:val="231F20"/>
          <w:spacing w:val="-3"/>
        </w:rPr>
        <w:t>lois </w:t>
      </w:r>
      <w:r>
        <w:rPr>
          <w:b w:val="0"/>
          <w:color w:val="231F20"/>
        </w:rPr>
        <w:t>et </w:t>
      </w:r>
      <w:r>
        <w:rPr>
          <w:b w:val="0"/>
          <w:color w:val="231F20"/>
          <w:spacing w:val="-3"/>
        </w:rPr>
        <w:t>politiques domestiques, </w:t>
      </w:r>
      <w:r>
        <w:rPr>
          <w:b w:val="0"/>
          <w:color w:val="231F20"/>
        </w:rPr>
        <w:t>car il </w:t>
      </w:r>
      <w:r>
        <w:rPr>
          <w:b w:val="0"/>
          <w:color w:val="231F20"/>
          <w:spacing w:val="-3"/>
        </w:rPr>
        <w:t>insiste </w:t>
      </w:r>
      <w:r>
        <w:rPr>
          <w:b w:val="0"/>
          <w:color w:val="231F20"/>
        </w:rPr>
        <w:t>sur le </w:t>
      </w:r>
      <w:r>
        <w:rPr>
          <w:b w:val="0"/>
          <w:color w:val="231F20"/>
          <w:spacing w:val="-3"/>
        </w:rPr>
        <w:t>fait </w:t>
      </w:r>
      <w:r>
        <w:rPr>
          <w:b w:val="0"/>
          <w:color w:val="231F20"/>
        </w:rPr>
        <w:t>que les </w:t>
      </w:r>
      <w:r>
        <w:rPr>
          <w:b w:val="0"/>
          <w:color w:val="231F20"/>
          <w:spacing w:val="-3"/>
        </w:rPr>
        <w:t>personnes handicapées </w:t>
      </w:r>
      <w:r>
        <w:rPr>
          <w:b w:val="0"/>
          <w:color w:val="231F20"/>
        </w:rPr>
        <w:t>ont </w:t>
      </w:r>
      <w:r>
        <w:rPr>
          <w:b w:val="0"/>
          <w:color w:val="231F20"/>
          <w:spacing w:val="-3"/>
        </w:rPr>
        <w:t>droit </w:t>
      </w:r>
      <w:r>
        <w:rPr>
          <w:b w:val="0"/>
          <w:color w:val="231F20"/>
        </w:rPr>
        <w:t>aux </w:t>
      </w:r>
      <w:r>
        <w:rPr>
          <w:b w:val="0"/>
          <w:color w:val="231F20"/>
          <w:spacing w:val="-3"/>
        </w:rPr>
        <w:t>mêmes</w:t>
      </w:r>
    </w:p>
    <w:p>
      <w:pPr>
        <w:pStyle w:val="BodyText"/>
        <w:spacing w:line="266" w:lineRule="auto"/>
        <w:ind w:left="2891"/>
        <w:rPr>
          <w:b w:val="0"/>
        </w:rPr>
      </w:pPr>
      <w:r>
        <w:rPr>
          <w:b w:val="0"/>
          <w:color w:val="231F20"/>
          <w:spacing w:val="-3"/>
        </w:rPr>
        <w:t>droits </w:t>
      </w:r>
      <w:r>
        <w:rPr>
          <w:b w:val="0"/>
          <w:color w:val="231F20"/>
        </w:rPr>
        <w:t>de </w:t>
      </w:r>
      <w:r>
        <w:rPr>
          <w:b w:val="0"/>
          <w:color w:val="231F20"/>
          <w:spacing w:val="-3"/>
        </w:rPr>
        <w:t>l’homme </w:t>
      </w:r>
      <w:r>
        <w:rPr>
          <w:b w:val="0"/>
          <w:color w:val="231F20"/>
        </w:rPr>
        <w:t>que </w:t>
      </w:r>
      <w:r>
        <w:rPr>
          <w:b w:val="0"/>
          <w:color w:val="231F20"/>
          <w:spacing w:val="-3"/>
        </w:rPr>
        <w:t>tous </w:t>
      </w:r>
      <w:r>
        <w:rPr>
          <w:b w:val="0"/>
          <w:color w:val="231F20"/>
        </w:rPr>
        <w:t>les </w:t>
      </w:r>
      <w:r>
        <w:rPr>
          <w:b w:val="0"/>
          <w:color w:val="231F20"/>
          <w:spacing w:val="-3"/>
        </w:rPr>
        <w:t>autres êtres humains, </w:t>
      </w:r>
      <w:r>
        <w:rPr>
          <w:b w:val="0"/>
          <w:color w:val="231F20"/>
        </w:rPr>
        <w:t>et que ces </w:t>
      </w:r>
      <w:r>
        <w:rPr>
          <w:b w:val="0"/>
          <w:color w:val="231F20"/>
          <w:spacing w:val="-3"/>
        </w:rPr>
        <w:t>droits </w:t>
      </w:r>
      <w:r>
        <w:rPr>
          <w:b w:val="0"/>
          <w:color w:val="231F20"/>
        </w:rPr>
        <w:t>ne </w:t>
      </w:r>
      <w:r>
        <w:rPr>
          <w:b w:val="0"/>
          <w:color w:val="231F20"/>
          <w:spacing w:val="-3"/>
        </w:rPr>
        <w:t>doivent </w:t>
      </w:r>
      <w:r>
        <w:rPr>
          <w:b w:val="0"/>
          <w:color w:val="231F20"/>
        </w:rPr>
        <w:t>pas </w:t>
      </w:r>
      <w:r>
        <w:rPr>
          <w:b w:val="0"/>
          <w:color w:val="231F20"/>
          <w:spacing w:val="-3"/>
        </w:rPr>
        <w:t>être limités </w:t>
      </w:r>
      <w:r>
        <w:rPr>
          <w:b w:val="0"/>
          <w:color w:val="231F20"/>
        </w:rPr>
        <w:t>ou </w:t>
      </w:r>
      <w:r>
        <w:rPr>
          <w:b w:val="0"/>
          <w:color w:val="231F20"/>
          <w:spacing w:val="-4"/>
        </w:rPr>
        <w:t>restreints </w:t>
      </w:r>
      <w:r>
        <w:rPr>
          <w:b w:val="0"/>
          <w:color w:val="231F20"/>
        </w:rPr>
        <w:t>en </w:t>
      </w:r>
      <w:r>
        <w:rPr>
          <w:b w:val="0"/>
          <w:color w:val="231F20"/>
          <w:spacing w:val="-3"/>
        </w:rPr>
        <w:t>raison </w:t>
      </w:r>
      <w:r>
        <w:rPr>
          <w:b w:val="0"/>
          <w:color w:val="231F20"/>
        </w:rPr>
        <w:t>du </w:t>
      </w:r>
      <w:r>
        <w:rPr>
          <w:b w:val="0"/>
          <w:color w:val="231F20"/>
          <w:spacing w:val="-4"/>
        </w:rPr>
        <w:t>handicap. </w:t>
      </w:r>
      <w:r>
        <w:rPr>
          <w:b w:val="0"/>
          <w:color w:val="231F20"/>
        </w:rPr>
        <w:t>De </w:t>
      </w:r>
      <w:r>
        <w:rPr>
          <w:b w:val="0"/>
          <w:color w:val="231F20"/>
          <w:spacing w:val="-3"/>
        </w:rPr>
        <w:t>plus, </w:t>
      </w:r>
      <w:r>
        <w:rPr>
          <w:b w:val="0"/>
          <w:color w:val="231F20"/>
        </w:rPr>
        <w:t>en </w:t>
      </w:r>
      <w:r>
        <w:rPr>
          <w:b w:val="0"/>
          <w:color w:val="231F20"/>
          <w:spacing w:val="-3"/>
        </w:rPr>
        <w:t>faisant explicitement </w:t>
      </w:r>
      <w:r>
        <w:rPr>
          <w:b w:val="0"/>
          <w:color w:val="231F20"/>
          <w:spacing w:val="-4"/>
        </w:rPr>
        <w:t>référence </w:t>
      </w:r>
      <w:r>
        <w:rPr>
          <w:b w:val="0"/>
          <w:color w:val="231F20"/>
        </w:rPr>
        <w:t>à </w:t>
      </w:r>
      <w:r>
        <w:rPr>
          <w:b w:val="0"/>
          <w:color w:val="231F20"/>
          <w:spacing w:val="-3"/>
        </w:rPr>
        <w:t>la CDPH, </w:t>
      </w:r>
      <w:r>
        <w:rPr>
          <w:b w:val="0"/>
          <w:color w:val="231F20"/>
        </w:rPr>
        <w:t>les </w:t>
      </w:r>
      <w:r>
        <w:rPr>
          <w:b w:val="0"/>
          <w:color w:val="231F20"/>
          <w:spacing w:val="-3"/>
        </w:rPr>
        <w:t>États indiqueront clairement </w:t>
      </w:r>
      <w:r>
        <w:rPr>
          <w:b w:val="0"/>
          <w:color w:val="231F20"/>
        </w:rPr>
        <w:t>le </w:t>
      </w:r>
      <w:r>
        <w:rPr>
          <w:b w:val="0"/>
          <w:color w:val="231F20"/>
          <w:spacing w:val="-3"/>
        </w:rPr>
        <w:t>lien entre </w:t>
      </w:r>
      <w:r>
        <w:rPr>
          <w:b w:val="0"/>
          <w:color w:val="231F20"/>
        </w:rPr>
        <w:t>la </w:t>
      </w:r>
      <w:r>
        <w:rPr>
          <w:b w:val="0"/>
          <w:color w:val="231F20"/>
          <w:spacing w:val="-4"/>
        </w:rPr>
        <w:t>Convention </w:t>
      </w:r>
      <w:r>
        <w:rPr>
          <w:b w:val="0"/>
          <w:color w:val="231F20"/>
        </w:rPr>
        <w:t>et la </w:t>
      </w:r>
      <w:r>
        <w:rPr>
          <w:b w:val="0"/>
          <w:color w:val="231F20"/>
          <w:spacing w:val="-3"/>
        </w:rPr>
        <w:t>législation nationale.</w:t>
      </w:r>
    </w:p>
    <w:p>
      <w:pPr>
        <w:pStyle w:val="BodyText"/>
        <w:spacing w:before="8"/>
        <w:rPr>
          <w:b w:val="0"/>
          <w:sz w:val="25"/>
        </w:rPr>
      </w:pPr>
    </w:p>
    <w:p>
      <w:pPr>
        <w:pStyle w:val="Heading3"/>
        <w:rPr>
          <w:b/>
        </w:rPr>
      </w:pPr>
      <w:r>
        <w:rPr>
          <w:b/>
          <w:color w:val="FDB714"/>
        </w:rPr>
        <w:t>Définition du handicap dans la législation</w:t>
      </w:r>
    </w:p>
    <w:p>
      <w:pPr>
        <w:pStyle w:val="BodyText"/>
        <w:spacing w:line="266" w:lineRule="auto" w:before="127"/>
        <w:ind w:left="2891" w:right="314"/>
        <w:rPr>
          <w:b w:val="0"/>
        </w:rPr>
      </w:pPr>
      <w:r>
        <w:rPr>
          <w:b w:val="0"/>
          <w:color w:val="231F20"/>
        </w:rPr>
        <w:t>La CDPH précise dans son article 1(2) son approche du handicap, plus connue sous le nom de modèle social du handicap. La législation doit refléter à la fois le modèle social du handicap, qui désigne les barrières de la société comme constitutives du handicap, et le modèle des droits de l’homme, qui vise à garantir que les droits de l’homme des personnes handicapées sont respectés, protégés et peuvent être exercés.</w:t>
      </w:r>
    </w:p>
    <w:p>
      <w:pPr>
        <w:pStyle w:val="BodyText"/>
        <w:spacing w:before="4"/>
        <w:rPr>
          <w:b w:val="0"/>
          <w:sz w:val="18"/>
        </w:rPr>
      </w:pPr>
      <w:r>
        <w:rPr/>
        <w:pict>
          <v:group style="position:absolute;margin-left:144.066895pt;margin-top:12.832459pt;width:395.05pt;height:85.05pt;mso-position-horizontal-relative:page;mso-position-vertical-relative:paragraph;z-index:1984;mso-wrap-distance-left:0;mso-wrap-distance-right:0" coordorigin="2881,257" coordsize="7901,1701">
            <v:rect style="position:absolute;left:2891;top:257;width:7880;height:363" filled="true" fillcolor="#fdb714" stroked="false">
              <v:fill type="solid"/>
            </v:rect>
            <v:rect style="position:absolute;left:2891;top:620;width:7880;height:1327" filled="true" fillcolor="#fff5e4" stroked="false">
              <v:fill type="solid"/>
            </v:rect>
            <v:line style="position:absolute" from="2891,1947" to="10772,1947" stroked="true" strokeweight="1pt" strokecolor="#fdb714"/>
            <v:shape style="position:absolute;left:2881;top:257;width:7901;height:1701" type="#_x0000_t202" filled="false" stroked="false">
              <v:textbox inset="0,0,0,0">
                <w:txbxContent>
                  <w:p>
                    <w:pPr>
                      <w:spacing w:before="32"/>
                      <w:ind w:left="1624" w:right="196" w:firstLine="0"/>
                      <w:jc w:val="left"/>
                      <w:rPr>
                        <w:rFonts w:ascii="Myriad Pro" w:hAnsi="Myriad Pro"/>
                        <w:b/>
                        <w:sz w:val="22"/>
                      </w:rPr>
                    </w:pPr>
                    <w:r>
                      <w:rPr>
                        <w:rFonts w:ascii="Myriad Pro" w:hAnsi="Myriad Pro"/>
                        <w:b/>
                        <w:color w:val="FFFFFF"/>
                        <w:sz w:val="22"/>
                      </w:rPr>
                      <w:t>La CDPH en bref : Qui est concerné ? Article 1 (2)</w:t>
                    </w:r>
                  </w:p>
                  <w:p>
                    <w:pPr>
                      <w:spacing w:line="259" w:lineRule="auto" w:before="188"/>
                      <w:ind w:left="180" w:right="196" w:firstLine="0"/>
                      <w:jc w:val="left"/>
                      <w:rPr>
                        <w:rFonts w:ascii="Myriad Pro" w:hAnsi="Myriad Pro"/>
                        <w:sz w:val="20"/>
                      </w:rPr>
                    </w:pPr>
                    <w:r>
                      <w:rPr>
                        <w:rFonts w:ascii="Myriad Pro" w:hAnsi="Myriad Pro"/>
                        <w:color w:val="231F20"/>
                        <w:sz w:val="20"/>
                      </w:rPr>
                      <w:t>Par personnes handicapées on entend des personnes qui présentent des incapacités physiques, mentales, intellectuelles ou sensorielles durables dont l’interaction avec diverses barrières peut faire obstacle à leur pleine et effective participation à la société sur la base de l’égalité avec les autres.</w:t>
                    </w:r>
                  </w:p>
                </w:txbxContent>
              </v:textbox>
              <w10:wrap type="none"/>
            </v:shape>
            <w10:wrap type="topAndBottom"/>
          </v:group>
        </w:pict>
      </w:r>
    </w:p>
    <w:p>
      <w:pPr>
        <w:pStyle w:val="BodyText"/>
        <w:rPr>
          <w:b w:val="0"/>
          <w:sz w:val="18"/>
        </w:rPr>
      </w:pPr>
    </w:p>
    <w:p>
      <w:pPr>
        <w:pStyle w:val="BodyText"/>
        <w:spacing w:line="266" w:lineRule="auto" w:before="68"/>
        <w:ind w:left="2891" w:right="714"/>
        <w:rPr>
          <w:b w:val="0"/>
        </w:rPr>
      </w:pPr>
      <w:r>
        <w:rPr>
          <w:b w:val="0"/>
          <w:color w:val="231F20"/>
        </w:rPr>
        <w:t>Les éléments suivants sont des facteurs importants pour définir le handicap dans la législation. Ils sont basés sur la conception du handicap énoncée par la CDPH :</w:t>
      </w:r>
    </w:p>
    <w:p>
      <w:pPr>
        <w:pStyle w:val="BodyText"/>
        <w:spacing w:line="264" w:lineRule="auto" w:before="19"/>
        <w:ind w:left="3571" w:right="581" w:hanging="341"/>
        <w:rPr>
          <w:b w:val="0"/>
        </w:rPr>
      </w:pPr>
      <w:r>
        <w:rPr>
          <w:rFonts w:ascii="Arial" w:hAnsi="Arial"/>
          <w:color w:val="FDB714"/>
          <w:sz w:val="26"/>
        </w:rPr>
        <w:t>► </w:t>
      </w:r>
      <w:r>
        <w:rPr>
          <w:b w:val="0"/>
          <w:color w:val="231F20"/>
        </w:rPr>
        <w:t>La Convention ne limite pas sa couverture à des personnes en particulier ; elle identifie toute personne présentant des incapacités physiques, mentales,</w:t>
      </w:r>
    </w:p>
    <w:p>
      <w:pPr>
        <w:pStyle w:val="BodyText"/>
        <w:spacing w:line="266" w:lineRule="auto" w:before="3"/>
        <w:ind w:left="3571" w:right="314"/>
        <w:rPr>
          <w:b w:val="0"/>
          <w:sz w:val="13"/>
        </w:rPr>
      </w:pPr>
      <w:r>
        <w:rPr>
          <w:b w:val="0"/>
          <w:color w:val="231F20"/>
        </w:rPr>
        <w:t>intellectuelles ou sensorielles durables comme bénéficiaire de la Convention. La Convention offre un « plancher » et non un « plafond » pour déterminer qui est concerné – et indique que les parties doivent également assurer la protection d’autres personnes, telles que celles présentant des incapacités temporaires ou qui sont perçues comme faisant partie des groupes concernés.</w:t>
      </w:r>
      <w:r>
        <w:rPr>
          <w:b w:val="0"/>
          <w:color w:val="231F20"/>
          <w:position w:val="7"/>
          <w:sz w:val="13"/>
        </w:rPr>
        <w:t>3</w:t>
      </w:r>
    </w:p>
    <w:p>
      <w:pPr>
        <w:pStyle w:val="BodyText"/>
        <w:spacing w:before="11"/>
        <w:rPr>
          <w:b w:val="0"/>
          <w:sz w:val="17"/>
        </w:rPr>
      </w:pPr>
      <w:r>
        <w:rPr/>
        <w:pict>
          <v:line style="position:absolute;mso-position-horizontal-relative:page;mso-position-vertical-relative:paragraph;z-index:2008;mso-wrap-distance-left:0;mso-wrap-distance-right:0" from="144.567001pt,12.853648pt" to="243.780001pt,12.853648pt" stroked="true" strokeweight=".5pt" strokecolor="#231f20">
            <w10:wrap type="topAndBottom"/>
          </v:line>
        </w:pict>
      </w:r>
    </w:p>
    <w:p>
      <w:pPr>
        <w:tabs>
          <w:tab w:pos="3151" w:val="left" w:leader="none"/>
        </w:tabs>
        <w:spacing w:line="180" w:lineRule="exact" w:before="87"/>
        <w:ind w:left="3151" w:right="595" w:hanging="260"/>
        <w:jc w:val="left"/>
        <w:rPr>
          <w:b w:val="0"/>
          <w:sz w:val="17"/>
        </w:rPr>
      </w:pPr>
      <w:r>
        <w:rPr>
          <w:b w:val="0"/>
          <w:color w:val="231F20"/>
          <w:position w:val="6"/>
          <w:sz w:val="10"/>
        </w:rPr>
        <w:t>3</w:t>
        <w:tab/>
      </w:r>
      <w:r>
        <w:rPr>
          <w:b w:val="0"/>
          <w:color w:val="231F20"/>
          <w:sz w:val="17"/>
        </w:rPr>
        <w:t>Département des affaires économiques et sociales des Nations Unies, Questions fréquentes</w:t>
      </w:r>
      <w:r>
        <w:rPr>
          <w:b w:val="0"/>
          <w:color w:val="231F20"/>
          <w:spacing w:val="-2"/>
          <w:sz w:val="17"/>
        </w:rPr>
        <w:t> </w:t>
      </w:r>
      <w:r>
        <w:rPr>
          <w:b w:val="0"/>
          <w:color w:val="231F20"/>
          <w:sz w:val="17"/>
        </w:rPr>
        <w:t>concernant</w:t>
      </w:r>
      <w:r>
        <w:rPr>
          <w:b w:val="0"/>
          <w:color w:val="231F20"/>
          <w:spacing w:val="-1"/>
          <w:sz w:val="17"/>
        </w:rPr>
        <w:t> </w:t>
      </w:r>
      <w:r>
        <w:rPr>
          <w:b w:val="0"/>
          <w:color w:val="231F20"/>
          <w:sz w:val="17"/>
        </w:rPr>
        <w:t>la Convention relative aux droits des personnes handicapées, disponible à l’adresse : </w:t>
      </w:r>
      <w:hyperlink r:id="rId18">
        <w:r>
          <w:rPr>
            <w:b w:val="0"/>
            <w:color w:val="FDB714"/>
            <w:sz w:val="17"/>
          </w:rPr>
          <w:t>http://www.un.org/</w:t>
        </w:r>
      </w:hyperlink>
      <w:r>
        <w:rPr>
          <w:b w:val="0"/>
          <w:color w:val="FDB714"/>
          <w:sz w:val="17"/>
        </w:rPr>
        <w:t> </w:t>
      </w:r>
      <w:hyperlink r:id="rId18">
        <w:r>
          <w:rPr>
            <w:b w:val="0"/>
            <w:color w:val="FDB714"/>
            <w:sz w:val="17"/>
          </w:rPr>
          <w:t>disabilities/default.asp?id=151</w:t>
        </w:r>
      </w:hyperlink>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152"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10822;top:5420;width:180;height:296" type="#_x0000_t75" stroked="false">
              <v:imagedata r:id="rId19" o:title=""/>
            </v:shape>
            <v:shape style="position:absolute;left:9790;top:4528;width:1157;height:1332" coordorigin="9790,4528" coordsize="1157,1332" path="m10941,4999l10941,5000,10942,5002,10943,5003,10943,5002,10945,5005,10945,5009,10945,5012,10945,5015,10946,5019,10947,5022,10947,5027,10947,5028,10947,5028,10946,5032,10940,5043,10939,5047,10934,5059,10927,5075,10918,5092,10912,5105,10907,5115,10902,5123,10896,5131,10890,5140,10882,5152,10836,5193,10826,5201,10817,5210,10806,5225,10796,5237,10785,5249,10775,5261,10745,5313,10739,5335,10741,5334,10744,5337,10751,5347,10748,5365,10748,5375,10751,5390,10756,5398,10762,5405,10767,5414,10768,5418,10766,5434,10766,5441,10767,5460,10767,5479,10765,5497,10758,5514,10747,5525,10734,5533,10720,5539,10707,5548,10703,5551,10693,5563,10686,5569,10684,5572,10681,5573,10679,5576,10674,5580,10669,5586,10664,5589,10666,5600,10671,5615,10675,5636,10674,5659,10672,5672,10663,5673,10652,5679,10647,5681,10643,5683,10638,5685,10633,5688,10631,5691,10626,5694,10628,5702,10630,5705,10629,5711,10625,5725,10618,5741,10610,5751,10602,5760,10592,5773,10586,5783,10580,5791,10574,5797,10565,5805,10558,5812,10530,5836,10528,5838,10501,5845,10488,5847,10468,5847,10450,5849,10432,5854,10416,5859,10401,5860,10394,5859,10392,5855,10389,5851,10385,5845,10385,5848,10383,5837,10382,5832,10380,5825,10381,5821,10382,5814,10383,5809,10381,5803,10378,5793,10371,5785,10368,5776,10364,5766,10360,5756,10355,5748,10349,5739,10343,5735,10338,5725,10333,5710,10330,5692,10327,5674,10325,5658,10323,5639,10318,5626,10313,5614,10305,5598,10301,5589,10297,5579,10292,5571,10286,5559,10281,5561,10280,5543,10294,5468,10319,5436,10314,5420,10310,5410,10304,5401,10302,5392,10302,5385,10304,5380,10304,5372,10278,5305,10257,5279,10245,5265,10235,5249,10229,5230,10233,5228,10233,5228,10239,5228,10239,5223,10238,5219,10239,5214,10241,5202,10243,5190,10246,5178,10248,5168,10249,5162,10244,5154,10240,5148,10236,5143,10229,5140,10224,5137,10208,5136,10203,5137,10195,5140,10188,5142,10179,5138,10169,5122,10166,5117,10162,5108,10159,5103,10103,5111,10094,5115,10075,5123,10063,5129,10052,5132,10037,5130,10019,5126,10004,5126,9990,5129,9973,5135,9961,5139,9957,5143,9944,5137,9927,5126,9912,5113,9897,5100,9878,5088,9872,5084,9862,5074,9859,5068,9855,5059,9858,5047,9850,5039,9840,5030,9841,5035,9831,5020,9816,5004,9807,4997,9803,4990,9802,4973,9802,4961,9797,4957,9790,4946,9792,4944,9797,4942,9799,4939,9808,4930,9810,4915,9814,4902,9815,4887,9813,4874,9811,4864,9811,4858,9813,4853,9814,4851,9814,4844,9805,4837,9802,4829,9804,4819,9836,4770,9840,4764,9843,4758,9843,4751,9847,4745,9853,4733,9863,4727,9869,4716,9875,4706,9872,4708,9883,4704,9889,4701,9930,4656,9932,4645,9937,4628,9944,4611,9947,4609,9963,4602,9981,4590,9989,4579,9993,4569,9999,4560,10006,4555,10009,4563,10015,4566,10021,4570,10028,4569,10036,4569,10045,4568,10052,4571,10061,4571,10069,4571,10072,4565,10078,4562,10096,4553,10118,4546,10140,4541,10160,4540,10168,4540,10176,4542,10184,4540,10193,4538,10194,4537,10206,4537,10224,4537,10231,4536,10233,4535,10240,4532,10258,4528,10250,4534,10260,4537,10264,4538,10267,4538,10270,4540,10268,4545,10262,4551,10261,4556,10265,4559,10274,4569,10269,4576,10265,4582,10257,4586,10255,4593,10259,4597,10267,4600,10272,4604,10279,4608,10283,4610,10293,4612,10304,4613,10316,4615,10327,4618,10336,4625,10341,4631,10340,4636,10349,4640,10357,4643,10365,4644,10375,4647,10390,4655,10396,4659,10407,4660,10412,4654,10413,4646,10411,4643,10410,4636,10413,4625,10422,4617,10435,4612,10448,4613,10459,4616,10467,4623,10477,4627,10483,4629,10487,4628,10493,4631,10505,4636,10518,4639,10531,4642,10543,4645,10548,4646,10555,4649,10561,4649,10569,4650,10570,4645,10575,4642,10586,4635,10595,4636,10608,4640,10625,4644,10628,4644,10645,4641,10652,4659,10656,4671,10656,4683,10651,4704,10649,4708,10638,4708,10642,4719,10650,4735,10658,4751,10665,4763,10672,4776,10673,4770,10678,4777,10675,4787,10676,4793,10681,4798,10692,4807,10699,4813,10695,4809,10699,4818,10703,4832,10727,4884,10732,4893,10741,4915,10747,4930,10754,4938,10763,4944,10774,4952,10812,5000,10814,5011,10828,5024,10835,5026,10844,5023,10861,5019,10873,5018,10874,5013,10888,5011,10937,4993,10941,4999xe" filled="false" stroked="true" strokeweight="2.798pt" strokecolor="#fdb714">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6" w:lineRule="auto" w:before="67"/>
        <w:ind w:left="793" w:right="2826" w:hanging="341"/>
        <w:rPr>
          <w:b w:val="0"/>
        </w:rPr>
      </w:pPr>
      <w:r>
        <w:rPr>
          <w:rFonts w:ascii="Arial" w:hAnsi="Arial"/>
          <w:color w:val="FDB714"/>
          <w:sz w:val="26"/>
        </w:rPr>
        <w:t>► </w:t>
      </w:r>
      <w:r>
        <w:rPr>
          <w:b w:val="0"/>
          <w:color w:val="231F20"/>
          <w:spacing w:val="-3"/>
        </w:rPr>
        <w:t>L’article </w:t>
      </w:r>
      <w:r>
        <w:rPr>
          <w:b w:val="0"/>
          <w:color w:val="231F20"/>
        </w:rPr>
        <w:t>1 de la CDPH définit les incapacités comme pouvant être « physiques, mentales, intellectuelles ou sensorielles ». La CDPH protège les droits de l’homme de toutes les personnes handicapées, quelles que soient leurs incapacités. Les lois </w:t>
      </w:r>
      <w:r>
        <w:rPr>
          <w:b w:val="0"/>
          <w:color w:val="231F20"/>
          <w:spacing w:val="-6"/>
        </w:rPr>
        <w:t>restreignant </w:t>
      </w:r>
      <w:r>
        <w:rPr>
          <w:b w:val="0"/>
          <w:color w:val="231F20"/>
          <w:spacing w:val="-4"/>
        </w:rPr>
        <w:t>les </w:t>
      </w:r>
      <w:r>
        <w:rPr>
          <w:b w:val="0"/>
          <w:color w:val="231F20"/>
          <w:spacing w:val="-5"/>
        </w:rPr>
        <w:t>droits </w:t>
      </w:r>
      <w:r>
        <w:rPr>
          <w:b w:val="0"/>
          <w:color w:val="231F20"/>
          <w:spacing w:val="-3"/>
        </w:rPr>
        <w:t>en se </w:t>
      </w:r>
      <w:r>
        <w:rPr>
          <w:b w:val="0"/>
          <w:color w:val="231F20"/>
          <w:spacing w:val="-5"/>
        </w:rPr>
        <w:t>fondant </w:t>
      </w:r>
      <w:r>
        <w:rPr>
          <w:b w:val="0"/>
          <w:color w:val="231F20"/>
          <w:spacing w:val="-4"/>
        </w:rPr>
        <w:t>sur </w:t>
      </w:r>
      <w:r>
        <w:rPr>
          <w:b w:val="0"/>
          <w:color w:val="231F20"/>
          <w:spacing w:val="-3"/>
        </w:rPr>
        <w:t>un type </w:t>
      </w:r>
      <w:r>
        <w:rPr>
          <w:b w:val="0"/>
          <w:color w:val="231F20"/>
          <w:spacing w:val="-6"/>
        </w:rPr>
        <w:t>d’incapacité, </w:t>
      </w:r>
      <w:r>
        <w:rPr>
          <w:b w:val="0"/>
          <w:color w:val="231F20"/>
          <w:spacing w:val="-4"/>
        </w:rPr>
        <w:t>par </w:t>
      </w:r>
      <w:r>
        <w:rPr>
          <w:b w:val="0"/>
          <w:color w:val="231F20"/>
          <w:spacing w:val="-5"/>
        </w:rPr>
        <w:t>exemple </w:t>
      </w:r>
      <w:r>
        <w:rPr>
          <w:b w:val="0"/>
          <w:color w:val="231F20"/>
          <w:spacing w:val="-3"/>
        </w:rPr>
        <w:t>en </w:t>
      </w:r>
      <w:r>
        <w:rPr>
          <w:b w:val="0"/>
          <w:color w:val="231F20"/>
          <w:spacing w:val="-6"/>
        </w:rPr>
        <w:t>refusant </w:t>
      </w:r>
      <w:r>
        <w:rPr>
          <w:b w:val="0"/>
          <w:color w:val="231F20"/>
        </w:rPr>
        <w:t>l'éducation aux personnes présentant un handicap intellectuel, violent la CDPH.</w:t>
      </w:r>
    </w:p>
    <w:p>
      <w:pPr>
        <w:pStyle w:val="BodyText"/>
        <w:spacing w:line="266" w:lineRule="auto" w:before="114"/>
        <w:ind w:left="113" w:right="3271"/>
        <w:rPr>
          <w:b w:val="0"/>
        </w:rPr>
      </w:pPr>
      <w:r>
        <w:rPr>
          <w:b w:val="0"/>
          <w:color w:val="231F20"/>
        </w:rPr>
        <w:t>La terminologie utilisée dans les lois nationales concernant le handicap doit aussi être mise en conformité avec la Convention et harmonisée dans toutes les lois nationales. Un soin particulier doit être porté à l’élimination de la terminologie qui reflète des perspectives obsolètes sur le handicap et perpétue les stéréotypes néfastes.</w:t>
      </w:r>
    </w:p>
    <w:p>
      <w:pPr>
        <w:pStyle w:val="BodyText"/>
        <w:spacing w:before="1"/>
        <w:rPr>
          <w:b w:val="0"/>
          <w:sz w:val="23"/>
        </w:rPr>
      </w:pPr>
      <w:r>
        <w:rPr/>
        <w:pict>
          <v:group style="position:absolute;margin-left:56.192902pt;margin-top:15.668041pt;width:394.05pt;height:147.550pt;mso-position-horizontal-relative:page;mso-position-vertical-relative:paragraph;z-index:2104;mso-wrap-distance-left:0;mso-wrap-distance-right:0" coordorigin="1124,313" coordsize="7881,2951">
            <v:rect style="position:absolute;left:1134;top:323;width:7860;height:2930" filled="true" fillcolor="#e6e7e8" stroked="false">
              <v:fill type="solid"/>
            </v:rect>
            <v:rect style="position:absolute;left:1134;top:313;width:7860;height:20" filled="true" fillcolor="#231f20" stroked="false">
              <v:fill type="solid"/>
            </v:rect>
            <v:line style="position:absolute" from="1134,3254" to="8994,3254" stroked="true" strokeweight="1pt" strokecolor="#231f20"/>
            <v:shape style="position:absolute;left:1134;top:323;width:7861;height:2931" type="#_x0000_t202" filled="false" stroked="false">
              <v:textbox inset="0,0,0,0">
                <w:txbxContent>
                  <w:p>
                    <w:pPr>
                      <w:spacing w:before="61"/>
                      <w:ind w:left="2435" w:right="167" w:firstLine="0"/>
                      <w:jc w:val="left"/>
                      <w:rPr>
                        <w:rFonts w:ascii="Myriad Pro"/>
                        <w:b/>
                        <w:sz w:val="22"/>
                      </w:rPr>
                    </w:pPr>
                    <w:r>
                      <w:rPr>
                        <w:rFonts w:ascii="Myriad Pro"/>
                        <w:b/>
                        <w:color w:val="231F20"/>
                        <w:sz w:val="22"/>
                      </w:rPr>
                      <w:t>Point sur la situation nationale</w:t>
                    </w:r>
                  </w:p>
                  <w:p>
                    <w:pPr>
                      <w:spacing w:line="259" w:lineRule="auto" w:before="71"/>
                      <w:ind w:left="79" w:right="167" w:firstLine="0"/>
                      <w:jc w:val="left"/>
                      <w:rPr>
                        <w:rFonts w:ascii="Myriad Pro" w:hAnsi="Myriad Pro"/>
                        <w:sz w:val="20"/>
                      </w:rPr>
                    </w:pPr>
                    <w:r>
                      <w:rPr>
                        <w:rFonts w:ascii="Myriad Pro" w:hAnsi="Myriad Pro"/>
                        <w:color w:val="231F20"/>
                        <w:sz w:val="20"/>
                      </w:rPr>
                      <w:t>Le Congrès des États-Unis a voté en décembre 2012 le retrait du terme « fou » (« lunatic » en anglais) de la législation fédérale. Il s'agit là de l’effort le plus récent pour éliminer un terme obsolète ou dégradant du langage du code juridique américain. En 2010, le Congrès des États-Unis avait retiré de la loi fédérale toute référence au terme « retard mental » (« mental retardation » en anglais). Ces termes obsolètes et offensants servaient uniquement à perpétuer la stigmatisation et la discrimination.</w:t>
                    </w:r>
                  </w:p>
                  <w:p>
                    <w:pPr>
                      <w:spacing w:line="259" w:lineRule="auto" w:before="113"/>
                      <w:ind w:left="79" w:right="0" w:firstLine="0"/>
                      <w:jc w:val="left"/>
                      <w:rPr>
                        <w:rFonts w:ascii="Myriad Pro" w:hAnsi="Myriad Pro"/>
                        <w:sz w:val="20"/>
                      </w:rPr>
                    </w:pPr>
                    <w:r>
                      <w:rPr>
                        <w:rFonts w:ascii="Myriad Pro" w:hAnsi="Myriad Pro"/>
                        <w:color w:val="231F20"/>
                        <w:sz w:val="20"/>
                      </w:rPr>
                      <w:t>Comment le handicap est-il défini dans la législation de votre pays ? Existe-t-il une ou plusieurs définitions dans le cadre juridique ? L’article 1 de la CDPH se reflète-t-il dans la(les) définition(s) des lois ou politiques de votre pays ?</w:t>
                    </w:r>
                  </w:p>
                </w:txbxContent>
              </v:textbox>
              <w10:wrap type="none"/>
            </v:shape>
            <w10:wrap type="topAndBottom"/>
          </v:group>
        </w:pict>
      </w:r>
    </w:p>
    <w:p>
      <w:pPr>
        <w:pStyle w:val="BodyText"/>
        <w:rPr>
          <w:b w:val="0"/>
          <w:sz w:val="20"/>
        </w:rPr>
      </w:pPr>
    </w:p>
    <w:p>
      <w:pPr>
        <w:pStyle w:val="BodyText"/>
        <w:spacing w:before="7"/>
        <w:rPr>
          <w:b w:val="0"/>
          <w:sz w:val="15"/>
        </w:rPr>
      </w:pPr>
    </w:p>
    <w:p>
      <w:pPr>
        <w:pStyle w:val="Heading3"/>
        <w:spacing w:line="320" w:lineRule="exact" w:before="66"/>
        <w:ind w:left="113" w:right="2929"/>
        <w:rPr>
          <w:b/>
        </w:rPr>
      </w:pPr>
      <w:r>
        <w:rPr>
          <w:b/>
          <w:color w:val="FDB714"/>
        </w:rPr>
        <w:t>Aligner la législation domestique sur les principes des droits relatifs au handicap</w:t>
      </w:r>
    </w:p>
    <w:p>
      <w:pPr>
        <w:pStyle w:val="BodyText"/>
        <w:spacing w:line="266" w:lineRule="auto" w:before="133"/>
        <w:ind w:left="113" w:right="2929"/>
        <w:rPr>
          <w:b w:val="0"/>
        </w:rPr>
      </w:pPr>
      <w:r>
        <w:rPr>
          <w:b w:val="0"/>
          <w:color w:val="231F20"/>
        </w:rPr>
        <w:t>Les principes généraux de la CDPH sont définis dans son article 3 et doivent être utilisés pour développer et réformer la législation nationale. Ces principes s'appliquent à tous les articles de la CDPH et incluent :</w:t>
      </w:r>
    </w:p>
    <w:p>
      <w:pPr>
        <w:pStyle w:val="BodyText"/>
        <w:spacing w:line="264" w:lineRule="auto" w:before="19"/>
        <w:ind w:left="793" w:right="3152" w:hanging="341"/>
        <w:rPr>
          <w:b w:val="0"/>
        </w:rPr>
      </w:pPr>
      <w:r>
        <w:rPr>
          <w:rFonts w:ascii="Arial" w:hAnsi="Arial"/>
          <w:color w:val="FDB714"/>
          <w:sz w:val="26"/>
        </w:rPr>
        <w:t>► </w:t>
      </w:r>
      <w:r>
        <w:rPr>
          <w:b w:val="0"/>
          <w:color w:val="231F20"/>
        </w:rPr>
        <w:t>le respect de la dignité de la personne, de sa liberté de faire des choix et de son indépendance ;</w:t>
      </w:r>
    </w:p>
    <w:p>
      <w:pPr>
        <w:pStyle w:val="BodyText"/>
        <w:spacing w:before="21"/>
        <w:ind w:left="453"/>
        <w:rPr>
          <w:b w:val="0"/>
        </w:rPr>
      </w:pPr>
      <w:r>
        <w:rPr>
          <w:rFonts w:ascii="Arial" w:hAnsi="Arial"/>
          <w:color w:val="FDB714"/>
          <w:sz w:val="26"/>
        </w:rPr>
        <w:t>► </w:t>
      </w:r>
      <w:r>
        <w:rPr>
          <w:b w:val="0"/>
          <w:color w:val="231F20"/>
        </w:rPr>
        <w:t>la non-discrimination ;</w:t>
      </w:r>
    </w:p>
    <w:p>
      <w:pPr>
        <w:pStyle w:val="BodyText"/>
        <w:spacing w:before="47"/>
        <w:ind w:left="453"/>
        <w:rPr>
          <w:b w:val="0"/>
        </w:rPr>
      </w:pPr>
      <w:r>
        <w:rPr>
          <w:rFonts w:ascii="Arial" w:hAnsi="Arial"/>
          <w:color w:val="FDB714"/>
          <w:sz w:val="26"/>
        </w:rPr>
        <w:t>► </w:t>
      </w:r>
      <w:r>
        <w:rPr>
          <w:b w:val="0"/>
          <w:color w:val="231F20"/>
        </w:rPr>
        <w:t>la participation et l’intégration pleines et effectives à la société ;</w:t>
      </w:r>
    </w:p>
    <w:p>
      <w:pPr>
        <w:pStyle w:val="BodyText"/>
        <w:spacing w:line="264" w:lineRule="auto" w:before="47"/>
        <w:ind w:left="793" w:right="3012" w:hanging="341"/>
        <w:rPr>
          <w:b w:val="0"/>
        </w:rPr>
      </w:pPr>
      <w:r>
        <w:rPr>
          <w:rFonts w:ascii="Arial" w:hAnsi="Arial"/>
          <w:color w:val="FDB714"/>
          <w:sz w:val="26"/>
        </w:rPr>
        <w:t>► </w:t>
      </w:r>
      <w:r>
        <w:rPr>
          <w:b w:val="0"/>
          <w:color w:val="231F20"/>
        </w:rPr>
        <w:t>le respect des différences de chacun et l’acceptation des personnes handicapées comme faisant partie de la diversité humaine et de l’humanité ;</w:t>
      </w:r>
    </w:p>
    <w:p>
      <w:pPr>
        <w:pStyle w:val="BodyText"/>
        <w:spacing w:before="21"/>
        <w:ind w:left="453"/>
        <w:rPr>
          <w:b w:val="0"/>
        </w:rPr>
      </w:pPr>
      <w:r>
        <w:rPr>
          <w:rFonts w:ascii="Arial" w:hAnsi="Arial"/>
          <w:color w:val="FDB714"/>
          <w:sz w:val="26"/>
        </w:rPr>
        <w:t>► </w:t>
      </w:r>
      <w:r>
        <w:rPr>
          <w:b w:val="0"/>
          <w:color w:val="231F20"/>
        </w:rPr>
        <w:t>l’égalité des chances ;</w:t>
      </w:r>
    </w:p>
    <w:p>
      <w:pPr>
        <w:pStyle w:val="BodyText"/>
        <w:spacing w:before="47"/>
        <w:ind w:left="453"/>
        <w:rPr>
          <w:b w:val="0"/>
        </w:rPr>
      </w:pPr>
      <w:r>
        <w:rPr>
          <w:rFonts w:ascii="Arial" w:hAnsi="Arial"/>
          <w:color w:val="FDB714"/>
          <w:sz w:val="26"/>
        </w:rPr>
        <w:t>► </w:t>
      </w:r>
      <w:r>
        <w:rPr>
          <w:b w:val="0"/>
          <w:color w:val="231F20"/>
        </w:rPr>
        <w:t>l’accessibilité ;</w:t>
      </w:r>
    </w:p>
    <w:p>
      <w:pPr>
        <w:pStyle w:val="BodyText"/>
        <w:spacing w:before="47"/>
        <w:ind w:left="453"/>
        <w:rPr>
          <w:b w:val="0"/>
          <w:i/>
        </w:rPr>
      </w:pPr>
      <w:r>
        <w:rPr>
          <w:rFonts w:ascii="Arial" w:hAnsi="Arial"/>
          <w:color w:val="FDB714"/>
          <w:sz w:val="26"/>
        </w:rPr>
        <w:t>► </w:t>
      </w:r>
      <w:r>
        <w:rPr>
          <w:b w:val="0"/>
          <w:color w:val="231F20"/>
        </w:rPr>
        <w:t>l’égalité entre les hommes et les femmes ; </w:t>
      </w:r>
      <w:r>
        <w:rPr>
          <w:b w:val="0"/>
          <w:i/>
          <w:color w:val="231F20"/>
        </w:rPr>
        <w:t>et</w:t>
      </w:r>
    </w:p>
    <w:p>
      <w:pPr>
        <w:pStyle w:val="BodyText"/>
        <w:spacing w:line="264" w:lineRule="auto" w:before="47"/>
        <w:ind w:left="793" w:right="2929" w:hanging="341"/>
        <w:rPr>
          <w:b w:val="0"/>
        </w:rPr>
      </w:pPr>
      <w:r>
        <w:rPr>
          <w:rFonts w:ascii="Arial" w:hAnsi="Arial"/>
          <w:color w:val="FDB714"/>
          <w:sz w:val="26"/>
        </w:rPr>
        <w:t>► </w:t>
      </w:r>
      <w:r>
        <w:rPr>
          <w:b w:val="0"/>
          <w:color w:val="231F20"/>
        </w:rPr>
        <w:t>le respect du développement des capacités de l’enfant handicapé à exercer ses propres droits et à préserver son identité.</w:t>
      </w:r>
    </w:p>
    <w:p>
      <w:pPr>
        <w:pStyle w:val="BodyText"/>
        <w:spacing w:before="10"/>
        <w:rPr>
          <w:b w:val="0"/>
          <w:sz w:val="25"/>
        </w:rPr>
      </w:pPr>
    </w:p>
    <w:p>
      <w:pPr>
        <w:pStyle w:val="Heading3"/>
        <w:ind w:left="113"/>
        <w:rPr>
          <w:b/>
        </w:rPr>
      </w:pPr>
      <w:r>
        <w:rPr>
          <w:b/>
          <w:color w:val="FDB714"/>
        </w:rPr>
        <w:t>Garantir l’égalité et la non-discrimination</w:t>
      </w:r>
    </w:p>
    <w:p>
      <w:pPr>
        <w:pStyle w:val="BodyText"/>
        <w:spacing w:line="266" w:lineRule="auto" w:before="127"/>
        <w:ind w:left="113" w:right="3470"/>
        <w:rPr>
          <w:b w:val="0"/>
        </w:rPr>
      </w:pPr>
      <w:r>
        <w:rPr>
          <w:b w:val="0"/>
          <w:color w:val="231F20"/>
        </w:rPr>
        <w:t>En ce qui concerne la non-discrimination, les États parties doivent interdire la discrimination en raison du handicap dans tous les domaines couverts par la CDPH, y compris le refus d'aménagements raisonnables. Cela peut nécessiter une révision des dispositions existantes de la constitution ou des lois fondamentales sur la non-</w:t>
      </w:r>
    </w:p>
    <w:p>
      <w:pPr>
        <w:pStyle w:val="BodyText"/>
        <w:spacing w:line="266" w:lineRule="auto"/>
        <w:ind w:left="113" w:right="2929"/>
        <w:rPr>
          <w:b w:val="0"/>
        </w:rPr>
      </w:pPr>
      <w:r>
        <w:rPr>
          <w:b w:val="0"/>
          <w:color w:val="231F20"/>
        </w:rPr>
        <w:t>discrimination, afin de garantir l’égalité des personnes handicapées et d’interdire de se baser sur le handicap pour créer des discriminations. D’autre part, les lois régissant des</w:t>
      </w:r>
    </w:p>
    <w:p>
      <w:pPr>
        <w:pStyle w:val="BodyText"/>
        <w:rPr>
          <w:b w:val="0"/>
          <w:sz w:val="20"/>
        </w:rPr>
      </w:pPr>
    </w:p>
    <w:p>
      <w:pPr>
        <w:pStyle w:val="BodyText"/>
        <w:spacing w:before="8"/>
        <w:rPr>
          <w:b w:val="0"/>
          <w:sz w:val="18"/>
        </w:rPr>
      </w:pPr>
    </w:p>
    <w:p>
      <w:pPr>
        <w:spacing w:before="0"/>
        <w:ind w:left="4012"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7240"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94"/>
        <w:rPr>
          <w:b w:val="0"/>
        </w:rPr>
      </w:pPr>
      <w:r>
        <w:rPr>
          <w:b w:val="0"/>
          <w:color w:val="231F20"/>
        </w:rPr>
        <w:t>secteurs spécifiques, tels que l’éducation, l’emploi ou la participation politique, doivent aussi être amendées si nécessaire, afin d’inclure l’interdiction de toute discrimination en raison du handicap. Les mesures antidiscrimination doivent s'appliquer au secteur privé comme aux institutions publiques.</w:t>
      </w:r>
    </w:p>
    <w:p>
      <w:pPr>
        <w:pStyle w:val="BodyText"/>
        <w:spacing w:before="8"/>
        <w:rPr>
          <w:b w:val="0"/>
          <w:sz w:val="14"/>
        </w:rPr>
      </w:pPr>
    </w:p>
    <w:p>
      <w:pPr>
        <w:pStyle w:val="Heading5"/>
        <w:spacing w:before="58"/>
        <w:ind w:left="3643"/>
      </w:pPr>
      <w:r>
        <w:rPr/>
        <w:pict>
          <v:group style="position:absolute;margin-left:144.066895pt;margin-top:1.276794pt;width:395.05pt;height:566.9pt;mso-position-horizontal-relative:page;mso-position-vertical-relative:paragraph;z-index:-67216" coordorigin="2881,26" coordsize="7901,11338">
            <v:rect style="position:absolute;left:2891;top:26;width:7880;height:363" filled="true" fillcolor="#fdb714" stroked="false">
              <v:fill type="solid"/>
            </v:rect>
            <v:rect style="position:absolute;left:2891;top:389;width:7880;height:10964" filled="true" fillcolor="#fff5e4" stroked="false">
              <v:fill type="solid"/>
            </v:rect>
            <v:line style="position:absolute" from="2891,11353" to="10772,11353" stroked="true" strokeweight="1pt" strokecolor="#fdb714"/>
            <w10:wrap type="none"/>
          </v:group>
        </w:pict>
      </w:r>
      <w:r>
        <w:rPr>
          <w:color w:val="FFFFFF"/>
        </w:rPr>
        <w:t>Types de législation en matière d’égalité et de non-discrimination</w:t>
      </w:r>
    </w:p>
    <w:p>
      <w:pPr>
        <w:spacing w:line="259" w:lineRule="auto" w:before="188"/>
        <w:ind w:left="3061" w:right="281" w:firstLine="0"/>
        <w:jc w:val="left"/>
        <w:rPr>
          <w:rFonts w:ascii="Myriad Pro" w:hAnsi="Myriad Pro"/>
          <w:sz w:val="20"/>
        </w:rPr>
      </w:pPr>
      <w:r>
        <w:rPr>
          <w:rFonts w:ascii="Myriad Pro" w:hAnsi="Myriad Pro"/>
          <w:color w:val="231F20"/>
          <w:spacing w:val="-4"/>
          <w:sz w:val="20"/>
        </w:rPr>
        <w:t>L’obligation </w:t>
      </w:r>
      <w:r>
        <w:rPr>
          <w:rFonts w:ascii="Myriad Pro" w:hAnsi="Myriad Pro"/>
          <w:color w:val="231F20"/>
          <w:sz w:val="20"/>
        </w:rPr>
        <w:t>d’interdire toute discrimination fondée sur le handicap et de garantir une protection égale et effective aux personnes handicapées (art. 5) nécessite que</w:t>
      </w:r>
      <w:r>
        <w:rPr>
          <w:rFonts w:ascii="Myriad Pro" w:hAnsi="Myriad Pro"/>
          <w:color w:val="231F20"/>
          <w:spacing w:val="-27"/>
          <w:sz w:val="20"/>
        </w:rPr>
        <w:t> </w:t>
      </w:r>
      <w:r>
        <w:rPr>
          <w:rFonts w:ascii="Myriad Pro" w:hAnsi="Myriad Pro"/>
          <w:color w:val="231F20"/>
          <w:sz w:val="20"/>
        </w:rPr>
        <w:t>l’interdiction soit intégrée dans les lois nationales et, de préférence, dans la constitution, mais aussi que des dispositions législatives détaillées concernant la discrimination dans tous les domaines de la vie publique et de la sphère privée soient adoptées. La forme exacte que doivent prendre ces dispositions dépendra des lois existantes et du système juridique particulier de l’État partie</w:t>
      </w:r>
      <w:r>
        <w:rPr>
          <w:rFonts w:ascii="Myriad Pro" w:hAnsi="Myriad Pro"/>
          <w:color w:val="231F20"/>
          <w:spacing w:val="-4"/>
          <w:sz w:val="20"/>
        </w:rPr>
        <w:t> </w:t>
      </w:r>
      <w:r>
        <w:rPr>
          <w:rFonts w:ascii="Myriad Pro" w:hAnsi="Myriad Pro"/>
          <w:color w:val="231F20"/>
          <w:sz w:val="20"/>
        </w:rPr>
        <w:t>concerné.</w:t>
      </w:r>
    </w:p>
    <w:p>
      <w:pPr>
        <w:spacing w:line="259" w:lineRule="auto" w:before="57"/>
        <w:ind w:left="3061" w:right="468" w:firstLine="0"/>
        <w:jc w:val="left"/>
        <w:rPr>
          <w:rFonts w:ascii="Myriad Pro" w:hAnsi="Myriad Pro"/>
          <w:sz w:val="20"/>
        </w:rPr>
      </w:pPr>
      <w:r>
        <w:rPr>
          <w:rFonts w:ascii="Myriad Pro" w:hAnsi="Myriad Pro"/>
          <w:color w:val="231F20"/>
          <w:sz w:val="20"/>
        </w:rPr>
        <w:t>Certains pays disposent de lois antidiscrimination générales complètes, qui couvrent de multiples fondements prohibés de discrimination ; d'autres ont des lois individuelles qui traitent les différentes formes de discrimination, comme celles basées sur le sexe, l’âge ou l'état civil, ou qui abordent la discrimination dans des domaines particuliers tels que l’emploi.</w:t>
      </w:r>
    </w:p>
    <w:p>
      <w:pPr>
        <w:spacing w:line="259" w:lineRule="auto" w:before="57"/>
        <w:ind w:left="3061" w:right="94" w:firstLine="0"/>
        <w:jc w:val="left"/>
        <w:rPr>
          <w:rFonts w:ascii="Myriad Pro" w:hAnsi="Myriad Pro"/>
          <w:sz w:val="20"/>
        </w:rPr>
      </w:pPr>
      <w:r>
        <w:rPr>
          <w:rFonts w:ascii="Myriad Pro" w:hAnsi="Myriad Pro"/>
          <w:color w:val="231F20"/>
          <w:sz w:val="20"/>
        </w:rPr>
        <w:t>L’une des options consiste à promulguer une loi contre la discrimination en raison du handicap en général, qui interdise toute discrimination fondée sur le handicap, mais qui fournisse aussi une réglementation détaillée pour des domaines spécifiques de la vie publique et de la sphère privée.</w:t>
      </w:r>
    </w:p>
    <w:p>
      <w:pPr>
        <w:spacing w:line="259" w:lineRule="auto" w:before="57"/>
        <w:ind w:left="3061" w:right="192" w:firstLine="0"/>
        <w:jc w:val="left"/>
        <w:rPr>
          <w:rFonts w:ascii="Myriad Pro" w:hAnsi="Myriad Pro"/>
          <w:sz w:val="20"/>
        </w:rPr>
      </w:pPr>
      <w:r>
        <w:rPr>
          <w:rFonts w:ascii="Myriad Pro" w:hAnsi="Myriad Pro"/>
          <w:color w:val="231F20"/>
          <w:sz w:val="20"/>
        </w:rPr>
        <w:t>Une autre possibilité consiste à promulguer une loi d'égalité du handicap, similaire aux lois sur l'égalité des sexes adoptées par certains États. Les lois de cette nature ne se limitent pas à interdire la discrimination, elles abordent une grande variété de questions relatives aux personnes handicapées.</w:t>
      </w:r>
    </w:p>
    <w:p>
      <w:pPr>
        <w:spacing w:line="259" w:lineRule="auto" w:before="57"/>
        <w:ind w:left="3061" w:right="714" w:firstLine="0"/>
        <w:jc w:val="left"/>
        <w:rPr>
          <w:rFonts w:ascii="Myriad Pro" w:hAnsi="Myriad Pro"/>
          <w:sz w:val="20"/>
        </w:rPr>
      </w:pPr>
      <w:r>
        <w:rPr>
          <w:rFonts w:ascii="Myriad Pro" w:hAnsi="Myriad Pro"/>
          <w:color w:val="231F20"/>
          <w:sz w:val="20"/>
        </w:rPr>
        <w:t>Mais même la loi la plus large sur l'égalité du handicap peut ne pas traiter tous les problèmes concernant l’égalité des personnes handicapées. Étant donné la nécessité d’un traitement spécifique de questions telles que la sécurité sociale et l'aide sociale, la rémunération des travailleurs ou les normes de transport et de construction, entre</w:t>
      </w:r>
    </w:p>
    <w:p>
      <w:pPr>
        <w:spacing w:line="259" w:lineRule="auto" w:before="0"/>
        <w:ind w:left="3061" w:right="438" w:firstLine="0"/>
        <w:jc w:val="left"/>
        <w:rPr>
          <w:rFonts w:ascii="Myriad Pro" w:hAnsi="Myriad Pro"/>
          <w:sz w:val="20"/>
        </w:rPr>
      </w:pPr>
      <w:r>
        <w:rPr>
          <w:rFonts w:ascii="Myriad Pro" w:hAnsi="Myriad Pro"/>
          <w:color w:val="231F20"/>
          <w:sz w:val="20"/>
        </w:rPr>
        <w:t>autres, il est également important d'aborder ces sujets dans des lois propres aux secteurs concernés.</w:t>
      </w:r>
    </w:p>
    <w:p>
      <w:pPr>
        <w:spacing w:line="259" w:lineRule="auto" w:before="57"/>
        <w:ind w:left="3061" w:right="421" w:firstLine="0"/>
        <w:jc w:val="left"/>
        <w:rPr>
          <w:rFonts w:ascii="Myriad Pro" w:hAnsi="Myriad Pro"/>
          <w:sz w:val="20"/>
        </w:rPr>
      </w:pPr>
      <w:r>
        <w:rPr>
          <w:rFonts w:ascii="Myriad Pro" w:hAnsi="Myriad Pro"/>
          <w:color w:val="231F20"/>
          <w:sz w:val="20"/>
        </w:rPr>
        <w:t>Lorsqu’une législation interdisant d’autres formes de discrimination existe déjà, il peut être judicieux d'amender la législation existante afin d’y inclure le handicap comme motif de discrimination prohibé. Au minimum, il est important de s'assurer que la conception du « handicap » établie par la Convention et sa définition de la « discrimination fondée sur le handicap » se reflètent pleinement dans une loi antidiscrimination générale.</w:t>
      </w:r>
    </w:p>
    <w:p>
      <w:pPr>
        <w:spacing w:line="259" w:lineRule="auto" w:before="0"/>
        <w:ind w:left="3061" w:right="714" w:firstLine="0"/>
        <w:jc w:val="left"/>
        <w:rPr>
          <w:rFonts w:ascii="Myriad Pro" w:hAnsi="Myriad Pro"/>
          <w:sz w:val="20"/>
        </w:rPr>
      </w:pPr>
      <w:r>
        <w:rPr>
          <w:rFonts w:ascii="Myriad Pro" w:hAnsi="Myriad Pro"/>
          <w:color w:val="231F20"/>
          <w:sz w:val="20"/>
        </w:rPr>
        <w:t>Lorsqu'une législation existante s’applique uniquement à certains des sujets couverts par la Convention, la nouvelle législation devra garantir que la protection contre la discrimination en raison du handicap s'applique à tous les sujets. Il peut aussi être</w:t>
      </w:r>
    </w:p>
    <w:p>
      <w:pPr>
        <w:spacing w:line="259" w:lineRule="auto" w:before="0"/>
        <w:ind w:left="3061" w:right="367" w:firstLine="0"/>
        <w:jc w:val="left"/>
        <w:rPr>
          <w:rFonts w:ascii="Myriad Pro" w:hAnsi="Myriad Pro"/>
          <w:sz w:val="20"/>
        </w:rPr>
      </w:pPr>
      <w:r>
        <w:rPr>
          <w:rFonts w:ascii="Myriad Pro" w:hAnsi="Myriad Pro"/>
          <w:color w:val="231F20"/>
          <w:sz w:val="20"/>
        </w:rPr>
        <w:t>judicieux d'attribuer la responsabilité du suivi et de l'application de la nouvelle législation à des institutions existantes, sous réserve que les personnes handicapées soient ou deviennent membres de ces institutions et que ces dernières disposent d’une expertise suffisante en matière de handicap.</w:t>
      </w:r>
    </w:p>
    <w:p>
      <w:pPr>
        <w:spacing w:line="200" w:lineRule="exact" w:before="84"/>
        <w:ind w:left="3061" w:right="405" w:firstLine="0"/>
        <w:jc w:val="left"/>
        <w:rPr>
          <w:b w:val="0"/>
          <w:i/>
          <w:sz w:val="18"/>
        </w:rPr>
      </w:pPr>
      <w:r>
        <w:rPr>
          <w:b w:val="0"/>
          <w:i/>
          <w:color w:val="231F20"/>
          <w:sz w:val="18"/>
        </w:rPr>
        <w:t>Source : DAES, HCDH et Union interparlementaire, From Exclusion to Equality: Realizing the Rights of Persons </w:t>
      </w:r>
      <w:r>
        <w:rPr>
          <w:b w:val="0"/>
          <w:i/>
          <w:color w:val="231F20"/>
          <w:sz w:val="18"/>
        </w:rPr>
        <w:t>with Disabilities: Handbook for Parliamentarians (2007), pp 55-58.</w:t>
      </w: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spacing w:before="7"/>
        <w:rPr>
          <w:b w:val="0"/>
          <w:i/>
        </w:rPr>
      </w:pPr>
    </w:p>
    <w:p>
      <w:pPr>
        <w:spacing w:before="117"/>
        <w:ind w:left="2891"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368"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10808;top:8070;width:180;height:296" type="#_x0000_t75" stroked="false">
              <v:imagedata r:id="rId19" o:title=""/>
            </v:shape>
            <v:shape style="position:absolute;left:9776;top:7178;width:1157;height:1332" coordorigin="9776,7178" coordsize="1157,1332" path="m10927,7649l10927,7651,10928,7652,10929,7653,10929,7653,10931,7655,10931,7659,10931,7662,10931,7665,10932,7670,10933,7672,10933,7678,10932,7678,10932,7678,10932,7682,10926,7694,10925,7698,10920,7709,10912,7725,10904,7742,10898,7756,10893,7765,10888,7774,10882,7782,10876,7790,10867,7803,10822,7844,10812,7852,10803,7861,10791,7875,10782,7887,10771,7899,10761,7911,10731,7964,10724,7985,10727,7984,10730,7988,10736,7997,10734,8015,10734,8026,10737,8041,10742,8049,10748,8055,10752,8064,10754,8068,10752,8084,10752,8091,10753,8110,10753,8129,10751,8148,10744,8164,10733,8175,10720,8183,10706,8190,10693,8198,10688,8202,10679,8214,10672,8220,10669,8222,10667,8224,10665,8226,10660,8231,10655,8237,10650,8240,10652,8250,10657,8266,10661,8286,10660,8310,10657,8323,10649,8324,10638,8329,10633,8331,10629,8334,10624,8336,10619,8339,10616,8342,10612,8344,10614,8352,10616,8355,10615,8361,10611,8376,10604,8391,10596,8401,10588,8410,10578,8423,10572,8434,10566,8441,10560,8447,10551,8456,10543,8463,10516,8487,10514,8489,10487,8495,10474,8497,10454,8497,10436,8499,10418,8504,10402,8509,10386,8510,10380,8509,10378,8505,10375,8501,10370,8495,10371,8498,10369,8488,10368,8482,10366,8476,10366,8471,10368,8465,10369,8460,10366,8453,10363,8443,10357,8435,10353,8426,10349,8416,10346,8407,10341,8399,10335,8390,10329,8385,10324,8375,10319,8360,10316,8342,10313,8324,10311,8308,10308,8289,10304,8276,10298,8265,10291,8249,10287,8239,10283,8229,10278,8221,10271,8210,10267,8211,10265,8194,10280,8119,10304,8086,10299,8070,10296,8061,10290,8052,10288,8042,10288,8036,10290,8030,10290,8023,10264,7955,10243,7929,10230,7915,10220,7899,10215,7881,10219,7879,10219,7879,10224,7878,10225,7873,10224,7870,10225,7864,10227,7852,10229,7840,10232,7828,10234,7818,10235,7813,10230,7804,10226,7798,10221,7793,10215,7790,10210,7788,10194,7786,10189,7787,10181,7790,10173,7793,10165,7788,10154,7773,10152,7767,10148,7758,10145,7754,10088,7762,10080,7765,10061,7773,10048,7779,10037,7782,10023,7780,10004,7777,9990,7777,9976,7780,9959,7785,9946,7789,9943,7793,9930,7787,9912,7776,9898,7764,9883,7751,9864,7738,9858,7735,9848,7725,9845,7719,9841,7709,9844,7698,9836,7690,9826,7680,9827,7685,9817,7671,9802,7654,9793,7648,9788,7641,9788,7623,9788,7611,9783,7607,9776,7597,9778,7595,9782,7592,9785,7589,9794,7580,9796,7565,9799,7552,9801,7537,9799,7524,9797,7514,9797,7509,9799,7503,9800,7502,9800,7495,9791,7488,9788,7479,9789,7469,9822,7420,9825,7414,9829,7408,9829,7402,9833,7395,9839,7383,9849,7377,9855,7366,9861,7357,9858,7359,9869,7354,9875,7352,9916,7306,9918,7295,9923,7279,9930,7261,9933,7259,9949,7252,9967,7241,9975,7229,9979,7219,9985,7211,9992,7206,9995,7213,10000,7216,10007,7221,10013,7220,10022,7219,10031,7218,10038,7221,10046,7221,10054,7221,10057,7216,10064,7212,10081,7204,10103,7196,10126,7191,10146,7190,10154,7191,10162,7193,10170,7191,10179,7188,10180,7187,10192,7187,10210,7187,10217,7186,10219,7185,10226,7183,10244,7178,10236,7184,10246,7187,10249,7188,10253,7188,10256,7190,10254,7195,10248,7201,10247,7206,10251,7209,10260,7219,10255,7227,10251,7232,10243,7236,10241,7244,10245,7248,10253,7251,10258,7254,10264,7258,10269,7261,10278,7262,10290,7263,10302,7265,10313,7269,10322,7275,10327,7281,10326,7287,10334,7291,10343,7294,10351,7295,10361,7298,10376,7306,10382,7309,10393,7310,10398,7305,10399,7297,10397,7293,10396,7286,10399,7276,10408,7267,10421,7263,10434,7263,10445,7267,10452,7274,10462,7277,10469,7279,10473,7279,10479,7282,10491,7287,10504,7290,10517,7292,10529,7295,10534,7297,10541,7299,10546,7300,10554,7300,10555,7295,10561,7292,10572,7285,10581,7286,10594,7290,10611,7295,10614,7294,10631,7291,10637,7310,10642,7321,10642,7334,10637,7354,10635,7358,10624,7358,10628,7369,10636,7385,10644,7401,10650,7413,10658,7426,10658,7420,10664,7427,10661,7437,10661,7443,10666,7449,10678,7458,10685,7463,10681,7459,10685,7468,10688,7483,10713,7534,10718,7543,10727,7566,10733,7580,10740,7588,10749,7594,10760,7602,10798,7650,10800,7662,10813,7675,10821,7677,10830,7673,10846,7669,10859,7669,10860,7664,10874,7662,10923,7644,10927,7649xe" filled="false" stroked="true" strokeweight="2.798pt" strokecolor="#fdb714">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9</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262.2pt;mso-position-horizontal-relative:page;mso-position-vertical-relative:paragraph;z-index:2272;mso-wrap-distance-left:0;mso-wrap-distance-right:0" coordorigin="1124,365" coordsize="7901,5244">
            <v:rect style="position:absolute;left:1134;top:365;width:7880;height:363" filled="true" fillcolor="#fdb714" stroked="false">
              <v:fill type="solid"/>
            </v:rect>
            <v:rect style="position:absolute;left:1134;top:729;width:7880;height:4870" filled="true" fillcolor="#fff5e4" stroked="false">
              <v:fill type="solid"/>
            </v:rect>
            <v:line style="position:absolute" from="1134,5599" to="9014,5599" stroked="true" strokeweight="1pt" strokecolor="#fdb714"/>
            <v:shape style="position:absolute;left:1124;top:365;width:7901;height:5244" type="#_x0000_t202" filled="false" stroked="false">
              <v:textbox inset="0,0,0,0">
                <w:txbxContent>
                  <w:p>
                    <w:pPr>
                      <w:spacing w:before="32"/>
                      <w:ind w:left="180" w:right="134" w:firstLine="28"/>
                      <w:jc w:val="left"/>
                      <w:rPr>
                        <w:rFonts w:ascii="Myriad Pro" w:hAnsi="Myriad Pro"/>
                        <w:b/>
                        <w:sz w:val="22"/>
                      </w:rPr>
                    </w:pPr>
                    <w:r>
                      <w:rPr>
                        <w:rFonts w:ascii="Myriad Pro" w:hAnsi="Myriad Pro"/>
                        <w:b/>
                        <w:color w:val="FFFFFF"/>
                        <w:sz w:val="22"/>
                      </w:rPr>
                      <w:t>Garanties d'égalité et de non-discrimination pour les personnes handicapées</w:t>
                    </w:r>
                  </w:p>
                  <w:p>
                    <w:pPr>
                      <w:spacing w:line="259" w:lineRule="auto" w:before="188"/>
                      <w:ind w:left="180" w:right="134" w:firstLine="0"/>
                      <w:jc w:val="left"/>
                      <w:rPr>
                        <w:rFonts w:ascii="Myriad Pro" w:hAnsi="Myriad Pro"/>
                        <w:sz w:val="20"/>
                      </w:rPr>
                    </w:pPr>
                    <w:r>
                      <w:rPr>
                        <w:rFonts w:ascii="Myriad Pro" w:hAnsi="Myriad Pro"/>
                        <w:color w:val="231F20"/>
                        <w:spacing w:val="-3"/>
                        <w:sz w:val="20"/>
                      </w:rPr>
                      <w:t>La </w:t>
                    </w:r>
                    <w:r>
                      <w:rPr>
                        <w:rFonts w:ascii="Myriad Pro" w:hAnsi="Myriad Pro"/>
                        <w:color w:val="231F20"/>
                        <w:spacing w:val="-5"/>
                        <w:sz w:val="20"/>
                      </w:rPr>
                      <w:t>Constitution </w:t>
                    </w:r>
                    <w:r>
                      <w:rPr>
                        <w:rFonts w:ascii="Myriad Pro" w:hAnsi="Myriad Pro"/>
                        <w:color w:val="231F20"/>
                        <w:spacing w:val="-3"/>
                        <w:sz w:val="20"/>
                      </w:rPr>
                      <w:t>de </w:t>
                    </w:r>
                    <w:r>
                      <w:rPr>
                        <w:rFonts w:ascii="Myriad Pro" w:hAnsi="Myriad Pro"/>
                        <w:color w:val="231F20"/>
                        <w:spacing w:val="-5"/>
                        <w:sz w:val="20"/>
                      </w:rPr>
                      <w:t>l’Ouganda </w:t>
                    </w:r>
                    <w:r>
                      <w:rPr>
                        <w:rFonts w:ascii="Myriad Pro" w:hAnsi="Myriad Pro"/>
                        <w:color w:val="231F20"/>
                        <w:spacing w:val="-3"/>
                        <w:sz w:val="20"/>
                      </w:rPr>
                      <w:t>de </w:t>
                    </w:r>
                    <w:r>
                      <w:rPr>
                        <w:rFonts w:ascii="Myriad Pro" w:hAnsi="Myriad Pro"/>
                        <w:color w:val="231F20"/>
                        <w:spacing w:val="-4"/>
                        <w:sz w:val="20"/>
                      </w:rPr>
                      <w:t>1995 </w:t>
                    </w:r>
                    <w:r>
                      <w:rPr>
                        <w:rFonts w:ascii="Myriad Pro" w:hAnsi="Myriad Pro"/>
                        <w:color w:val="231F20"/>
                        <w:sz w:val="20"/>
                      </w:rPr>
                      <w:t>a </w:t>
                    </w:r>
                    <w:r>
                      <w:rPr>
                        <w:rFonts w:ascii="Myriad Pro" w:hAnsi="Myriad Pro"/>
                        <w:color w:val="231F20"/>
                        <w:spacing w:val="-4"/>
                        <w:sz w:val="20"/>
                      </w:rPr>
                      <w:t>été </w:t>
                    </w:r>
                    <w:r>
                      <w:rPr>
                        <w:rFonts w:ascii="Myriad Pro" w:hAnsi="Myriad Pro"/>
                        <w:color w:val="231F20"/>
                        <w:spacing w:val="-5"/>
                        <w:sz w:val="20"/>
                      </w:rPr>
                      <w:t>élaborée avec </w:t>
                    </w:r>
                    <w:r>
                      <w:rPr>
                        <w:rFonts w:ascii="Myriad Pro" w:hAnsi="Myriad Pro"/>
                        <w:color w:val="231F20"/>
                        <w:spacing w:val="-3"/>
                        <w:sz w:val="20"/>
                      </w:rPr>
                      <w:t>la </w:t>
                    </w:r>
                    <w:r>
                      <w:rPr>
                        <w:rFonts w:ascii="Myriad Pro" w:hAnsi="Myriad Pro"/>
                        <w:color w:val="231F20"/>
                        <w:spacing w:val="-5"/>
                        <w:sz w:val="20"/>
                      </w:rPr>
                      <w:t>participation </w:t>
                    </w:r>
                    <w:r>
                      <w:rPr>
                        <w:rFonts w:ascii="Myriad Pro" w:hAnsi="Myriad Pro"/>
                        <w:color w:val="231F20"/>
                        <w:spacing w:val="-3"/>
                        <w:sz w:val="20"/>
                      </w:rPr>
                      <w:t>de </w:t>
                    </w:r>
                    <w:r>
                      <w:rPr>
                        <w:rFonts w:ascii="Myriad Pro" w:hAnsi="Myriad Pro"/>
                        <w:color w:val="231F20"/>
                        <w:spacing w:val="-5"/>
                        <w:sz w:val="20"/>
                      </w:rPr>
                      <w:t>nombreux </w:t>
                    </w:r>
                    <w:r>
                      <w:rPr>
                        <w:rFonts w:ascii="Myriad Pro" w:hAnsi="Myriad Pro"/>
                        <w:color w:val="231F20"/>
                        <w:spacing w:val="-6"/>
                        <w:sz w:val="20"/>
                      </w:rPr>
                      <w:t>groupes </w:t>
                    </w:r>
                    <w:r>
                      <w:rPr>
                        <w:rFonts w:ascii="Myriad Pro" w:hAnsi="Myriad Pro"/>
                        <w:color w:val="231F20"/>
                        <w:spacing w:val="-5"/>
                        <w:sz w:val="20"/>
                      </w:rPr>
                      <w:t>différents </w:t>
                    </w:r>
                    <w:r>
                      <w:rPr>
                        <w:rFonts w:ascii="Myriad Pro" w:hAnsi="Myriad Pro"/>
                        <w:color w:val="231F20"/>
                        <w:spacing w:val="-3"/>
                        <w:sz w:val="20"/>
                      </w:rPr>
                      <w:t>de la </w:t>
                    </w:r>
                    <w:r>
                      <w:rPr>
                        <w:rFonts w:ascii="Myriad Pro" w:hAnsi="Myriad Pro"/>
                        <w:color w:val="231F20"/>
                        <w:spacing w:val="-6"/>
                        <w:sz w:val="20"/>
                      </w:rPr>
                      <w:t>communauté, </w:t>
                    </w:r>
                    <w:r>
                      <w:rPr>
                        <w:rFonts w:ascii="Myriad Pro" w:hAnsi="Myriad Pro"/>
                        <w:color w:val="231F20"/>
                        <w:sz w:val="20"/>
                      </w:rPr>
                      <w:t>y </w:t>
                    </w:r>
                    <w:r>
                      <w:rPr>
                        <w:rFonts w:ascii="Myriad Pro" w:hAnsi="Myriad Pro"/>
                        <w:color w:val="231F20"/>
                        <w:spacing w:val="-5"/>
                        <w:sz w:val="20"/>
                      </w:rPr>
                      <w:t>compris </w:t>
                    </w:r>
                    <w:r>
                      <w:rPr>
                        <w:rFonts w:ascii="Myriad Pro" w:hAnsi="Myriad Pro"/>
                        <w:color w:val="231F20"/>
                        <w:spacing w:val="-4"/>
                        <w:sz w:val="20"/>
                      </w:rPr>
                      <w:t>des </w:t>
                    </w:r>
                    <w:r>
                      <w:rPr>
                        <w:rFonts w:ascii="Myriad Pro" w:hAnsi="Myriad Pro"/>
                        <w:color w:val="231F20"/>
                        <w:spacing w:val="-5"/>
                        <w:sz w:val="20"/>
                      </w:rPr>
                      <w:t>personnes handicapées. Cette participation se reflète </w:t>
                    </w:r>
                    <w:r>
                      <w:rPr>
                        <w:rFonts w:ascii="Myriad Pro" w:hAnsi="Myriad Pro"/>
                        <w:color w:val="231F20"/>
                        <w:spacing w:val="-4"/>
                        <w:sz w:val="20"/>
                      </w:rPr>
                      <w:t>dans </w:t>
                    </w:r>
                    <w:r>
                      <w:rPr>
                        <w:rFonts w:ascii="Myriad Pro" w:hAnsi="Myriad Pro"/>
                        <w:color w:val="231F20"/>
                        <w:spacing w:val="-3"/>
                        <w:sz w:val="20"/>
                      </w:rPr>
                      <w:t>un </w:t>
                    </w:r>
                    <w:r>
                      <w:rPr>
                        <w:rFonts w:ascii="Myriad Pro" w:hAnsi="Myriad Pro"/>
                        <w:color w:val="231F20"/>
                        <w:spacing w:val="-4"/>
                        <w:sz w:val="20"/>
                      </w:rPr>
                      <w:t>certain </w:t>
                    </w:r>
                    <w:r>
                      <w:rPr>
                        <w:rFonts w:ascii="Myriad Pro" w:hAnsi="Myriad Pro"/>
                        <w:color w:val="231F20"/>
                        <w:spacing w:val="-5"/>
                        <w:sz w:val="20"/>
                      </w:rPr>
                      <w:t>nombre </w:t>
                    </w:r>
                    <w:r>
                      <w:rPr>
                        <w:rFonts w:ascii="Myriad Pro" w:hAnsi="Myriad Pro"/>
                        <w:color w:val="231F20"/>
                        <w:spacing w:val="-3"/>
                        <w:sz w:val="20"/>
                      </w:rPr>
                      <w:t>de </w:t>
                    </w:r>
                    <w:r>
                      <w:rPr>
                        <w:rFonts w:ascii="Myriad Pro" w:hAnsi="Myriad Pro"/>
                        <w:color w:val="231F20"/>
                        <w:spacing w:val="-5"/>
                        <w:sz w:val="20"/>
                      </w:rPr>
                      <w:t>dispositions constitutionnelles </w:t>
                    </w:r>
                    <w:r>
                      <w:rPr>
                        <w:rFonts w:ascii="Myriad Pro" w:hAnsi="Myriad Pro"/>
                        <w:color w:val="231F20"/>
                        <w:spacing w:val="-4"/>
                        <w:sz w:val="20"/>
                      </w:rPr>
                      <w:t>qui </w:t>
                    </w:r>
                    <w:r>
                      <w:rPr>
                        <w:rFonts w:ascii="Myriad Pro" w:hAnsi="Myriad Pro"/>
                        <w:color w:val="231F20"/>
                        <w:spacing w:val="-5"/>
                        <w:sz w:val="20"/>
                      </w:rPr>
                      <w:t>garantissent </w:t>
                    </w:r>
                    <w:r>
                      <w:rPr>
                        <w:rFonts w:ascii="Myriad Pro" w:hAnsi="Myriad Pro"/>
                        <w:color w:val="231F20"/>
                        <w:spacing w:val="-3"/>
                        <w:sz w:val="20"/>
                      </w:rPr>
                      <w:t>et </w:t>
                    </w:r>
                    <w:r>
                      <w:rPr>
                        <w:rFonts w:ascii="Myriad Pro" w:hAnsi="Myriad Pro"/>
                        <w:color w:val="231F20"/>
                        <w:spacing w:val="-5"/>
                        <w:sz w:val="20"/>
                      </w:rPr>
                      <w:t>font la promotion </w:t>
                    </w:r>
                    <w:r>
                      <w:rPr>
                        <w:rFonts w:ascii="Myriad Pro" w:hAnsi="Myriad Pro"/>
                        <w:color w:val="231F20"/>
                        <w:spacing w:val="-3"/>
                        <w:sz w:val="20"/>
                      </w:rPr>
                      <w:t>de </w:t>
                    </w:r>
                    <w:r>
                      <w:rPr>
                        <w:rFonts w:ascii="Myriad Pro" w:hAnsi="Myriad Pro"/>
                        <w:color w:val="231F20"/>
                        <w:spacing w:val="-5"/>
                        <w:sz w:val="20"/>
                      </w:rPr>
                      <w:t>l'égalité </w:t>
                    </w:r>
                    <w:r>
                      <w:rPr>
                        <w:rFonts w:ascii="Myriad Pro" w:hAnsi="Myriad Pro"/>
                        <w:color w:val="231F20"/>
                        <w:spacing w:val="-4"/>
                        <w:sz w:val="20"/>
                      </w:rPr>
                      <w:t>pour les </w:t>
                    </w:r>
                    <w:r>
                      <w:rPr>
                        <w:rFonts w:ascii="Myriad Pro" w:hAnsi="Myriad Pro"/>
                        <w:color w:val="231F20"/>
                        <w:spacing w:val="-5"/>
                        <w:sz w:val="20"/>
                      </w:rPr>
                      <w:t>personnes handicapées.</w:t>
                    </w:r>
                  </w:p>
                  <w:p>
                    <w:pPr>
                      <w:spacing w:line="259" w:lineRule="auto" w:before="57"/>
                      <w:ind w:left="180" w:right="196" w:firstLine="0"/>
                      <w:jc w:val="left"/>
                      <w:rPr>
                        <w:rFonts w:ascii="Myriad Pro" w:hAnsi="Myriad Pro"/>
                        <w:sz w:val="20"/>
                      </w:rPr>
                    </w:pPr>
                    <w:r>
                      <w:rPr>
                        <w:rFonts w:ascii="Myriad Pro" w:hAnsi="Myriad Pro"/>
                        <w:color w:val="231F20"/>
                        <w:spacing w:val="-7"/>
                        <w:sz w:val="20"/>
                      </w:rPr>
                      <w:t>L’article </w:t>
                    </w:r>
                    <w:r>
                      <w:rPr>
                        <w:rFonts w:ascii="Myriad Pro" w:hAnsi="Myriad Pro"/>
                        <w:color w:val="231F20"/>
                        <w:spacing w:val="-4"/>
                        <w:sz w:val="20"/>
                      </w:rPr>
                      <w:t>21, </w:t>
                    </w:r>
                    <w:r>
                      <w:rPr>
                        <w:rFonts w:ascii="Myriad Pro" w:hAnsi="Myriad Pro"/>
                        <w:color w:val="231F20"/>
                        <w:spacing w:val="-5"/>
                        <w:sz w:val="20"/>
                      </w:rPr>
                      <w:t>dispose </w:t>
                    </w:r>
                    <w:r>
                      <w:rPr>
                        <w:rFonts w:ascii="Myriad Pro" w:hAnsi="Myriad Pro"/>
                        <w:color w:val="231F20"/>
                        <w:sz w:val="20"/>
                      </w:rPr>
                      <w:t>« qu’une </w:t>
                    </w:r>
                    <w:r>
                      <w:rPr>
                        <w:rFonts w:ascii="Myriad Pro" w:hAnsi="Myriad Pro"/>
                        <w:color w:val="231F20"/>
                        <w:spacing w:val="-5"/>
                        <w:sz w:val="20"/>
                      </w:rPr>
                      <w:t>personne </w:t>
                    </w:r>
                    <w:r>
                      <w:rPr>
                        <w:rFonts w:ascii="Myriad Pro" w:hAnsi="Myriad Pro"/>
                        <w:color w:val="231F20"/>
                        <w:spacing w:val="-3"/>
                        <w:sz w:val="20"/>
                      </w:rPr>
                      <w:t>ne </w:t>
                    </w:r>
                    <w:r>
                      <w:rPr>
                        <w:rFonts w:ascii="Myriad Pro" w:hAnsi="Myriad Pro"/>
                        <w:color w:val="231F20"/>
                        <w:spacing w:val="-4"/>
                        <w:sz w:val="20"/>
                      </w:rPr>
                      <w:t>doit pas subir </w:t>
                    </w:r>
                    <w:r>
                      <w:rPr>
                        <w:rFonts w:ascii="Myriad Pro" w:hAnsi="Myriad Pro"/>
                        <w:color w:val="231F20"/>
                        <w:spacing w:val="-3"/>
                        <w:sz w:val="20"/>
                      </w:rPr>
                      <w:t>de </w:t>
                    </w:r>
                    <w:r>
                      <w:rPr>
                        <w:rFonts w:ascii="Myriad Pro" w:hAnsi="Myriad Pro"/>
                        <w:color w:val="231F20"/>
                        <w:spacing w:val="-5"/>
                        <w:sz w:val="20"/>
                      </w:rPr>
                      <w:t>discrimination </w:t>
                    </w:r>
                    <w:r>
                      <w:rPr>
                        <w:rFonts w:ascii="Myriad Pro" w:hAnsi="Myriad Pro"/>
                        <w:color w:val="231F20"/>
                        <w:spacing w:val="-3"/>
                        <w:sz w:val="20"/>
                      </w:rPr>
                      <w:t>au </w:t>
                    </w:r>
                    <w:r>
                      <w:rPr>
                        <w:rFonts w:ascii="Myriad Pro" w:hAnsi="Myriad Pro"/>
                        <w:color w:val="231F20"/>
                        <w:spacing w:val="-4"/>
                        <w:sz w:val="20"/>
                      </w:rPr>
                      <w:t>motif </w:t>
                    </w:r>
                    <w:r>
                      <w:rPr>
                        <w:rFonts w:ascii="Myriad Pro" w:hAnsi="Myriad Pro"/>
                        <w:color w:val="231F20"/>
                        <w:spacing w:val="-3"/>
                        <w:sz w:val="20"/>
                      </w:rPr>
                      <w:t>de </w:t>
                    </w:r>
                    <w:r>
                      <w:rPr>
                        <w:rFonts w:ascii="Myriad Pro" w:hAnsi="Myriad Pro"/>
                        <w:color w:val="231F20"/>
                        <w:spacing w:val="-4"/>
                        <w:sz w:val="20"/>
                      </w:rPr>
                      <w:t>son </w:t>
                    </w:r>
                    <w:r>
                      <w:rPr>
                        <w:rFonts w:ascii="Myriad Pro" w:hAnsi="Myriad Pro"/>
                        <w:color w:val="231F20"/>
                        <w:spacing w:val="-6"/>
                        <w:sz w:val="20"/>
                      </w:rPr>
                      <w:t>sexe, </w:t>
                    </w:r>
                    <w:r>
                      <w:rPr>
                        <w:rFonts w:ascii="Myriad Pro" w:hAnsi="Myriad Pro"/>
                        <w:color w:val="231F20"/>
                        <w:spacing w:val="-3"/>
                        <w:sz w:val="20"/>
                      </w:rPr>
                      <w:t>de sa </w:t>
                    </w:r>
                    <w:r>
                      <w:rPr>
                        <w:rFonts w:ascii="Myriad Pro" w:hAnsi="Myriad Pro"/>
                        <w:color w:val="231F20"/>
                        <w:spacing w:val="-6"/>
                        <w:sz w:val="20"/>
                      </w:rPr>
                      <w:t>race, </w:t>
                    </w:r>
                    <w:r>
                      <w:rPr>
                        <w:rFonts w:ascii="Myriad Pro" w:hAnsi="Myriad Pro"/>
                        <w:color w:val="231F20"/>
                        <w:spacing w:val="-3"/>
                        <w:sz w:val="20"/>
                      </w:rPr>
                      <w:t>de sa </w:t>
                    </w:r>
                    <w:r>
                      <w:rPr>
                        <w:rFonts w:ascii="Myriad Pro" w:hAnsi="Myriad Pro"/>
                        <w:color w:val="231F20"/>
                        <w:spacing w:val="-6"/>
                        <w:sz w:val="20"/>
                      </w:rPr>
                      <w:t>couleur, </w:t>
                    </w:r>
                    <w:r>
                      <w:rPr>
                        <w:rFonts w:ascii="Myriad Pro" w:hAnsi="Myriad Pro"/>
                        <w:color w:val="231F20"/>
                        <w:spacing w:val="-3"/>
                        <w:sz w:val="20"/>
                      </w:rPr>
                      <w:t>de </w:t>
                    </w:r>
                    <w:r>
                      <w:rPr>
                        <w:rFonts w:ascii="Myriad Pro" w:hAnsi="Myriad Pro"/>
                        <w:color w:val="231F20"/>
                        <w:spacing w:val="-4"/>
                        <w:sz w:val="20"/>
                      </w:rPr>
                      <w:t>son </w:t>
                    </w:r>
                    <w:r>
                      <w:rPr>
                        <w:rFonts w:ascii="Myriad Pro" w:hAnsi="Myriad Pro"/>
                        <w:color w:val="231F20"/>
                        <w:spacing w:val="-5"/>
                        <w:sz w:val="20"/>
                      </w:rPr>
                      <w:t>origine ethnique, </w:t>
                    </w:r>
                    <w:r>
                      <w:rPr>
                        <w:rFonts w:ascii="Myriad Pro" w:hAnsi="Myriad Pro"/>
                        <w:color w:val="231F20"/>
                        <w:spacing w:val="-3"/>
                        <w:sz w:val="20"/>
                      </w:rPr>
                      <w:t>de sa </w:t>
                    </w:r>
                    <w:r>
                      <w:rPr>
                        <w:rFonts w:ascii="Myriad Pro" w:hAnsi="Myriad Pro"/>
                        <w:color w:val="231F20"/>
                        <w:spacing w:val="-5"/>
                        <w:sz w:val="20"/>
                      </w:rPr>
                      <w:t>tribu, </w:t>
                    </w:r>
                    <w:r>
                      <w:rPr>
                        <w:rFonts w:ascii="Myriad Pro" w:hAnsi="Myriad Pro"/>
                        <w:color w:val="231F20"/>
                        <w:spacing w:val="-3"/>
                        <w:sz w:val="20"/>
                      </w:rPr>
                      <w:t>de sa </w:t>
                    </w:r>
                    <w:r>
                      <w:rPr>
                        <w:rFonts w:ascii="Myriad Pro" w:hAnsi="Myriad Pro"/>
                        <w:color w:val="231F20"/>
                        <w:spacing w:val="-5"/>
                        <w:sz w:val="20"/>
                      </w:rPr>
                      <w:t>naissance, </w:t>
                    </w:r>
                    <w:r>
                      <w:rPr>
                        <w:rFonts w:ascii="Myriad Pro" w:hAnsi="Myriad Pro"/>
                        <w:color w:val="231F20"/>
                        <w:spacing w:val="-3"/>
                        <w:sz w:val="20"/>
                      </w:rPr>
                      <w:t>de </w:t>
                    </w:r>
                    <w:r>
                      <w:rPr>
                        <w:rFonts w:ascii="Myriad Pro" w:hAnsi="Myriad Pro"/>
                        <w:color w:val="231F20"/>
                        <w:spacing w:val="-4"/>
                        <w:sz w:val="20"/>
                      </w:rPr>
                      <w:t>ses </w:t>
                    </w:r>
                    <w:r>
                      <w:rPr>
                        <w:rFonts w:ascii="Myriad Pro" w:hAnsi="Myriad Pro"/>
                        <w:color w:val="231F20"/>
                        <w:spacing w:val="-6"/>
                        <w:sz w:val="20"/>
                      </w:rPr>
                      <w:t>croyances </w:t>
                    </w:r>
                    <w:r>
                      <w:rPr>
                        <w:rFonts w:ascii="Myriad Pro" w:hAnsi="Myriad Pro"/>
                        <w:color w:val="231F20"/>
                        <w:spacing w:val="-3"/>
                        <w:sz w:val="20"/>
                      </w:rPr>
                      <w:t>ou de sa </w:t>
                    </w:r>
                    <w:r>
                      <w:rPr>
                        <w:rFonts w:ascii="Myriad Pro" w:hAnsi="Myriad Pro"/>
                        <w:color w:val="231F20"/>
                        <w:spacing w:val="-5"/>
                        <w:sz w:val="20"/>
                      </w:rPr>
                      <w:t>religion, </w:t>
                    </w:r>
                    <w:r>
                      <w:rPr>
                        <w:rFonts w:ascii="Myriad Pro" w:hAnsi="Myriad Pro"/>
                        <w:color w:val="231F20"/>
                        <w:spacing w:val="-3"/>
                        <w:sz w:val="20"/>
                      </w:rPr>
                      <w:t>ou de </w:t>
                    </w:r>
                    <w:r>
                      <w:rPr>
                        <w:rFonts w:ascii="Myriad Pro" w:hAnsi="Myriad Pro"/>
                        <w:color w:val="231F20"/>
                        <w:spacing w:val="-4"/>
                        <w:sz w:val="20"/>
                      </w:rPr>
                      <w:t>son </w:t>
                    </w:r>
                    <w:r>
                      <w:rPr>
                        <w:rFonts w:ascii="Myriad Pro" w:hAnsi="Myriad Pro"/>
                        <w:color w:val="231F20"/>
                        <w:spacing w:val="-5"/>
                        <w:sz w:val="20"/>
                      </w:rPr>
                      <w:t>statut social </w:t>
                    </w:r>
                    <w:r>
                      <w:rPr>
                        <w:rFonts w:ascii="Myriad Pro" w:hAnsi="Myriad Pro"/>
                        <w:color w:val="231F20"/>
                        <w:spacing w:val="-3"/>
                        <w:sz w:val="20"/>
                      </w:rPr>
                      <w:t>ou </w:t>
                    </w:r>
                    <w:r>
                      <w:rPr>
                        <w:rFonts w:ascii="Myriad Pro" w:hAnsi="Myriad Pro"/>
                        <w:color w:val="231F20"/>
                        <w:spacing w:val="-5"/>
                        <w:sz w:val="20"/>
                      </w:rPr>
                      <w:t>économique, </w:t>
                    </w:r>
                    <w:r>
                      <w:rPr>
                        <w:rFonts w:ascii="Myriad Pro" w:hAnsi="Myriad Pro"/>
                        <w:color w:val="231F20"/>
                        <w:spacing w:val="-3"/>
                        <w:sz w:val="20"/>
                      </w:rPr>
                      <w:t>de </w:t>
                    </w:r>
                    <w:r>
                      <w:rPr>
                        <w:rFonts w:ascii="Myriad Pro" w:hAnsi="Myriad Pro"/>
                        <w:color w:val="231F20"/>
                        <w:spacing w:val="-4"/>
                        <w:sz w:val="20"/>
                      </w:rPr>
                      <w:t>ses </w:t>
                    </w:r>
                    <w:r>
                      <w:rPr>
                        <w:rFonts w:ascii="Myriad Pro" w:hAnsi="Myriad Pro"/>
                        <w:color w:val="231F20"/>
                        <w:spacing w:val="-5"/>
                        <w:sz w:val="20"/>
                      </w:rPr>
                      <w:t>opinions politiques </w:t>
                    </w:r>
                    <w:r>
                      <w:rPr>
                        <w:rFonts w:ascii="Myriad Pro" w:hAnsi="Myriad Pro"/>
                        <w:color w:val="231F20"/>
                        <w:spacing w:val="-3"/>
                        <w:sz w:val="20"/>
                      </w:rPr>
                      <w:t>ou de </w:t>
                    </w:r>
                    <w:r>
                      <w:rPr>
                        <w:rFonts w:ascii="Myriad Pro" w:hAnsi="Myriad Pro"/>
                        <w:color w:val="231F20"/>
                        <w:spacing w:val="-5"/>
                        <w:sz w:val="20"/>
                      </w:rPr>
                      <w:t>son handicap ».</w:t>
                    </w:r>
                  </w:p>
                  <w:p>
                    <w:pPr>
                      <w:spacing w:line="259" w:lineRule="auto" w:before="57"/>
                      <w:ind w:left="180" w:right="245" w:firstLine="0"/>
                      <w:jc w:val="left"/>
                      <w:rPr>
                        <w:rFonts w:ascii="Myriad Pro" w:hAnsi="Myriad Pro"/>
                        <w:sz w:val="20"/>
                      </w:rPr>
                    </w:pPr>
                    <w:r>
                      <w:rPr>
                        <w:rFonts w:ascii="Myriad Pro" w:hAnsi="Myriad Pro"/>
                        <w:color w:val="231F20"/>
                        <w:spacing w:val="-7"/>
                        <w:sz w:val="20"/>
                      </w:rPr>
                      <w:t>L’article </w:t>
                    </w:r>
                    <w:r>
                      <w:rPr>
                        <w:rFonts w:ascii="Myriad Pro" w:hAnsi="Myriad Pro"/>
                        <w:color w:val="231F20"/>
                        <w:spacing w:val="-3"/>
                        <w:sz w:val="20"/>
                      </w:rPr>
                      <w:t>32 </w:t>
                    </w:r>
                    <w:r>
                      <w:rPr>
                        <w:rFonts w:ascii="Myriad Pro" w:hAnsi="Myriad Pro"/>
                        <w:color w:val="231F20"/>
                        <w:spacing w:val="-4"/>
                        <w:sz w:val="20"/>
                      </w:rPr>
                      <w:t>(1) </w:t>
                    </w:r>
                    <w:r>
                      <w:rPr>
                        <w:rFonts w:ascii="Myriad Pro" w:hAnsi="Myriad Pro"/>
                        <w:color w:val="231F20"/>
                        <w:spacing w:val="-5"/>
                        <w:sz w:val="20"/>
                      </w:rPr>
                      <w:t>dispose </w:t>
                    </w:r>
                    <w:r>
                      <w:rPr>
                        <w:rFonts w:ascii="Myriad Pro" w:hAnsi="Myriad Pro"/>
                        <w:color w:val="231F20"/>
                        <w:spacing w:val="-4"/>
                        <w:sz w:val="20"/>
                      </w:rPr>
                      <w:t>que </w:t>
                    </w:r>
                    <w:r>
                      <w:rPr>
                        <w:rFonts w:ascii="Myriad Pro" w:hAnsi="Myriad Pro"/>
                        <w:color w:val="231F20"/>
                        <w:spacing w:val="-5"/>
                        <w:sz w:val="20"/>
                      </w:rPr>
                      <w:t>l’État </w:t>
                    </w:r>
                    <w:r>
                      <w:rPr>
                        <w:rFonts w:ascii="Myriad Pro" w:hAnsi="Myriad Pro"/>
                        <w:color w:val="231F20"/>
                        <w:sz w:val="20"/>
                      </w:rPr>
                      <w:t>« </w:t>
                    </w:r>
                    <w:r>
                      <w:rPr>
                        <w:rFonts w:ascii="Myriad Pro" w:hAnsi="Myriad Pro"/>
                        <w:color w:val="231F20"/>
                        <w:spacing w:val="-5"/>
                        <w:sz w:val="20"/>
                      </w:rPr>
                      <w:t>prendra </w:t>
                    </w:r>
                    <w:r>
                      <w:rPr>
                        <w:rFonts w:ascii="Myriad Pro" w:hAnsi="Myriad Pro"/>
                        <w:color w:val="231F20"/>
                        <w:spacing w:val="-4"/>
                        <w:sz w:val="20"/>
                      </w:rPr>
                      <w:t>des </w:t>
                    </w:r>
                    <w:r>
                      <w:rPr>
                        <w:rFonts w:ascii="Myriad Pro" w:hAnsi="Myriad Pro"/>
                        <w:color w:val="231F20"/>
                        <w:spacing w:val="-5"/>
                        <w:sz w:val="20"/>
                      </w:rPr>
                      <w:t>mesures </w:t>
                    </w:r>
                    <w:r>
                      <w:rPr>
                        <w:rFonts w:ascii="Myriad Pro" w:hAnsi="Myriad Pro"/>
                        <w:color w:val="231F20"/>
                        <w:spacing w:val="-3"/>
                        <w:sz w:val="20"/>
                      </w:rPr>
                      <w:t>de </w:t>
                    </w:r>
                    <w:r>
                      <w:rPr>
                        <w:rFonts w:ascii="Myriad Pro" w:hAnsi="Myriad Pro"/>
                        <w:color w:val="231F20"/>
                        <w:spacing w:val="-5"/>
                        <w:sz w:val="20"/>
                      </w:rPr>
                      <w:t>discrimination positive </w:t>
                    </w:r>
                    <w:r>
                      <w:rPr>
                        <w:rFonts w:ascii="Myriad Pro" w:hAnsi="Myriad Pro"/>
                        <w:color w:val="231F20"/>
                        <w:spacing w:val="-3"/>
                        <w:sz w:val="20"/>
                      </w:rPr>
                      <w:t>en </w:t>
                    </w:r>
                    <w:r>
                      <w:rPr>
                        <w:rFonts w:ascii="Myriad Pro" w:hAnsi="Myriad Pro"/>
                        <w:color w:val="231F20"/>
                        <w:spacing w:val="-5"/>
                        <w:sz w:val="20"/>
                      </w:rPr>
                      <w:t>faveur des groupes marginalisés </w:t>
                    </w:r>
                    <w:r>
                      <w:rPr>
                        <w:rFonts w:ascii="Myriad Pro" w:hAnsi="Myriad Pro"/>
                        <w:color w:val="231F20"/>
                        <w:spacing w:val="-3"/>
                        <w:sz w:val="20"/>
                      </w:rPr>
                      <w:t>en </w:t>
                    </w:r>
                    <w:r>
                      <w:rPr>
                        <w:rFonts w:ascii="Myriad Pro" w:hAnsi="Myriad Pro"/>
                        <w:color w:val="231F20"/>
                        <w:spacing w:val="-5"/>
                        <w:sz w:val="20"/>
                      </w:rPr>
                      <w:t>raison </w:t>
                    </w:r>
                    <w:r>
                      <w:rPr>
                        <w:rFonts w:ascii="Myriad Pro" w:hAnsi="Myriad Pro"/>
                        <w:color w:val="231F20"/>
                        <w:spacing w:val="-3"/>
                        <w:sz w:val="20"/>
                      </w:rPr>
                      <w:t>de </w:t>
                    </w:r>
                    <w:r>
                      <w:rPr>
                        <w:rFonts w:ascii="Myriad Pro" w:hAnsi="Myriad Pro"/>
                        <w:color w:val="231F20"/>
                        <w:spacing w:val="-4"/>
                        <w:sz w:val="20"/>
                      </w:rPr>
                      <w:t>leur </w:t>
                    </w:r>
                    <w:r>
                      <w:rPr>
                        <w:rFonts w:ascii="Myriad Pro" w:hAnsi="Myriad Pro"/>
                        <w:color w:val="231F20"/>
                        <w:spacing w:val="-6"/>
                        <w:sz w:val="20"/>
                      </w:rPr>
                      <w:t>sexe, </w:t>
                    </w:r>
                    <w:r>
                      <w:rPr>
                        <w:rFonts w:ascii="Myriad Pro" w:hAnsi="Myriad Pro"/>
                        <w:color w:val="231F20"/>
                        <w:spacing w:val="-3"/>
                        <w:sz w:val="20"/>
                      </w:rPr>
                      <w:t>de </w:t>
                    </w:r>
                    <w:r>
                      <w:rPr>
                        <w:rFonts w:ascii="Myriad Pro" w:hAnsi="Myriad Pro"/>
                        <w:color w:val="231F20"/>
                        <w:spacing w:val="-4"/>
                        <w:sz w:val="20"/>
                      </w:rPr>
                      <w:t>leur </w:t>
                    </w:r>
                    <w:r>
                      <w:rPr>
                        <w:rFonts w:ascii="Myriad Pro" w:hAnsi="Myriad Pro"/>
                        <w:color w:val="231F20"/>
                        <w:spacing w:val="-5"/>
                        <w:sz w:val="20"/>
                      </w:rPr>
                      <w:t>âge, </w:t>
                    </w:r>
                    <w:r>
                      <w:rPr>
                        <w:rFonts w:ascii="Myriad Pro" w:hAnsi="Myriad Pro"/>
                        <w:color w:val="231F20"/>
                        <w:spacing w:val="-3"/>
                        <w:sz w:val="20"/>
                      </w:rPr>
                      <w:t>de </w:t>
                    </w:r>
                    <w:r>
                      <w:rPr>
                        <w:rFonts w:ascii="Myriad Pro" w:hAnsi="Myriad Pro"/>
                        <w:color w:val="231F20"/>
                        <w:spacing w:val="-4"/>
                        <w:sz w:val="20"/>
                      </w:rPr>
                      <w:t>leur </w:t>
                    </w:r>
                    <w:r>
                      <w:rPr>
                        <w:rFonts w:ascii="Myriad Pro" w:hAnsi="Myriad Pro"/>
                        <w:color w:val="231F20"/>
                        <w:spacing w:val="-5"/>
                        <w:sz w:val="20"/>
                      </w:rPr>
                      <w:t>handicap </w:t>
                    </w:r>
                    <w:r>
                      <w:rPr>
                        <w:rFonts w:ascii="Myriad Pro" w:hAnsi="Myriad Pro"/>
                        <w:color w:val="231F20"/>
                        <w:spacing w:val="-3"/>
                        <w:sz w:val="20"/>
                      </w:rPr>
                      <w:t>ou </w:t>
                    </w:r>
                    <w:r>
                      <w:rPr>
                        <w:rFonts w:ascii="Myriad Pro" w:hAnsi="Myriad Pro"/>
                        <w:color w:val="231F20"/>
                        <w:spacing w:val="-4"/>
                        <w:sz w:val="20"/>
                      </w:rPr>
                      <w:t>pour </w:t>
                    </w:r>
                    <w:r>
                      <w:rPr>
                        <w:rFonts w:ascii="Myriad Pro" w:hAnsi="Myriad Pro"/>
                        <w:color w:val="231F20"/>
                        <w:spacing w:val="-5"/>
                        <w:sz w:val="20"/>
                      </w:rPr>
                      <w:t>tout autre </w:t>
                    </w:r>
                    <w:r>
                      <w:rPr>
                        <w:rFonts w:ascii="Myriad Pro" w:hAnsi="Myriad Pro"/>
                        <w:color w:val="231F20"/>
                        <w:spacing w:val="-4"/>
                        <w:sz w:val="20"/>
                      </w:rPr>
                      <w:t>motif issu </w:t>
                    </w:r>
                    <w:r>
                      <w:rPr>
                        <w:rFonts w:ascii="Myriad Pro" w:hAnsi="Myriad Pro"/>
                        <w:color w:val="231F20"/>
                        <w:spacing w:val="-3"/>
                        <w:sz w:val="20"/>
                      </w:rPr>
                      <w:t>de </w:t>
                    </w:r>
                    <w:r>
                      <w:rPr>
                        <w:rFonts w:ascii="Myriad Pro" w:hAnsi="Myriad Pro"/>
                        <w:color w:val="231F20"/>
                        <w:spacing w:val="-6"/>
                        <w:sz w:val="20"/>
                      </w:rPr>
                      <w:t>l’histoire, </w:t>
                    </w:r>
                    <w:r>
                      <w:rPr>
                        <w:rFonts w:ascii="Myriad Pro" w:hAnsi="Myriad Pro"/>
                        <w:color w:val="231F20"/>
                        <w:spacing w:val="-3"/>
                        <w:sz w:val="20"/>
                      </w:rPr>
                      <w:t>de la </w:t>
                    </w:r>
                    <w:r>
                      <w:rPr>
                        <w:rFonts w:ascii="Myriad Pro" w:hAnsi="Myriad Pro"/>
                        <w:color w:val="231F20"/>
                        <w:spacing w:val="-5"/>
                        <w:sz w:val="20"/>
                      </w:rPr>
                      <w:t>tradition </w:t>
                    </w:r>
                    <w:r>
                      <w:rPr>
                        <w:rFonts w:ascii="Myriad Pro" w:hAnsi="Myriad Pro"/>
                        <w:color w:val="231F20"/>
                        <w:spacing w:val="-3"/>
                        <w:sz w:val="20"/>
                      </w:rPr>
                      <w:t>ou de la </w:t>
                    </w:r>
                    <w:r>
                      <w:rPr>
                        <w:rFonts w:ascii="Myriad Pro" w:hAnsi="Myriad Pro"/>
                        <w:color w:val="231F20"/>
                        <w:spacing w:val="-5"/>
                        <w:sz w:val="20"/>
                      </w:rPr>
                      <w:t>coutume, </w:t>
                    </w:r>
                    <w:r>
                      <w:rPr>
                        <w:rFonts w:ascii="Myriad Pro" w:hAnsi="Myriad Pro"/>
                        <w:color w:val="231F20"/>
                        <w:spacing w:val="-3"/>
                        <w:sz w:val="20"/>
                      </w:rPr>
                      <w:t>afin de </w:t>
                    </w:r>
                    <w:r>
                      <w:rPr>
                        <w:rFonts w:ascii="Myriad Pro" w:hAnsi="Myriad Pro"/>
                        <w:color w:val="231F20"/>
                        <w:spacing w:val="-5"/>
                        <w:sz w:val="20"/>
                      </w:rPr>
                      <w:t>corriger </w:t>
                    </w:r>
                    <w:r>
                      <w:rPr>
                        <w:rFonts w:ascii="Myriad Pro" w:hAnsi="Myriad Pro"/>
                        <w:color w:val="231F20"/>
                        <w:spacing w:val="-4"/>
                        <w:sz w:val="20"/>
                      </w:rPr>
                      <w:t>les </w:t>
                    </w:r>
                    <w:r>
                      <w:rPr>
                        <w:rFonts w:ascii="Myriad Pro" w:hAnsi="Myriad Pro"/>
                        <w:color w:val="231F20"/>
                        <w:spacing w:val="-5"/>
                        <w:sz w:val="20"/>
                      </w:rPr>
                      <w:t>déséquilibres qui existent </w:t>
                    </w:r>
                    <w:r>
                      <w:rPr>
                        <w:rFonts w:ascii="Myriad Pro" w:hAnsi="Myriad Pro"/>
                        <w:color w:val="231F20"/>
                        <w:sz w:val="20"/>
                      </w:rPr>
                      <w:t>à </w:t>
                    </w:r>
                    <w:r>
                      <w:rPr>
                        <w:rFonts w:ascii="Myriad Pro" w:hAnsi="Myriad Pro"/>
                        <w:color w:val="231F20"/>
                        <w:spacing w:val="-4"/>
                        <w:sz w:val="20"/>
                      </w:rPr>
                      <w:t>leur </w:t>
                    </w:r>
                    <w:r>
                      <w:rPr>
                        <w:rFonts w:ascii="Myriad Pro" w:hAnsi="Myriad Pro"/>
                        <w:color w:val="231F20"/>
                        <w:spacing w:val="-5"/>
                        <w:sz w:val="20"/>
                      </w:rPr>
                      <w:t>encontre ».</w:t>
                    </w:r>
                  </w:p>
                  <w:p>
                    <w:pPr>
                      <w:spacing w:line="259" w:lineRule="auto" w:before="57"/>
                      <w:ind w:left="180" w:right="196" w:firstLine="0"/>
                      <w:jc w:val="left"/>
                      <w:rPr>
                        <w:rFonts w:ascii="Myriad Pro" w:hAnsi="Myriad Pro"/>
                        <w:sz w:val="20"/>
                      </w:rPr>
                    </w:pPr>
                    <w:r>
                      <w:rPr>
                        <w:rFonts w:ascii="Myriad Pro" w:hAnsi="Myriad Pro"/>
                        <w:color w:val="231F20"/>
                        <w:spacing w:val="-7"/>
                        <w:sz w:val="20"/>
                      </w:rPr>
                      <w:t>L’article </w:t>
                    </w:r>
                    <w:r>
                      <w:rPr>
                        <w:rFonts w:ascii="Myriad Pro" w:hAnsi="Myriad Pro"/>
                        <w:color w:val="231F20"/>
                        <w:sz w:val="20"/>
                      </w:rPr>
                      <w:t>9 </w:t>
                    </w:r>
                    <w:r>
                      <w:rPr>
                        <w:rFonts w:ascii="Myriad Pro" w:hAnsi="Myriad Pro"/>
                        <w:color w:val="231F20"/>
                        <w:spacing w:val="-3"/>
                        <w:sz w:val="20"/>
                      </w:rPr>
                      <w:t>de la </w:t>
                    </w:r>
                    <w:r>
                      <w:rPr>
                        <w:rFonts w:ascii="Myriad Pro" w:hAnsi="Myriad Pro"/>
                        <w:color w:val="231F20"/>
                        <w:spacing w:val="-5"/>
                        <w:sz w:val="20"/>
                      </w:rPr>
                      <w:t>Constitution </w:t>
                    </w:r>
                    <w:r>
                      <w:rPr>
                        <w:rFonts w:ascii="Myriad Pro" w:hAnsi="Myriad Pro"/>
                        <w:color w:val="231F20"/>
                        <w:spacing w:val="-7"/>
                        <w:sz w:val="20"/>
                      </w:rPr>
                      <w:t>d’Afrique </w:t>
                    </w:r>
                    <w:r>
                      <w:rPr>
                        <w:rFonts w:ascii="Myriad Pro" w:hAnsi="Myriad Pro"/>
                        <w:color w:val="231F20"/>
                        <w:spacing w:val="-3"/>
                        <w:sz w:val="20"/>
                      </w:rPr>
                      <w:t>du </w:t>
                    </w:r>
                    <w:r>
                      <w:rPr>
                        <w:rFonts w:ascii="Myriad Pro" w:hAnsi="Myriad Pro"/>
                        <w:color w:val="231F20"/>
                        <w:spacing w:val="-4"/>
                        <w:sz w:val="20"/>
                      </w:rPr>
                      <w:t>Sud </w:t>
                    </w:r>
                    <w:r>
                      <w:rPr>
                        <w:rFonts w:ascii="Myriad Pro" w:hAnsi="Myriad Pro"/>
                        <w:color w:val="231F20"/>
                        <w:spacing w:val="-5"/>
                        <w:sz w:val="20"/>
                      </w:rPr>
                      <w:t>prévoit </w:t>
                    </w:r>
                    <w:r>
                      <w:rPr>
                        <w:rFonts w:ascii="Myriad Pro" w:hAnsi="Myriad Pro"/>
                        <w:color w:val="231F20"/>
                        <w:sz w:val="20"/>
                      </w:rPr>
                      <w:t>: « </w:t>
                    </w:r>
                    <w:r>
                      <w:rPr>
                        <w:rFonts w:ascii="Myriad Pro" w:hAnsi="Myriad Pro"/>
                        <w:color w:val="231F20"/>
                        <w:spacing w:val="-4"/>
                        <w:sz w:val="20"/>
                      </w:rPr>
                      <w:t>...afin </w:t>
                    </w:r>
                    <w:r>
                      <w:rPr>
                        <w:rFonts w:ascii="Myriad Pro" w:hAnsi="Myriad Pro"/>
                        <w:color w:val="231F20"/>
                        <w:spacing w:val="-3"/>
                        <w:sz w:val="20"/>
                      </w:rPr>
                      <w:t>de </w:t>
                    </w:r>
                    <w:r>
                      <w:rPr>
                        <w:rFonts w:ascii="Myriad Pro" w:hAnsi="Myriad Pro"/>
                        <w:color w:val="231F20"/>
                        <w:spacing w:val="-5"/>
                        <w:sz w:val="20"/>
                      </w:rPr>
                      <w:t>promouvoir </w:t>
                    </w:r>
                    <w:r>
                      <w:rPr>
                        <w:rFonts w:ascii="Myriad Pro" w:hAnsi="Myriad Pro"/>
                        <w:color w:val="231F20"/>
                        <w:spacing w:val="-7"/>
                        <w:sz w:val="20"/>
                      </w:rPr>
                      <w:t>l’égalité, </w:t>
                    </w:r>
                    <w:r>
                      <w:rPr>
                        <w:rFonts w:ascii="Myriad Pro" w:hAnsi="Myriad Pro"/>
                        <w:color w:val="231F20"/>
                        <w:spacing w:val="-5"/>
                        <w:sz w:val="20"/>
                      </w:rPr>
                      <w:t>des mesures législatives </w:t>
                    </w:r>
                    <w:r>
                      <w:rPr>
                        <w:rFonts w:ascii="Myriad Pro" w:hAnsi="Myriad Pro"/>
                        <w:color w:val="231F20"/>
                        <w:spacing w:val="-3"/>
                        <w:sz w:val="20"/>
                      </w:rPr>
                      <w:t>et </w:t>
                    </w:r>
                    <w:r>
                      <w:rPr>
                        <w:rFonts w:ascii="Myriad Pro" w:hAnsi="Myriad Pro"/>
                        <w:color w:val="231F20"/>
                        <w:spacing w:val="-5"/>
                        <w:sz w:val="20"/>
                      </w:rPr>
                      <w:t>autres, conçues </w:t>
                    </w:r>
                    <w:r>
                      <w:rPr>
                        <w:rFonts w:ascii="Myriad Pro" w:hAnsi="Myriad Pro"/>
                        <w:color w:val="231F20"/>
                        <w:spacing w:val="-4"/>
                        <w:sz w:val="20"/>
                      </w:rPr>
                      <w:t>pour </w:t>
                    </w:r>
                    <w:r>
                      <w:rPr>
                        <w:rFonts w:ascii="Myriad Pro" w:hAnsi="Myriad Pro"/>
                        <w:color w:val="231F20"/>
                        <w:spacing w:val="-5"/>
                        <w:sz w:val="20"/>
                      </w:rPr>
                      <w:t>protéger </w:t>
                    </w:r>
                    <w:r>
                      <w:rPr>
                        <w:rFonts w:ascii="Myriad Pro" w:hAnsi="Myriad Pro"/>
                        <w:color w:val="231F20"/>
                        <w:spacing w:val="-3"/>
                        <w:sz w:val="20"/>
                      </w:rPr>
                      <w:t>ou </w:t>
                    </w:r>
                    <w:r>
                      <w:rPr>
                        <w:rFonts w:ascii="Myriad Pro" w:hAnsi="Myriad Pro"/>
                        <w:color w:val="231F20"/>
                        <w:spacing w:val="-5"/>
                        <w:sz w:val="20"/>
                      </w:rPr>
                      <w:t>soutenir </w:t>
                    </w:r>
                    <w:r>
                      <w:rPr>
                        <w:rFonts w:ascii="Myriad Pro" w:hAnsi="Myriad Pro"/>
                        <w:color w:val="231F20"/>
                        <w:spacing w:val="-4"/>
                        <w:sz w:val="20"/>
                      </w:rPr>
                      <w:t>des </w:t>
                    </w:r>
                    <w:r>
                      <w:rPr>
                        <w:rFonts w:ascii="Myriad Pro" w:hAnsi="Myriad Pro"/>
                        <w:color w:val="231F20"/>
                        <w:spacing w:val="-5"/>
                        <w:sz w:val="20"/>
                      </w:rPr>
                      <w:t>personnes </w:t>
                    </w:r>
                    <w:r>
                      <w:rPr>
                        <w:rFonts w:ascii="Myriad Pro" w:hAnsi="Myriad Pro"/>
                        <w:color w:val="231F20"/>
                        <w:spacing w:val="-3"/>
                        <w:sz w:val="20"/>
                      </w:rPr>
                      <w:t>ou </w:t>
                    </w:r>
                    <w:r>
                      <w:rPr>
                        <w:rFonts w:ascii="Myriad Pro" w:hAnsi="Myriad Pro"/>
                        <w:color w:val="231F20"/>
                        <w:spacing w:val="-5"/>
                        <w:sz w:val="20"/>
                      </w:rPr>
                      <w:t>des catégories </w:t>
                    </w:r>
                    <w:r>
                      <w:rPr>
                        <w:rFonts w:ascii="Myriad Pro" w:hAnsi="Myriad Pro"/>
                        <w:color w:val="231F20"/>
                        <w:spacing w:val="-3"/>
                        <w:sz w:val="20"/>
                      </w:rPr>
                      <w:t>de </w:t>
                    </w:r>
                    <w:r>
                      <w:rPr>
                        <w:rFonts w:ascii="Myriad Pro" w:hAnsi="Myriad Pro"/>
                        <w:color w:val="231F20"/>
                        <w:spacing w:val="-5"/>
                        <w:sz w:val="20"/>
                      </w:rPr>
                      <w:t>personnes désavantagées </w:t>
                    </w:r>
                    <w:r>
                      <w:rPr>
                        <w:rFonts w:ascii="Myriad Pro" w:hAnsi="Myriad Pro"/>
                        <w:color w:val="231F20"/>
                        <w:spacing w:val="-4"/>
                        <w:sz w:val="20"/>
                      </w:rPr>
                      <w:t>par une </w:t>
                    </w:r>
                    <w:r>
                      <w:rPr>
                        <w:rFonts w:ascii="Myriad Pro" w:hAnsi="Myriad Pro"/>
                        <w:color w:val="231F20"/>
                        <w:spacing w:val="-5"/>
                        <w:sz w:val="20"/>
                      </w:rPr>
                      <w:t>discrimination abusive, peuvent être prises ».</w:t>
                    </w:r>
                  </w:p>
                  <w:p>
                    <w:pPr>
                      <w:spacing w:line="200" w:lineRule="exact" w:before="84"/>
                      <w:ind w:left="180" w:right="196" w:firstLine="0"/>
                      <w:jc w:val="left"/>
                      <w:rPr>
                        <w:b w:val="0"/>
                        <w:i/>
                        <w:sz w:val="18"/>
                      </w:rPr>
                    </w:pPr>
                    <w:r>
                      <w:rPr>
                        <w:b w:val="0"/>
                        <w:i/>
                        <w:color w:val="231F20"/>
                        <w:sz w:val="18"/>
                      </w:rPr>
                      <w:t>Source : DAES, HCDH et Union interparlementaire, From Exclusion to Equality: Realizing the Rights of Persons </w:t>
                    </w:r>
                    <w:r>
                      <w:rPr>
                        <w:b w:val="0"/>
                        <w:i/>
                        <w:color w:val="231F20"/>
                        <w:sz w:val="18"/>
                      </w:rPr>
                      <w:t>with Disabilities: Handbook for Parliamentarians (2007), pp 53.</w:t>
                    </w:r>
                  </w:p>
                </w:txbxContent>
              </v:textbox>
              <w10:wrap type="none"/>
            </v:shape>
            <w10:wrap type="topAndBottom"/>
          </v:group>
        </w:pict>
      </w:r>
      <w:r>
        <w:rPr/>
        <w:pict>
          <v:group style="position:absolute;margin-left:56.192902pt;margin-top:300.304504pt;width:394.05pt;height:123.6pt;mso-position-horizontal-relative:page;mso-position-vertical-relative:paragraph;z-index:2320;mso-wrap-distance-left:0;mso-wrap-distance-right:0" coordorigin="1124,6006" coordsize="7881,2472">
            <v:rect style="position:absolute;left:1134;top:6016;width:7860;height:2452" filled="true" fillcolor="#e6e7e8" stroked="false">
              <v:fill type="solid"/>
            </v:rect>
            <v:rect style="position:absolute;left:1134;top:6006;width:7860;height:20" filled="true" fillcolor="#231f20" stroked="false">
              <v:fill type="solid"/>
            </v:rect>
            <v:line style="position:absolute" from="1134,8468" to="8994,8468" stroked="true" strokeweight="1pt" strokecolor="#231f20"/>
            <v:shape style="position:absolute;left:1134;top:6016;width:7861;height:2452" type="#_x0000_t202" filled="false" stroked="false">
              <v:textbox inset="0,0,0,0">
                <w:txbxContent>
                  <w:p>
                    <w:pPr>
                      <w:spacing w:before="61"/>
                      <w:ind w:left="2435" w:right="167" w:firstLine="0"/>
                      <w:jc w:val="left"/>
                      <w:rPr>
                        <w:rFonts w:ascii="Myriad Pro"/>
                        <w:b/>
                        <w:sz w:val="22"/>
                      </w:rPr>
                    </w:pPr>
                    <w:r>
                      <w:rPr>
                        <w:rFonts w:ascii="Myriad Pro"/>
                        <w:b/>
                        <w:color w:val="231F20"/>
                        <w:sz w:val="22"/>
                      </w:rPr>
                      <w:t>Point sur la situation nationale</w:t>
                    </w:r>
                  </w:p>
                  <w:p>
                    <w:pPr>
                      <w:spacing w:line="259" w:lineRule="auto" w:before="43"/>
                      <w:ind w:left="79" w:right="167" w:firstLine="0"/>
                      <w:jc w:val="left"/>
                      <w:rPr>
                        <w:rFonts w:ascii="Myriad Pro" w:hAnsi="Myriad Pro"/>
                        <w:sz w:val="20"/>
                      </w:rPr>
                    </w:pPr>
                    <w:r>
                      <w:rPr>
                        <w:rFonts w:ascii="Myriad Pro" w:hAnsi="Myriad Pro"/>
                        <w:color w:val="231F20"/>
                        <w:sz w:val="20"/>
                      </w:rPr>
                      <w:t>Comment les principes de la CDPH peuvent-ils être appliqués en développant les lois et politiques dans votre pays ? Quels principes sont pertinents pour l’élaboration :</w:t>
                    </w:r>
                  </w:p>
                  <w:p>
                    <w:pPr>
                      <w:spacing w:before="37"/>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10"/>
                        <w:sz w:val="20"/>
                      </w:rPr>
                      <w:t>d’un Code électoral ?</w:t>
                    </w:r>
                  </w:p>
                  <w:p>
                    <w:pPr>
                      <w:spacing w:before="56"/>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d’une loi de protection de l’enfance ?</w:t>
                    </w:r>
                  </w:p>
                  <w:p>
                    <w:pPr>
                      <w:spacing w:before="56"/>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d’un Code de la construction ?</w:t>
                    </w:r>
                  </w:p>
                  <w:p>
                    <w:pPr>
                      <w:spacing w:before="56"/>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d’une loi sur l’enregistrement des naissances ?</w:t>
                    </w:r>
                  </w:p>
                  <w:p>
                    <w:pPr>
                      <w:spacing w:before="56"/>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d’une loi relative aux droits de l’homme ?</w:t>
                    </w:r>
                  </w:p>
                </w:txbxContent>
              </v:textbox>
              <w10:wrap type="none"/>
            </v:shape>
            <w10:wrap type="topAndBottom"/>
          </v:group>
        </w:pict>
      </w:r>
    </w:p>
    <w:p>
      <w:pPr>
        <w:pStyle w:val="BodyText"/>
        <w:spacing w:before="4"/>
        <w:rPr>
          <w:rFonts w:ascii="Myriad Pro"/>
          <w:sz w:val="27"/>
        </w:rPr>
      </w:pPr>
    </w:p>
    <w:p>
      <w:pPr>
        <w:pStyle w:val="BodyText"/>
        <w:rPr>
          <w:rFonts w:ascii="Myriad Pro"/>
          <w:sz w:val="20"/>
        </w:rPr>
      </w:pPr>
    </w:p>
    <w:p>
      <w:pPr>
        <w:pStyle w:val="BodyText"/>
        <w:spacing w:before="1"/>
        <w:rPr>
          <w:rFonts w:ascii="Myriad Pro"/>
          <w:sz w:val="15"/>
        </w:rPr>
      </w:pPr>
    </w:p>
    <w:p>
      <w:pPr>
        <w:pStyle w:val="Heading3"/>
        <w:spacing w:before="50"/>
        <w:ind w:left="113"/>
        <w:rPr>
          <w:b/>
        </w:rPr>
      </w:pPr>
      <w:r>
        <w:rPr>
          <w:b/>
          <w:color w:val="FDB714"/>
        </w:rPr>
        <w:t>Normes relatives à des droits spécifiques sur le handicap</w:t>
      </w:r>
    </w:p>
    <w:p>
      <w:pPr>
        <w:pStyle w:val="BodyText"/>
        <w:spacing w:line="266" w:lineRule="auto" w:before="127"/>
        <w:ind w:left="113" w:right="2943"/>
        <w:rPr>
          <w:b w:val="0"/>
        </w:rPr>
      </w:pPr>
      <w:r>
        <w:rPr>
          <w:b w:val="0"/>
          <w:color w:val="231F20"/>
        </w:rPr>
        <w:t>Toutes les dispositions de la CDPH ont trait au cadre juridique des droits de l’homme en général, mais elles représentent un développement de ce cadre et constituent un guide plus spécifique pour aider les États à comprendre comment les obligations en matière de droits de l’homme sont liées à la situation des personnes handicapées.</w:t>
      </w:r>
    </w:p>
    <w:p>
      <w:pPr>
        <w:pStyle w:val="BodyText"/>
        <w:rPr>
          <w:b w:val="0"/>
          <w:sz w:val="20"/>
        </w:rPr>
      </w:pPr>
    </w:p>
    <w:p>
      <w:pPr>
        <w:pStyle w:val="BodyText"/>
        <w:spacing w:before="6"/>
        <w:rPr>
          <w:b w:val="0"/>
          <w:sz w:val="16"/>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6"/>
        <w:gridCol w:w="6308"/>
        <w:gridCol w:w="1186"/>
      </w:tblGrid>
      <w:tr>
        <w:trPr>
          <w:trHeight w:val="363" w:hRule="exact"/>
        </w:trPr>
        <w:tc>
          <w:tcPr>
            <w:tcW w:w="7880" w:type="dxa"/>
            <w:gridSpan w:val="3"/>
            <w:shd w:val="clear" w:color="auto" w:fill="FDB714"/>
          </w:tcPr>
          <w:p>
            <w:pPr>
              <w:pStyle w:val="TableParagraph"/>
              <w:spacing w:before="32"/>
              <w:ind w:left="2013"/>
              <w:rPr>
                <w:b/>
                <w:sz w:val="22"/>
              </w:rPr>
            </w:pPr>
            <w:r>
              <w:rPr>
                <w:b/>
                <w:color w:val="FFFFFF"/>
                <w:sz w:val="22"/>
              </w:rPr>
              <w:t>Droits de l’homme définis dans la CDPH</w:t>
            </w:r>
          </w:p>
        </w:tc>
      </w:tr>
      <w:tr>
        <w:trPr>
          <w:trHeight w:val="408" w:hRule="exact"/>
        </w:trPr>
        <w:tc>
          <w:tcPr>
            <w:tcW w:w="386" w:type="dxa"/>
            <w:shd w:val="clear" w:color="auto" w:fill="FFF5E4"/>
          </w:tcPr>
          <w:p>
            <w:pPr>
              <w:pStyle w:val="TableParagraph"/>
              <w:spacing w:before="132"/>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spacing w:before="129"/>
              <w:ind w:left="66"/>
              <w:rPr>
                <w:sz w:val="20"/>
              </w:rPr>
            </w:pPr>
            <w:r>
              <w:rPr>
                <w:color w:val="231F20"/>
                <w:sz w:val="20"/>
              </w:rPr>
              <w:t>Égalité devant la loi sans discrimination</w:t>
            </w:r>
          </w:p>
        </w:tc>
        <w:tc>
          <w:tcPr>
            <w:tcW w:w="1186" w:type="dxa"/>
            <w:shd w:val="clear" w:color="auto" w:fill="FFF5E4"/>
          </w:tcPr>
          <w:p>
            <w:pPr>
              <w:pStyle w:val="TableParagraph"/>
              <w:spacing w:before="129"/>
              <w:ind w:left="121" w:right="51"/>
              <w:jc w:val="center"/>
              <w:rPr>
                <w:sz w:val="20"/>
              </w:rPr>
            </w:pPr>
            <w:r>
              <w:rPr>
                <w:color w:val="231F20"/>
                <w:sz w:val="20"/>
              </w:rPr>
              <w:t>(article 5)</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à la vie</w:t>
            </w:r>
          </w:p>
        </w:tc>
        <w:tc>
          <w:tcPr>
            <w:tcW w:w="1186" w:type="dxa"/>
            <w:shd w:val="clear" w:color="auto" w:fill="FFF5E4"/>
          </w:tcPr>
          <w:p>
            <w:pPr>
              <w:pStyle w:val="TableParagraph"/>
              <w:ind w:left="121" w:right="151"/>
              <w:jc w:val="center"/>
              <w:rPr>
                <w:sz w:val="20"/>
              </w:rPr>
            </w:pPr>
            <w:r>
              <w:rPr>
                <w:color w:val="231F20"/>
                <w:sz w:val="20"/>
              </w:rPr>
              <w:t>(article 10)</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Reconnaissance de la personnalité juridique dans des conditions d’égalité</w:t>
            </w:r>
          </w:p>
        </w:tc>
        <w:tc>
          <w:tcPr>
            <w:tcW w:w="1186" w:type="dxa"/>
            <w:shd w:val="clear" w:color="auto" w:fill="FFF5E4"/>
          </w:tcPr>
          <w:p>
            <w:pPr>
              <w:pStyle w:val="TableParagraph"/>
              <w:ind w:left="121" w:right="151"/>
              <w:jc w:val="center"/>
              <w:rPr>
                <w:sz w:val="20"/>
              </w:rPr>
            </w:pPr>
            <w:r>
              <w:rPr>
                <w:color w:val="231F20"/>
                <w:sz w:val="20"/>
              </w:rPr>
              <w:t>(article 12)</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à la vie, à la liberté et à la sécurité de la personne</w:t>
            </w:r>
          </w:p>
        </w:tc>
        <w:tc>
          <w:tcPr>
            <w:tcW w:w="1186" w:type="dxa"/>
            <w:shd w:val="clear" w:color="auto" w:fill="FFF5E4"/>
          </w:tcPr>
          <w:p>
            <w:pPr>
              <w:pStyle w:val="TableParagraph"/>
              <w:ind w:left="121" w:right="151"/>
              <w:jc w:val="center"/>
              <w:rPr>
                <w:sz w:val="20"/>
              </w:rPr>
            </w:pPr>
            <w:r>
              <w:rPr>
                <w:color w:val="231F20"/>
                <w:sz w:val="20"/>
              </w:rPr>
              <w:t>(article 14)</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de ne pas être soumis à la torture</w:t>
            </w:r>
          </w:p>
        </w:tc>
        <w:tc>
          <w:tcPr>
            <w:tcW w:w="1186" w:type="dxa"/>
            <w:shd w:val="clear" w:color="auto" w:fill="FFF5E4"/>
          </w:tcPr>
          <w:p>
            <w:pPr>
              <w:pStyle w:val="TableParagraph"/>
              <w:ind w:left="121" w:right="151"/>
              <w:jc w:val="center"/>
              <w:rPr>
                <w:sz w:val="20"/>
              </w:rPr>
            </w:pPr>
            <w:r>
              <w:rPr>
                <w:color w:val="231F20"/>
                <w:sz w:val="20"/>
              </w:rPr>
              <w:t>(article 15)</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de ne pas être soumis à </w:t>
            </w:r>
            <w:r>
              <w:rPr>
                <w:color w:val="231F20"/>
                <w:spacing w:val="-3"/>
                <w:sz w:val="20"/>
              </w:rPr>
              <w:t>l’exploitation, </w:t>
            </w:r>
            <w:r>
              <w:rPr>
                <w:color w:val="231F20"/>
                <w:sz w:val="20"/>
              </w:rPr>
              <w:t>à la violence et à la </w:t>
            </w:r>
            <w:r>
              <w:rPr>
                <w:color w:val="231F20"/>
                <w:spacing w:val="-3"/>
                <w:sz w:val="20"/>
              </w:rPr>
              <w:t>maltraitance</w:t>
            </w:r>
          </w:p>
        </w:tc>
        <w:tc>
          <w:tcPr>
            <w:tcW w:w="1186" w:type="dxa"/>
            <w:shd w:val="clear" w:color="auto" w:fill="FFF5E4"/>
          </w:tcPr>
          <w:p>
            <w:pPr>
              <w:pStyle w:val="TableParagraph"/>
              <w:ind w:left="121" w:right="151"/>
              <w:jc w:val="center"/>
              <w:rPr>
                <w:sz w:val="20"/>
              </w:rPr>
            </w:pPr>
            <w:r>
              <w:rPr>
                <w:color w:val="231F20"/>
                <w:sz w:val="20"/>
              </w:rPr>
              <w:t>(article 16)</w:t>
            </w:r>
          </w:p>
        </w:tc>
      </w:tr>
      <w:tr>
        <w:trPr>
          <w:trHeight w:val="297"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à la protection de l’intégrité de la personne</w:t>
            </w:r>
          </w:p>
        </w:tc>
        <w:tc>
          <w:tcPr>
            <w:tcW w:w="1186" w:type="dxa"/>
            <w:shd w:val="clear" w:color="auto" w:fill="FFF5E4"/>
          </w:tcPr>
          <w:p>
            <w:pPr>
              <w:pStyle w:val="TableParagraph"/>
              <w:ind w:left="121" w:right="151"/>
              <w:jc w:val="center"/>
              <w:rPr>
                <w:sz w:val="20"/>
              </w:rPr>
            </w:pPr>
            <w:r>
              <w:rPr>
                <w:color w:val="231F20"/>
                <w:sz w:val="20"/>
              </w:rPr>
              <w:t>(article 17)</w:t>
            </w:r>
          </w:p>
        </w:tc>
      </w:tr>
      <w:tr>
        <w:trPr>
          <w:trHeight w:val="436" w:hRule="exact"/>
        </w:trPr>
        <w:tc>
          <w:tcPr>
            <w:tcW w:w="386" w:type="dxa"/>
            <w:shd w:val="clear" w:color="auto" w:fill="FFF5E4"/>
          </w:tcPr>
          <w:p>
            <w:pPr>
              <w:pStyle w:val="TableParagraph"/>
              <w:spacing w:before="21"/>
              <w:ind w:left="0" w:right="66"/>
              <w:jc w:val="right"/>
              <w:rPr>
                <w:rFonts w:ascii="Arial"/>
                <w:sz w:val="20"/>
              </w:rPr>
            </w:pPr>
            <w:r>
              <w:rPr>
                <w:rFonts w:ascii="Arial"/>
                <w:color w:val="231F20"/>
                <w:w w:val="149"/>
                <w:sz w:val="20"/>
              </w:rPr>
              <w:t>z</w:t>
            </w:r>
          </w:p>
        </w:tc>
        <w:tc>
          <w:tcPr>
            <w:tcW w:w="6308" w:type="dxa"/>
            <w:shd w:val="clear" w:color="auto" w:fill="FFF5E4"/>
          </w:tcPr>
          <w:p>
            <w:pPr>
              <w:pStyle w:val="TableParagraph"/>
              <w:ind w:left="66"/>
              <w:rPr>
                <w:sz w:val="20"/>
              </w:rPr>
            </w:pPr>
            <w:r>
              <w:rPr>
                <w:color w:val="231F20"/>
                <w:sz w:val="20"/>
              </w:rPr>
              <w:t>Droit de circuler librement et nationalité</w:t>
            </w:r>
          </w:p>
        </w:tc>
        <w:tc>
          <w:tcPr>
            <w:tcW w:w="1186" w:type="dxa"/>
            <w:shd w:val="clear" w:color="auto" w:fill="FFF5E4"/>
          </w:tcPr>
          <w:p>
            <w:pPr>
              <w:pStyle w:val="TableParagraph"/>
              <w:ind w:left="121" w:right="151"/>
              <w:jc w:val="center"/>
              <w:rPr>
                <w:sz w:val="20"/>
              </w:rPr>
            </w:pPr>
            <w:r>
              <w:rPr>
                <w:color w:val="231F20"/>
                <w:sz w:val="20"/>
              </w:rPr>
              <w:t>(article 18)</w:t>
            </w:r>
          </w:p>
        </w:tc>
      </w:tr>
    </w:tbl>
    <w:p>
      <w:pPr>
        <w:pStyle w:val="BodyText"/>
        <w:rPr>
          <w:b w:val="0"/>
          <w:sz w:val="20"/>
        </w:rPr>
      </w:pPr>
    </w:p>
    <w:p>
      <w:pPr>
        <w:pStyle w:val="BodyText"/>
        <w:rPr>
          <w:b w:val="0"/>
          <w:sz w:val="20"/>
        </w:rPr>
      </w:pPr>
    </w:p>
    <w:p>
      <w:pPr>
        <w:pStyle w:val="BodyText"/>
        <w:rPr>
          <w:b w:val="0"/>
          <w:sz w:val="20"/>
        </w:rPr>
      </w:pPr>
    </w:p>
    <w:p>
      <w:pPr>
        <w:pStyle w:val="BodyText"/>
        <w:spacing w:before="9"/>
        <w:rPr>
          <w:b w:val="0"/>
          <w:sz w:val="20"/>
        </w:rPr>
      </w:pPr>
    </w:p>
    <w:p>
      <w:pPr>
        <w:spacing w:before="101"/>
        <w:ind w:left="4012"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6904"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10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161.4pt;mso-position-horizontal-relative:page;mso-position-vertical-relative:paragraph;z-index:2440;mso-wrap-distance-left:0;mso-wrap-distance-right:0" coordorigin="2881,365" coordsize="7901,3228">
            <v:rect style="position:absolute;left:2891;top:365;width:7880;height:3217" filled="true" fillcolor="#fff5e4" stroked="false">
              <v:fill type="solid"/>
            </v:rect>
            <v:line style="position:absolute" from="2891,3583" to="10772,3583" stroked="true" strokeweight="1pt" strokecolor="#fdb714"/>
            <v:shape style="position:absolute;left:3061;top:524;width:4833;height:2873" type="#_x0000_t202" filled="false" stroked="false">
              <v:textbox inset="0,0,0,0">
                <w:txbxContent>
                  <w:p>
                    <w:pPr>
                      <w:spacing w:line="212" w:lineRule="exact" w:before="0"/>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Autonomie de vie et inclusion dans la société</w:t>
                    </w:r>
                  </w:p>
                  <w:p>
                    <w:pPr>
                      <w:spacing w:before="56"/>
                      <w:ind w:left="0" w:right="-11" w:firstLine="0"/>
                      <w:jc w:val="left"/>
                      <w:rPr>
                        <w:rFonts w:ascii="Myriad Pro" w:hAnsi="Myriad Pro"/>
                        <w:sz w:val="20"/>
                      </w:rPr>
                    </w:pPr>
                    <w:r>
                      <w:rPr>
                        <w:rFonts w:ascii="Arial" w:hAnsi="Arial"/>
                        <w:color w:val="231F20"/>
                        <w:w w:val="105"/>
                        <w:sz w:val="20"/>
                      </w:rPr>
                      <w:t>z </w:t>
                    </w:r>
                    <w:r>
                      <w:rPr>
                        <w:rFonts w:ascii="Myriad Pro" w:hAnsi="Myriad Pro"/>
                        <w:color w:val="231F20"/>
                        <w:w w:val="105"/>
                        <w:sz w:val="20"/>
                      </w:rPr>
                      <w:t>Liberté d’expression et d’opinion</w:t>
                    </w:r>
                  </w:p>
                  <w:p>
                    <w:pPr>
                      <w:spacing w:before="56"/>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Respect de la vie privée</w:t>
                    </w:r>
                  </w:p>
                  <w:p>
                    <w:pPr>
                      <w:spacing w:before="56"/>
                      <w:ind w:left="0" w:right="-11" w:firstLine="0"/>
                      <w:jc w:val="left"/>
                      <w:rPr>
                        <w:rFonts w:ascii="Myriad Pro"/>
                        <w:sz w:val="20"/>
                      </w:rPr>
                    </w:pPr>
                    <w:r>
                      <w:rPr>
                        <w:rFonts w:ascii="Arial"/>
                        <w:color w:val="231F20"/>
                        <w:w w:val="120"/>
                        <w:sz w:val="20"/>
                      </w:rPr>
                      <w:t>z </w:t>
                    </w:r>
                    <w:r>
                      <w:rPr>
                        <w:rFonts w:ascii="Myriad Pro"/>
                        <w:color w:val="231F20"/>
                        <w:w w:val="105"/>
                        <w:sz w:val="20"/>
                      </w:rPr>
                      <w:t>Respect du domicile et de la famille</w:t>
                    </w:r>
                  </w:p>
                  <w:p>
                    <w:pPr>
                      <w:spacing w:before="56"/>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10"/>
                        <w:sz w:val="20"/>
                      </w:rPr>
                      <w:t>Droit à l’éducation</w:t>
                    </w:r>
                  </w:p>
                  <w:p>
                    <w:pPr>
                      <w:spacing w:before="56"/>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10"/>
                        <w:sz w:val="20"/>
                      </w:rPr>
                      <w:t>Droit à la santé</w:t>
                    </w:r>
                  </w:p>
                  <w:p>
                    <w:pPr>
                      <w:spacing w:before="56"/>
                      <w:ind w:left="0" w:right="-11" w:firstLine="0"/>
                      <w:jc w:val="left"/>
                      <w:rPr>
                        <w:rFonts w:ascii="Myriad Pro"/>
                        <w:sz w:val="20"/>
                      </w:rPr>
                    </w:pPr>
                    <w:r>
                      <w:rPr>
                        <w:rFonts w:ascii="Arial"/>
                        <w:color w:val="231F20"/>
                        <w:w w:val="120"/>
                        <w:sz w:val="20"/>
                      </w:rPr>
                      <w:t>z </w:t>
                    </w:r>
                    <w:r>
                      <w:rPr>
                        <w:rFonts w:ascii="Myriad Pro"/>
                        <w:color w:val="231F20"/>
                        <w:w w:val="110"/>
                        <w:sz w:val="20"/>
                      </w:rPr>
                      <w:t>Droit au travail</w:t>
                    </w:r>
                  </w:p>
                  <w:p>
                    <w:pPr>
                      <w:spacing w:before="56"/>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Droit à un niveau de vie adéquat</w:t>
                    </w:r>
                  </w:p>
                  <w:p>
                    <w:pPr>
                      <w:spacing w:before="56"/>
                      <w:ind w:left="0" w:right="-11" w:firstLine="0"/>
                      <w:jc w:val="left"/>
                      <w:rPr>
                        <w:rFonts w:ascii="Myriad Pro" w:hAnsi="Myriad Pro"/>
                        <w:sz w:val="20"/>
                      </w:rPr>
                    </w:pPr>
                    <w:r>
                      <w:rPr>
                        <w:rFonts w:ascii="Arial" w:hAnsi="Arial"/>
                        <w:color w:val="231F20"/>
                        <w:w w:val="120"/>
                        <w:sz w:val="20"/>
                      </w:rPr>
                      <w:t>z</w:t>
                    </w:r>
                    <w:r>
                      <w:rPr>
                        <w:rFonts w:ascii="Arial" w:hAnsi="Arial"/>
                        <w:color w:val="231F20"/>
                        <w:spacing w:val="28"/>
                        <w:w w:val="120"/>
                        <w:sz w:val="20"/>
                      </w:rPr>
                      <w:t> </w:t>
                    </w:r>
                    <w:r>
                      <w:rPr>
                        <w:rFonts w:ascii="Myriad Pro" w:hAnsi="Myriad Pro"/>
                        <w:color w:val="231F20"/>
                        <w:w w:val="105"/>
                        <w:sz w:val="20"/>
                      </w:rPr>
                      <w:t>Droit</w:t>
                    </w:r>
                    <w:r>
                      <w:rPr>
                        <w:rFonts w:ascii="Myriad Pro" w:hAnsi="Myriad Pro"/>
                        <w:color w:val="231F20"/>
                        <w:spacing w:val="-15"/>
                        <w:w w:val="105"/>
                        <w:sz w:val="20"/>
                      </w:rPr>
                      <w:t> </w:t>
                    </w:r>
                    <w:r>
                      <w:rPr>
                        <w:rFonts w:ascii="Myriad Pro" w:hAnsi="Myriad Pro"/>
                        <w:color w:val="231F20"/>
                        <w:w w:val="105"/>
                        <w:sz w:val="20"/>
                      </w:rPr>
                      <w:t>de</w:t>
                    </w:r>
                    <w:r>
                      <w:rPr>
                        <w:rFonts w:ascii="Myriad Pro" w:hAnsi="Myriad Pro"/>
                        <w:color w:val="231F20"/>
                        <w:spacing w:val="-15"/>
                        <w:w w:val="105"/>
                        <w:sz w:val="20"/>
                      </w:rPr>
                      <w:t> </w:t>
                    </w:r>
                    <w:r>
                      <w:rPr>
                        <w:rFonts w:ascii="Myriad Pro" w:hAnsi="Myriad Pro"/>
                        <w:color w:val="231F20"/>
                        <w:w w:val="105"/>
                        <w:sz w:val="20"/>
                      </w:rPr>
                      <w:t>participer</w:t>
                    </w:r>
                    <w:r>
                      <w:rPr>
                        <w:rFonts w:ascii="Myriad Pro" w:hAnsi="Myriad Pro"/>
                        <w:color w:val="231F20"/>
                        <w:spacing w:val="-15"/>
                        <w:w w:val="105"/>
                        <w:sz w:val="20"/>
                      </w:rPr>
                      <w:t> </w:t>
                    </w:r>
                    <w:r>
                      <w:rPr>
                        <w:rFonts w:ascii="Myriad Pro" w:hAnsi="Myriad Pro"/>
                        <w:color w:val="231F20"/>
                        <w:w w:val="105"/>
                        <w:sz w:val="20"/>
                      </w:rPr>
                      <w:t>à</w:t>
                    </w:r>
                    <w:r>
                      <w:rPr>
                        <w:rFonts w:ascii="Myriad Pro" w:hAnsi="Myriad Pro"/>
                        <w:color w:val="231F20"/>
                        <w:spacing w:val="-15"/>
                        <w:w w:val="105"/>
                        <w:sz w:val="20"/>
                      </w:rPr>
                      <w:t> </w:t>
                    </w:r>
                    <w:r>
                      <w:rPr>
                        <w:rFonts w:ascii="Myriad Pro" w:hAnsi="Myriad Pro"/>
                        <w:color w:val="231F20"/>
                        <w:w w:val="105"/>
                        <w:sz w:val="20"/>
                      </w:rPr>
                      <w:t>la</w:t>
                    </w:r>
                    <w:r>
                      <w:rPr>
                        <w:rFonts w:ascii="Myriad Pro" w:hAnsi="Myriad Pro"/>
                        <w:color w:val="231F20"/>
                        <w:spacing w:val="-15"/>
                        <w:w w:val="105"/>
                        <w:sz w:val="20"/>
                      </w:rPr>
                      <w:t> </w:t>
                    </w:r>
                    <w:r>
                      <w:rPr>
                        <w:rFonts w:ascii="Myriad Pro" w:hAnsi="Myriad Pro"/>
                        <w:color w:val="231F20"/>
                        <w:w w:val="105"/>
                        <w:sz w:val="20"/>
                      </w:rPr>
                      <w:t>vie</w:t>
                    </w:r>
                    <w:r>
                      <w:rPr>
                        <w:rFonts w:ascii="Myriad Pro" w:hAnsi="Myriad Pro"/>
                        <w:color w:val="231F20"/>
                        <w:spacing w:val="-15"/>
                        <w:w w:val="105"/>
                        <w:sz w:val="20"/>
                      </w:rPr>
                      <w:t> </w:t>
                    </w:r>
                    <w:r>
                      <w:rPr>
                        <w:rFonts w:ascii="Myriad Pro" w:hAnsi="Myriad Pro"/>
                        <w:color w:val="231F20"/>
                        <w:w w:val="105"/>
                        <w:sz w:val="20"/>
                      </w:rPr>
                      <w:t>politique</w:t>
                    </w:r>
                    <w:r>
                      <w:rPr>
                        <w:rFonts w:ascii="Myriad Pro" w:hAnsi="Myriad Pro"/>
                        <w:color w:val="231F20"/>
                        <w:spacing w:val="-15"/>
                        <w:w w:val="105"/>
                        <w:sz w:val="20"/>
                      </w:rPr>
                      <w:t> </w:t>
                    </w:r>
                    <w:r>
                      <w:rPr>
                        <w:rFonts w:ascii="Myriad Pro" w:hAnsi="Myriad Pro"/>
                        <w:color w:val="231F20"/>
                        <w:w w:val="105"/>
                        <w:sz w:val="20"/>
                      </w:rPr>
                      <w:t>et</w:t>
                    </w:r>
                    <w:r>
                      <w:rPr>
                        <w:rFonts w:ascii="Myriad Pro" w:hAnsi="Myriad Pro"/>
                        <w:color w:val="231F20"/>
                        <w:spacing w:val="-15"/>
                        <w:w w:val="105"/>
                        <w:sz w:val="20"/>
                      </w:rPr>
                      <w:t> </w:t>
                    </w:r>
                    <w:r>
                      <w:rPr>
                        <w:rFonts w:ascii="Myriad Pro" w:hAnsi="Myriad Pro"/>
                        <w:color w:val="231F20"/>
                        <w:w w:val="105"/>
                        <w:sz w:val="20"/>
                      </w:rPr>
                      <w:t>à</w:t>
                    </w:r>
                    <w:r>
                      <w:rPr>
                        <w:rFonts w:ascii="Myriad Pro" w:hAnsi="Myriad Pro"/>
                        <w:color w:val="231F20"/>
                        <w:spacing w:val="-15"/>
                        <w:w w:val="105"/>
                        <w:sz w:val="20"/>
                      </w:rPr>
                      <w:t> </w:t>
                    </w:r>
                    <w:r>
                      <w:rPr>
                        <w:rFonts w:ascii="Myriad Pro" w:hAnsi="Myriad Pro"/>
                        <w:color w:val="231F20"/>
                        <w:w w:val="105"/>
                        <w:sz w:val="20"/>
                      </w:rPr>
                      <w:t>la</w:t>
                    </w:r>
                    <w:r>
                      <w:rPr>
                        <w:rFonts w:ascii="Myriad Pro" w:hAnsi="Myriad Pro"/>
                        <w:color w:val="231F20"/>
                        <w:spacing w:val="-15"/>
                        <w:w w:val="105"/>
                        <w:sz w:val="20"/>
                      </w:rPr>
                      <w:t> </w:t>
                    </w:r>
                    <w:r>
                      <w:rPr>
                        <w:rFonts w:ascii="Myriad Pro" w:hAnsi="Myriad Pro"/>
                        <w:color w:val="231F20"/>
                        <w:w w:val="105"/>
                        <w:sz w:val="20"/>
                      </w:rPr>
                      <w:t>vie</w:t>
                    </w:r>
                    <w:r>
                      <w:rPr>
                        <w:rFonts w:ascii="Myriad Pro" w:hAnsi="Myriad Pro"/>
                        <w:color w:val="231F20"/>
                        <w:spacing w:val="-15"/>
                        <w:w w:val="105"/>
                        <w:sz w:val="20"/>
                      </w:rPr>
                      <w:t> </w:t>
                    </w:r>
                    <w:r>
                      <w:rPr>
                        <w:rFonts w:ascii="Myriad Pro" w:hAnsi="Myriad Pro"/>
                        <w:color w:val="231F20"/>
                        <w:w w:val="105"/>
                        <w:sz w:val="20"/>
                      </w:rPr>
                      <w:t>publique</w:t>
                    </w:r>
                  </w:p>
                  <w:p>
                    <w:pPr>
                      <w:spacing w:line="232" w:lineRule="exact" w:before="56"/>
                      <w:ind w:left="0" w:right="-11"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Droit de participer à la vie culturelle</w:t>
                    </w:r>
                  </w:p>
                </w:txbxContent>
              </v:textbox>
              <w10:wrap type="none"/>
            </v:shape>
            <v:shape style="position:absolute;left:9724;top:527;width:878;height:2870" type="#_x0000_t202" filled="false" stroked="false">
              <v:textbox inset="0,0,0,0">
                <w:txbxContent>
                  <w:p>
                    <w:pPr>
                      <w:spacing w:line="208" w:lineRule="exact" w:before="0"/>
                      <w:ind w:left="0" w:right="-15" w:firstLine="0"/>
                      <w:jc w:val="left"/>
                      <w:rPr>
                        <w:rFonts w:ascii="Myriad Pro"/>
                        <w:sz w:val="20"/>
                      </w:rPr>
                    </w:pPr>
                    <w:r>
                      <w:rPr>
                        <w:rFonts w:ascii="Myriad Pro"/>
                        <w:color w:val="231F20"/>
                        <w:sz w:val="20"/>
                      </w:rPr>
                      <w:t>(article 19)</w:t>
                    </w:r>
                  </w:p>
                  <w:p>
                    <w:pPr>
                      <w:spacing w:before="56"/>
                      <w:ind w:left="0" w:right="-15" w:firstLine="0"/>
                      <w:jc w:val="left"/>
                      <w:rPr>
                        <w:rFonts w:ascii="Myriad Pro"/>
                        <w:sz w:val="20"/>
                      </w:rPr>
                    </w:pPr>
                    <w:r>
                      <w:rPr>
                        <w:rFonts w:ascii="Myriad Pro"/>
                        <w:color w:val="231F20"/>
                        <w:sz w:val="20"/>
                      </w:rPr>
                      <w:t>(article 21)</w:t>
                    </w:r>
                  </w:p>
                  <w:p>
                    <w:pPr>
                      <w:spacing w:before="56"/>
                      <w:ind w:left="0" w:right="-15" w:firstLine="0"/>
                      <w:jc w:val="left"/>
                      <w:rPr>
                        <w:rFonts w:ascii="Myriad Pro"/>
                        <w:sz w:val="20"/>
                      </w:rPr>
                    </w:pPr>
                    <w:r>
                      <w:rPr>
                        <w:rFonts w:ascii="Myriad Pro"/>
                        <w:color w:val="231F20"/>
                        <w:sz w:val="20"/>
                      </w:rPr>
                      <w:t>(article 22)</w:t>
                    </w:r>
                  </w:p>
                  <w:p>
                    <w:pPr>
                      <w:spacing w:before="56"/>
                      <w:ind w:left="0" w:right="-15" w:firstLine="0"/>
                      <w:jc w:val="left"/>
                      <w:rPr>
                        <w:rFonts w:ascii="Myriad Pro"/>
                        <w:sz w:val="20"/>
                      </w:rPr>
                    </w:pPr>
                    <w:r>
                      <w:rPr>
                        <w:rFonts w:ascii="Myriad Pro"/>
                        <w:color w:val="231F20"/>
                        <w:sz w:val="20"/>
                      </w:rPr>
                      <w:t>(article 23)</w:t>
                    </w:r>
                  </w:p>
                  <w:p>
                    <w:pPr>
                      <w:spacing w:before="56"/>
                      <w:ind w:left="0" w:right="-15" w:firstLine="0"/>
                      <w:jc w:val="left"/>
                      <w:rPr>
                        <w:rFonts w:ascii="Myriad Pro"/>
                        <w:sz w:val="20"/>
                      </w:rPr>
                    </w:pPr>
                    <w:r>
                      <w:rPr>
                        <w:rFonts w:ascii="Myriad Pro"/>
                        <w:color w:val="231F20"/>
                        <w:sz w:val="20"/>
                      </w:rPr>
                      <w:t>(article 24)</w:t>
                    </w:r>
                  </w:p>
                  <w:p>
                    <w:pPr>
                      <w:spacing w:before="56"/>
                      <w:ind w:left="0" w:right="-15" w:firstLine="0"/>
                      <w:jc w:val="left"/>
                      <w:rPr>
                        <w:rFonts w:ascii="Myriad Pro"/>
                        <w:sz w:val="20"/>
                      </w:rPr>
                    </w:pPr>
                    <w:r>
                      <w:rPr>
                        <w:rFonts w:ascii="Myriad Pro"/>
                        <w:color w:val="231F20"/>
                        <w:sz w:val="20"/>
                      </w:rPr>
                      <w:t>(article 25)</w:t>
                    </w:r>
                  </w:p>
                  <w:p>
                    <w:pPr>
                      <w:spacing w:before="56"/>
                      <w:ind w:left="0" w:right="-15" w:firstLine="0"/>
                      <w:jc w:val="left"/>
                      <w:rPr>
                        <w:rFonts w:ascii="Myriad Pro"/>
                        <w:sz w:val="20"/>
                      </w:rPr>
                    </w:pPr>
                    <w:r>
                      <w:rPr>
                        <w:rFonts w:ascii="Myriad Pro"/>
                        <w:color w:val="231F20"/>
                        <w:sz w:val="20"/>
                      </w:rPr>
                      <w:t>(article 27)</w:t>
                    </w:r>
                  </w:p>
                  <w:p>
                    <w:pPr>
                      <w:spacing w:before="56"/>
                      <w:ind w:left="0" w:right="-15" w:firstLine="0"/>
                      <w:jc w:val="left"/>
                      <w:rPr>
                        <w:rFonts w:ascii="Myriad Pro"/>
                        <w:sz w:val="20"/>
                      </w:rPr>
                    </w:pPr>
                    <w:r>
                      <w:rPr>
                        <w:rFonts w:ascii="Myriad Pro"/>
                        <w:color w:val="231F20"/>
                        <w:sz w:val="20"/>
                      </w:rPr>
                      <w:t>(article 28)</w:t>
                    </w:r>
                  </w:p>
                  <w:p>
                    <w:pPr>
                      <w:spacing w:before="56"/>
                      <w:ind w:left="0" w:right="-15" w:firstLine="0"/>
                      <w:jc w:val="left"/>
                      <w:rPr>
                        <w:rFonts w:ascii="Myriad Pro"/>
                        <w:sz w:val="20"/>
                      </w:rPr>
                    </w:pPr>
                    <w:r>
                      <w:rPr>
                        <w:rFonts w:ascii="Myriad Pro"/>
                        <w:color w:val="231F20"/>
                        <w:sz w:val="20"/>
                      </w:rPr>
                      <w:t>(article 29)</w:t>
                    </w:r>
                  </w:p>
                  <w:p>
                    <w:pPr>
                      <w:spacing w:line="232" w:lineRule="exact" w:before="56"/>
                      <w:ind w:left="0" w:right="-15" w:firstLine="0"/>
                      <w:jc w:val="left"/>
                      <w:rPr>
                        <w:rFonts w:ascii="Myriad Pro"/>
                        <w:sz w:val="20"/>
                      </w:rPr>
                    </w:pPr>
                    <w:r>
                      <w:rPr>
                        <w:rFonts w:ascii="Myriad Pro"/>
                        <w:color w:val="231F20"/>
                        <w:sz w:val="20"/>
                      </w:rPr>
                      <w:t>(article 30)</w:t>
                    </w:r>
                  </w:p>
                </w:txbxContent>
              </v:textbox>
              <w10:wrap type="none"/>
            </v:shape>
            <w10:wrap type="topAndBottom"/>
          </v:group>
        </w:pict>
      </w:r>
    </w:p>
    <w:p>
      <w:pPr>
        <w:pStyle w:val="BodyText"/>
        <w:spacing w:before="7"/>
        <w:rPr>
          <w:rFonts w:ascii="Myriad Pro"/>
          <w:sz w:val="25"/>
        </w:rPr>
      </w:pPr>
    </w:p>
    <w:p>
      <w:pPr>
        <w:pStyle w:val="Heading3"/>
        <w:spacing w:before="51"/>
        <w:rPr>
          <w:b/>
        </w:rPr>
      </w:pPr>
      <w:r>
        <w:rPr>
          <w:b/>
          <w:color w:val="FDB714"/>
        </w:rPr>
        <w:t>Considérations relatives au sexe et à l’âge</w:t>
      </w:r>
    </w:p>
    <w:p>
      <w:pPr>
        <w:pStyle w:val="BodyText"/>
        <w:spacing w:line="266" w:lineRule="auto" w:before="127"/>
        <w:ind w:left="2891" w:right="888"/>
        <w:rPr>
          <w:b w:val="0"/>
        </w:rPr>
      </w:pPr>
      <w:r>
        <w:rPr>
          <w:b w:val="0"/>
          <w:color w:val="231F20"/>
        </w:rPr>
        <w:t>La CDPH contient des articles d'application générale qui incluent des mesures de protection contre une discrimination pour des raisons multiples :</w:t>
      </w:r>
    </w:p>
    <w:p>
      <w:pPr>
        <w:pStyle w:val="BodyText"/>
        <w:spacing w:before="19"/>
        <w:ind w:left="3231"/>
        <w:rPr>
          <w:b w:val="0"/>
        </w:rPr>
      </w:pPr>
      <w:r>
        <w:rPr>
          <w:rFonts w:ascii="Arial" w:hAnsi="Arial"/>
          <w:color w:val="FDB714"/>
          <w:sz w:val="26"/>
        </w:rPr>
        <w:t>► </w:t>
      </w:r>
      <w:r>
        <w:rPr>
          <w:b w:val="0"/>
          <w:color w:val="231F20"/>
        </w:rPr>
        <w:t>Article 6 – Femmes handicapées</w:t>
      </w:r>
    </w:p>
    <w:p>
      <w:pPr>
        <w:pStyle w:val="BodyText"/>
        <w:spacing w:before="47"/>
        <w:ind w:left="3231"/>
        <w:rPr>
          <w:b w:val="0"/>
        </w:rPr>
      </w:pPr>
      <w:r>
        <w:rPr>
          <w:rFonts w:ascii="Arial" w:hAnsi="Arial"/>
          <w:color w:val="FDB714"/>
          <w:sz w:val="26"/>
        </w:rPr>
        <w:t>► </w:t>
      </w:r>
      <w:r>
        <w:rPr>
          <w:b w:val="0"/>
          <w:color w:val="231F20"/>
        </w:rPr>
        <w:t>Article 7 – Enfants handicapés</w:t>
      </w:r>
    </w:p>
    <w:p>
      <w:pPr>
        <w:pStyle w:val="BodyText"/>
        <w:rPr>
          <w:b w:val="0"/>
          <w:sz w:val="20"/>
        </w:rPr>
      </w:pPr>
    </w:p>
    <w:p>
      <w:pPr>
        <w:pStyle w:val="BodyText"/>
        <w:spacing w:before="7"/>
        <w:rPr>
          <w:b w:val="0"/>
          <w:sz w:val="15"/>
        </w:rPr>
      </w:pPr>
      <w:r>
        <w:rPr/>
        <w:pict>
          <v:group style="position:absolute;margin-left:144.066895pt;margin-top:11.233307pt;width:395.05pt;height:111.05pt;mso-position-horizontal-relative:page;mso-position-vertical-relative:paragraph;z-index:2488;mso-wrap-distance-left:0;mso-wrap-distance-right:0" coordorigin="2881,225" coordsize="7901,2221">
            <v:rect style="position:absolute;left:2891;top:225;width:7880;height:363" filled="true" fillcolor="#fdb714" stroked="false">
              <v:fill type="solid"/>
            </v:rect>
            <v:rect style="position:absolute;left:2891;top:588;width:7880;height:1847" filled="true" fillcolor="#fff5e4" stroked="false">
              <v:fill type="solid"/>
            </v:rect>
            <v:line style="position:absolute" from="2891,2435" to="10772,2435" stroked="true" strokeweight="1pt" strokecolor="#fdb714"/>
            <v:shape style="position:absolute;left:2881;top:225;width:7901;height:2221" type="#_x0000_t202" filled="false" stroked="false">
              <v:textbox inset="0,0,0,0">
                <w:txbxContent>
                  <w:p>
                    <w:pPr>
                      <w:spacing w:before="32"/>
                      <w:ind w:left="3432" w:right="3432" w:firstLine="0"/>
                      <w:jc w:val="center"/>
                      <w:rPr>
                        <w:rFonts w:ascii="Myriad Pro"/>
                        <w:b/>
                        <w:sz w:val="22"/>
                      </w:rPr>
                    </w:pPr>
                    <w:r>
                      <w:rPr>
                        <w:rFonts w:ascii="Myriad Pro"/>
                        <w:b/>
                        <w:color w:val="FFFFFF"/>
                        <w:sz w:val="22"/>
                      </w:rPr>
                      <w:t>Question :</w:t>
                    </w:r>
                  </w:p>
                  <w:p>
                    <w:pPr>
                      <w:spacing w:line="259" w:lineRule="auto" w:before="188"/>
                      <w:ind w:left="180" w:right="0" w:firstLine="0"/>
                      <w:jc w:val="left"/>
                      <w:rPr>
                        <w:rFonts w:ascii="Myriad Pro" w:hAnsi="Myriad Pro"/>
                        <w:sz w:val="20"/>
                      </w:rPr>
                    </w:pPr>
                    <w:r>
                      <w:rPr>
                        <w:rFonts w:ascii="Myriad Pro" w:hAnsi="Myriad Pro"/>
                        <w:color w:val="231F20"/>
                        <w:sz w:val="20"/>
                      </w:rPr>
                      <w:t>Les femmes et les enfants handicapés requièrent une protection spécifique de la loi et des politiques afin d’éviter la possibilité de discrimination pour des raisons multiples. Pensez- vous à des exemples de législation dans lesquels les questions relatives aux femmes ou aux enfants handicapés pourraient être traitées de façon plus explicite ? Comment assureriez- vous une protection spécifique dans différents types de loi, par exemple en droit pénal, en droit de la famille, en droit de l’éducation ?</w:t>
                    </w:r>
                  </w:p>
                </w:txbxContent>
              </v:textbox>
              <w10:wrap type="none"/>
            </v:shape>
            <w10:wrap type="topAndBottom"/>
          </v:group>
        </w:pict>
      </w:r>
    </w:p>
    <w:p>
      <w:pPr>
        <w:pStyle w:val="BodyText"/>
        <w:rPr>
          <w:b w:val="0"/>
          <w:sz w:val="26"/>
        </w:rPr>
      </w:pPr>
    </w:p>
    <w:p>
      <w:pPr>
        <w:pStyle w:val="Heading3"/>
        <w:spacing w:before="51"/>
        <w:rPr>
          <w:b/>
        </w:rPr>
      </w:pPr>
      <w:r>
        <w:rPr>
          <w:b/>
          <w:color w:val="FDB714"/>
        </w:rPr>
        <w:t>National Level Implementation and Monitoring</w:t>
      </w:r>
    </w:p>
    <w:p>
      <w:pPr>
        <w:pStyle w:val="BodyText"/>
        <w:spacing w:before="127"/>
        <w:ind w:left="2891"/>
        <w:rPr>
          <w:b w:val="0"/>
        </w:rPr>
      </w:pPr>
      <w:r>
        <w:rPr>
          <w:b w:val="0"/>
          <w:color w:val="231F20"/>
        </w:rPr>
        <w:t>Application et suivi au niveau national</w:t>
      </w:r>
    </w:p>
    <w:p>
      <w:pPr>
        <w:pStyle w:val="BodyText"/>
        <w:spacing w:line="266" w:lineRule="auto" w:before="142"/>
        <w:ind w:left="2891" w:right="94"/>
        <w:rPr>
          <w:b w:val="0"/>
        </w:rPr>
      </w:pPr>
      <w:r>
        <w:rPr>
          <w:b w:val="0"/>
          <w:color w:val="231F20"/>
        </w:rPr>
        <w:t>Les États parties doivent aussi clairement indiquer le cadre institutionnel qui sera chargé de superviser l'application et le suivi des lois nationales. L’article 33 de la CDPH définit les responsabilités des États parties concernant lesdits cadres. Comme le décrit en détail le module sur les « Cadres d’application et de suivi de la CDPH » de ces Outils, l'article 33 exige de chaque État qu’il :</w:t>
      </w:r>
    </w:p>
    <w:p>
      <w:pPr>
        <w:pStyle w:val="ListParagraph"/>
        <w:numPr>
          <w:ilvl w:val="0"/>
          <w:numId w:val="4"/>
        </w:numPr>
        <w:tabs>
          <w:tab w:pos="3632" w:val="left" w:leader="none"/>
        </w:tabs>
        <w:spacing w:line="240" w:lineRule="auto" w:before="84" w:after="0"/>
        <w:ind w:left="3631" w:right="177" w:hanging="400"/>
        <w:jc w:val="left"/>
        <w:rPr>
          <w:b w:val="0"/>
          <w:sz w:val="22"/>
        </w:rPr>
      </w:pPr>
      <w:r>
        <w:rPr>
          <w:b w:val="0"/>
          <w:color w:val="231F20"/>
          <w:sz w:val="22"/>
        </w:rPr>
        <w:t>désigne, conformément à son système de gouvernement, un ou plusieurs</w:t>
      </w:r>
      <w:r>
        <w:rPr>
          <w:b w:val="0"/>
          <w:color w:val="231F20"/>
          <w:spacing w:val="-11"/>
          <w:sz w:val="22"/>
        </w:rPr>
        <w:t> </w:t>
      </w:r>
      <w:r>
        <w:rPr>
          <w:b w:val="0"/>
          <w:color w:val="231F20"/>
          <w:sz w:val="22"/>
        </w:rPr>
        <w:t>points de contact dédiés pour les questions relatives à l’application de la Convention</w:t>
      </w:r>
      <w:r>
        <w:rPr>
          <w:b w:val="0"/>
          <w:color w:val="231F20"/>
          <w:spacing w:val="-11"/>
          <w:sz w:val="22"/>
        </w:rPr>
        <w:t> </w:t>
      </w:r>
      <w:r>
        <w:rPr>
          <w:b w:val="0"/>
          <w:color w:val="231F20"/>
          <w:sz w:val="22"/>
        </w:rPr>
        <w:t>;</w:t>
      </w:r>
    </w:p>
    <w:p>
      <w:pPr>
        <w:pStyle w:val="ListParagraph"/>
        <w:numPr>
          <w:ilvl w:val="0"/>
          <w:numId w:val="4"/>
        </w:numPr>
        <w:tabs>
          <w:tab w:pos="3632" w:val="left" w:leader="none"/>
        </w:tabs>
        <w:spacing w:line="240" w:lineRule="auto" w:before="112" w:after="0"/>
        <w:ind w:left="3631" w:right="163" w:hanging="400"/>
        <w:jc w:val="left"/>
        <w:rPr>
          <w:b w:val="0"/>
          <w:sz w:val="22"/>
        </w:rPr>
      </w:pPr>
      <w:r>
        <w:rPr>
          <w:b w:val="0"/>
          <w:color w:val="231F20"/>
          <w:sz w:val="22"/>
        </w:rPr>
        <w:t>envisage de créer ou désigner un dispositif de coordination chargé de faciliter</w:t>
      </w:r>
      <w:r>
        <w:rPr>
          <w:b w:val="0"/>
          <w:color w:val="231F20"/>
          <w:spacing w:val="-15"/>
          <w:sz w:val="22"/>
        </w:rPr>
        <w:t> </w:t>
      </w:r>
      <w:r>
        <w:rPr>
          <w:b w:val="0"/>
          <w:color w:val="231F20"/>
          <w:sz w:val="22"/>
        </w:rPr>
        <w:t>les actions liées à cette application dans différents secteurs et à différents niveaux</w:t>
      </w:r>
      <w:r>
        <w:rPr>
          <w:b w:val="0"/>
          <w:color w:val="231F20"/>
          <w:spacing w:val="-8"/>
          <w:sz w:val="22"/>
        </w:rPr>
        <w:t> </w:t>
      </w:r>
      <w:r>
        <w:rPr>
          <w:b w:val="0"/>
          <w:color w:val="231F20"/>
          <w:sz w:val="22"/>
        </w:rPr>
        <w:t>;</w:t>
      </w:r>
    </w:p>
    <w:p>
      <w:pPr>
        <w:pStyle w:val="ListParagraph"/>
        <w:numPr>
          <w:ilvl w:val="0"/>
          <w:numId w:val="4"/>
        </w:numPr>
        <w:tabs>
          <w:tab w:pos="3632" w:val="left" w:leader="none"/>
        </w:tabs>
        <w:spacing w:line="240" w:lineRule="auto" w:before="112" w:after="0"/>
        <w:ind w:left="3631" w:right="498" w:hanging="400"/>
        <w:jc w:val="left"/>
        <w:rPr>
          <w:b w:val="0"/>
          <w:sz w:val="22"/>
        </w:rPr>
      </w:pPr>
      <w:r>
        <w:rPr>
          <w:b w:val="0"/>
          <w:color w:val="231F20"/>
          <w:spacing w:val="-3"/>
          <w:sz w:val="22"/>
        </w:rPr>
        <w:t>qu’il </w:t>
      </w:r>
      <w:r>
        <w:rPr>
          <w:b w:val="0"/>
          <w:color w:val="231F20"/>
          <w:sz w:val="22"/>
        </w:rPr>
        <w:t>établisse un mécanisme indépendant de promotion, de protection et de suivi de l’application de la Convention ;</w:t>
      </w:r>
      <w:r>
        <w:rPr>
          <w:b w:val="0"/>
          <w:color w:val="231F20"/>
          <w:spacing w:val="-8"/>
          <w:sz w:val="22"/>
        </w:rPr>
        <w:t> </w:t>
      </w:r>
      <w:r>
        <w:rPr>
          <w:b w:val="0"/>
          <w:color w:val="231F20"/>
          <w:sz w:val="22"/>
        </w:rPr>
        <w:t>et</w:t>
      </w:r>
    </w:p>
    <w:p>
      <w:pPr>
        <w:pStyle w:val="ListParagraph"/>
        <w:numPr>
          <w:ilvl w:val="0"/>
          <w:numId w:val="4"/>
        </w:numPr>
        <w:tabs>
          <w:tab w:pos="3632" w:val="left" w:leader="none"/>
        </w:tabs>
        <w:spacing w:line="240" w:lineRule="auto" w:before="112" w:after="0"/>
        <w:ind w:left="3631" w:right="0" w:hanging="400"/>
        <w:jc w:val="left"/>
        <w:rPr>
          <w:b w:val="0"/>
          <w:sz w:val="22"/>
        </w:rPr>
      </w:pPr>
      <w:r>
        <w:rPr>
          <w:b w:val="0"/>
          <w:color w:val="231F20"/>
          <w:sz w:val="22"/>
        </w:rPr>
        <w:t>associe la société civile dans le processus national de</w:t>
      </w:r>
      <w:r>
        <w:rPr>
          <w:b w:val="0"/>
          <w:color w:val="231F20"/>
          <w:spacing w:val="-5"/>
          <w:sz w:val="22"/>
        </w:rPr>
        <w:t> </w:t>
      </w:r>
      <w:r>
        <w:rPr>
          <w:b w:val="0"/>
          <w:color w:val="231F20"/>
          <w:sz w:val="22"/>
        </w:rPr>
        <w:t>suivi.</w:t>
      </w:r>
    </w:p>
    <w:p>
      <w:pPr>
        <w:pStyle w:val="BodyText"/>
        <w:spacing w:line="266" w:lineRule="auto" w:before="142"/>
        <w:ind w:left="2891" w:right="191"/>
        <w:rPr>
          <w:b w:val="0"/>
        </w:rPr>
      </w:pPr>
      <w:r>
        <w:rPr>
          <w:b w:val="0"/>
          <w:color w:val="231F20"/>
        </w:rPr>
        <w:t>Les gouvernements peuvent aussi souhaiter établir un moyen leur permettant de garantir que toute législation nouvelle ou proposée, susceptible d'affecter les intérêts</w:t>
      </w:r>
      <w:r>
        <w:rPr>
          <w:b w:val="0"/>
          <w:color w:val="231F20"/>
          <w:spacing w:val="-19"/>
        </w:rPr>
        <w:t> </w:t>
      </w:r>
      <w:r>
        <w:rPr>
          <w:b w:val="0"/>
          <w:color w:val="231F20"/>
        </w:rPr>
        <w:t>des personnes handicapées, soit analysée afin d'assurer sa conformité avec la</w:t>
      </w:r>
      <w:r>
        <w:rPr>
          <w:b w:val="0"/>
          <w:color w:val="231F20"/>
          <w:spacing w:val="-13"/>
        </w:rPr>
        <w:t> </w:t>
      </w:r>
      <w:r>
        <w:rPr>
          <w:b w:val="0"/>
          <w:color w:val="231F20"/>
        </w:rPr>
        <w:t>CDPH.</w:t>
      </w:r>
    </w:p>
    <w:p>
      <w:pPr>
        <w:pStyle w:val="BodyText"/>
        <w:rPr>
          <w:b w:val="0"/>
          <w:sz w:val="20"/>
        </w:rPr>
      </w:pPr>
    </w:p>
    <w:p>
      <w:pPr>
        <w:pStyle w:val="BodyText"/>
        <w:rPr>
          <w:b w:val="0"/>
          <w:sz w:val="20"/>
        </w:rPr>
      </w:pPr>
    </w:p>
    <w:p>
      <w:pPr>
        <w:pStyle w:val="BodyText"/>
        <w:spacing w:before="11"/>
        <w:rPr>
          <w:b w:val="0"/>
          <w:sz w:val="23"/>
        </w:rPr>
      </w:pPr>
    </w:p>
    <w:p>
      <w:pPr>
        <w:spacing w:before="0"/>
        <w:ind w:left="2891"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632"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10808;top:3819;width:180;height:296" type="#_x0000_t75" stroked="false">
              <v:imagedata r:id="rId20" o:title=""/>
            </v:shape>
            <v:shape style="position:absolute;left:9776;top:2926;width:1157;height:1332" coordorigin="9776,2926" coordsize="1157,1332" path="m10927,3397l10927,3399,10928,3400,10929,3401,10929,3401,10931,3403,10931,3407,10931,3410,10931,3413,10932,3418,10933,3420,10933,3426,10932,3426,10932,3426,10932,3430,10926,3442,10925,3446,10920,3457,10912,3473,10904,3490,10898,3504,10893,3513,10888,3522,10882,3530,10876,3538,10867,3551,10822,3592,10812,3600,10803,3609,10791,3623,10782,3635,10771,3647,10761,3659,10731,3712,10724,3733,10727,3732,10730,3736,10736,3745,10734,3763,10734,3774,10737,3789,10742,3797,10748,3803,10752,3812,10754,3816,10752,3832,10752,3839,10753,3858,10753,3877,10751,3896,10744,3912,10733,3923,10720,3931,10706,3938,10693,3946,10688,3950,10679,3962,10672,3968,10669,3970,10667,3972,10665,3974,10660,3979,10655,3985,10650,3988,10652,3998,10657,4014,10661,4034,10660,4058,10657,4071,10649,4072,10638,4077,10633,4079,10629,4082,10624,4084,10619,4087,10616,4090,10612,4092,10614,4100,10616,4103,10615,4109,10611,4124,10604,4139,10596,4149,10588,4158,10578,4171,10572,4182,10566,4189,10560,4196,10551,4204,10543,4211,10516,4235,10514,4237,10487,4243,10474,4246,10454,4245,10436,4247,10418,4252,10402,4257,10386,4258,10380,4257,10378,4253,10375,4249,10370,4243,10371,4246,10369,4236,10368,4230,10366,4224,10366,4219,10368,4213,10369,4208,10366,4201,10363,4191,10357,4183,10353,4174,10349,4164,10346,4155,10341,4147,10335,4138,10329,4133,10324,4123,10319,4108,10316,4091,10313,4072,10311,4056,10308,4037,10304,4024,10298,4013,10291,3997,10287,3987,10283,3977,10278,3969,10271,3958,10267,3959,10265,3942,10280,3867,10304,3834,10299,3818,10296,3809,10290,3800,10288,3790,10288,3784,10290,3778,10290,3771,10264,3703,10243,3677,10230,3663,10220,3647,10215,3629,10219,3627,10219,3627,10224,3626,10225,3621,10224,3618,10225,3612,10227,3600,10229,3588,10232,3576,10234,3566,10235,3561,10230,3552,10226,3546,10221,3541,10215,3538,10210,3536,10194,3534,10189,3535,10181,3538,10173,3541,10165,3536,10154,3521,10152,3515,10148,3506,10145,3502,10088,3510,10080,3513,10061,3521,10048,3527,10037,3530,10023,3528,10004,3525,9990,3525,9976,3528,9959,3533,9946,3537,9943,3542,9930,3535,9912,3524,9898,3512,9883,3499,9864,3486,9858,3483,9848,3473,9845,3467,9841,3457,9844,3446,9836,3438,9826,3428,9827,3433,9817,3419,9802,3402,9793,3396,9788,3389,9788,3371,9788,3359,9783,3355,9776,3345,9778,3343,9782,3340,9785,3337,9794,3328,9796,3313,9799,3300,9801,3285,9799,3272,9797,3262,9797,3257,9799,3251,9800,3250,9800,3243,9791,3236,9788,3227,9789,3218,9822,3168,9825,3162,9829,3156,9829,3150,9833,3143,9839,3131,9849,3125,9855,3114,9861,3105,9858,3107,9869,3102,9875,3100,9916,3054,9918,3043,9923,3027,9930,3009,9933,3007,9949,3000,9967,2989,9975,2977,9979,2967,9985,2959,9992,2954,9995,2961,10000,2965,10007,2969,10013,2968,10022,2967,10031,2967,10038,2969,10046,2969,10054,2969,10057,2964,10064,2960,10081,2952,10103,2944,10126,2939,10146,2938,10154,2939,10162,2941,10170,2939,10179,2936,10180,2935,10192,2935,10210,2935,10217,2934,10219,2933,10226,2931,10244,2926,10236,2932,10246,2935,10249,2936,10253,2936,10256,2938,10254,2943,10248,2949,10247,2954,10251,2957,10260,2967,10255,2975,10251,2980,10243,2984,10241,2992,10245,2996,10253,2999,10258,3002,10264,3006,10269,3009,10278,3010,10290,3011,10302,3013,10313,3017,10322,3023,10327,3030,10326,3035,10334,3039,10343,3042,10351,3043,10361,3046,10376,3054,10382,3057,10393,3058,10398,3053,10399,3045,10397,3041,10396,3034,10399,3024,10408,3015,10421,3011,10434,3011,10445,3015,10452,3022,10462,3025,10469,3027,10473,3027,10479,3030,10491,3035,10504,3038,10517,3041,10529,3043,10534,3045,10541,3047,10546,3048,10554,3048,10555,3043,10561,3040,10572,3033,10581,3034,10594,3038,10611,3043,10614,3043,10631,3039,10637,3058,10642,3069,10642,3082,10637,3102,10635,3106,10624,3106,10628,3117,10636,3133,10644,3149,10650,3161,10658,3174,10658,3168,10664,3175,10661,3185,10661,3191,10666,3197,10678,3206,10685,3211,10681,3207,10685,3216,10688,3231,10713,3282,10718,3291,10727,3314,10733,3328,10740,3336,10749,3342,10760,3350,10798,3398,10800,3410,10813,3423,10821,3425,10830,3421,10846,3417,10859,3417,10860,3412,10874,3410,10923,3392,10927,3397xe" filled="false" stroked="true" strokeweight="2.798pt" strokecolor="#fdb714">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11</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3012"/>
        <w:rPr>
          <w:b w:val="0"/>
        </w:rPr>
      </w:pPr>
      <w:r>
        <w:rPr>
          <w:b w:val="0"/>
          <w:color w:val="231F20"/>
        </w:rPr>
        <w:t>Outre ces cadres, les lois nationales doivent identifier des responsables chargés de garantir les droits de l’homme. Cela inclut différents niveaux de gouvernement et autre agences, y compris ceux du niveau provincial ou local, ainsi que des acteurs du secteur privé.</w:t>
      </w:r>
    </w:p>
    <w:p>
      <w:pPr>
        <w:pStyle w:val="BodyText"/>
        <w:spacing w:before="1"/>
        <w:rPr>
          <w:b w:val="0"/>
          <w:sz w:val="23"/>
        </w:rPr>
      </w:pPr>
      <w:r>
        <w:rPr/>
        <w:pict>
          <v:group style="position:absolute;margin-left:56.192902pt;margin-top:15.664758pt;width:394.05pt;height:114.55pt;mso-position-horizontal-relative:page;mso-position-vertical-relative:paragraph;z-index:2584;mso-wrap-distance-left:0;mso-wrap-distance-right:0" coordorigin="1124,313" coordsize="7881,2291">
            <v:rect style="position:absolute;left:1134;top:323;width:7860;height:2270" filled="true" fillcolor="#e6e7e8" stroked="false">
              <v:fill type="solid"/>
            </v:rect>
            <v:rect style="position:absolute;left:1134;top:313;width:7860;height:20" filled="true" fillcolor="#231f20" stroked="false">
              <v:fill type="solid"/>
            </v:rect>
            <v:line style="position:absolute" from="1134,2593" to="8994,2593" stroked="true" strokeweight="1pt" strokecolor="#231f20"/>
            <v:shape style="position:absolute;left:1134;top:323;width:7861;height:2271" type="#_x0000_t202" filled="false" stroked="false">
              <v:textbox inset="0,0,0,0">
                <w:txbxContent>
                  <w:p>
                    <w:pPr>
                      <w:spacing w:line="270" w:lineRule="exact" w:before="61"/>
                      <w:ind w:left="2435" w:right="167" w:firstLine="0"/>
                      <w:jc w:val="left"/>
                      <w:rPr>
                        <w:rFonts w:ascii="Myriad Pro"/>
                        <w:b/>
                        <w:sz w:val="22"/>
                      </w:rPr>
                    </w:pPr>
                    <w:r>
                      <w:rPr>
                        <w:rFonts w:ascii="Myriad Pro"/>
                        <w:b/>
                        <w:color w:val="231F20"/>
                        <w:sz w:val="22"/>
                      </w:rPr>
                      <w:t>Point sur la situation nationale</w:t>
                    </w:r>
                  </w:p>
                  <w:p>
                    <w:pPr>
                      <w:spacing w:line="240" w:lineRule="auto" w:before="0"/>
                      <w:ind w:left="703" w:right="167" w:hanging="284"/>
                      <w:jc w:val="left"/>
                      <w:rPr>
                        <w:rFonts w:ascii="Myriad Pro" w:hAnsi="Myriad Pro"/>
                        <w:sz w:val="20"/>
                      </w:rPr>
                    </w:pPr>
                    <w:r>
                      <w:rPr>
                        <w:rFonts w:ascii="Arial" w:hAnsi="Arial"/>
                        <w:color w:val="231F20"/>
                        <w:w w:val="120"/>
                        <w:sz w:val="20"/>
                      </w:rPr>
                      <w:t>z </w:t>
                    </w:r>
                    <w:r>
                      <w:rPr>
                        <w:rFonts w:ascii="Myriad Pro" w:hAnsi="Myriad Pro"/>
                        <w:color w:val="231F20"/>
                        <w:sz w:val="20"/>
                      </w:rPr>
                      <w:t>Savez-vous si un point de contact a été désigné au sein du gouvernement pour l’application de la CDPH ?</w:t>
                    </w:r>
                  </w:p>
                  <w:p>
                    <w:pPr>
                      <w:spacing w:before="56"/>
                      <w:ind w:left="703" w:right="167" w:hanging="284"/>
                      <w:jc w:val="left"/>
                      <w:rPr>
                        <w:rFonts w:ascii="Myriad Pro" w:hAnsi="Myriad Pro"/>
                        <w:sz w:val="20"/>
                      </w:rPr>
                    </w:pPr>
                    <w:r>
                      <w:rPr>
                        <w:rFonts w:ascii="Arial" w:hAnsi="Arial"/>
                        <w:color w:val="231F20"/>
                        <w:w w:val="120"/>
                        <w:sz w:val="20"/>
                      </w:rPr>
                      <w:t>z </w:t>
                    </w:r>
                    <w:r>
                      <w:rPr>
                        <w:rFonts w:ascii="Myriad Pro" w:hAnsi="Myriad Pro"/>
                        <w:color w:val="231F20"/>
                        <w:sz w:val="20"/>
                      </w:rPr>
                      <w:t>Savez-vous si un mécanisme de coordination a été mis en place pour coordonner les mesures concernant le handicap ?</w:t>
                    </w:r>
                  </w:p>
                  <w:p>
                    <w:pPr>
                      <w:spacing w:before="56"/>
                      <w:ind w:left="419" w:right="16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Savez-vous si un mécanisme de suivi indépendant a été désigné ?</w:t>
                    </w:r>
                  </w:p>
                  <w:p>
                    <w:pPr>
                      <w:spacing w:before="56"/>
                      <w:ind w:left="702" w:right="559" w:hanging="284"/>
                      <w:jc w:val="left"/>
                      <w:rPr>
                        <w:rFonts w:ascii="Myriad Pro" w:hAnsi="Myriad Pro"/>
                        <w:sz w:val="20"/>
                      </w:rPr>
                    </w:pPr>
                    <w:r>
                      <w:rPr>
                        <w:rFonts w:ascii="Arial" w:hAnsi="Arial"/>
                        <w:color w:val="231F20"/>
                        <w:w w:val="120"/>
                        <w:sz w:val="20"/>
                      </w:rPr>
                      <w:t>z</w:t>
                    </w:r>
                    <w:r>
                      <w:rPr>
                        <w:rFonts w:ascii="Arial" w:hAnsi="Arial"/>
                        <w:color w:val="231F20"/>
                        <w:spacing w:val="8"/>
                        <w:w w:val="120"/>
                        <w:sz w:val="20"/>
                      </w:rPr>
                      <w:t> </w:t>
                    </w:r>
                    <w:r>
                      <w:rPr>
                        <w:rFonts w:ascii="Myriad Pro" w:hAnsi="Myriad Pro"/>
                        <w:color w:val="231F20"/>
                        <w:w w:val="105"/>
                        <w:sz w:val="20"/>
                      </w:rPr>
                      <w:t>Savez-vous</w:t>
                    </w:r>
                    <w:r>
                      <w:rPr>
                        <w:rFonts w:ascii="Myriad Pro" w:hAnsi="Myriad Pro"/>
                        <w:color w:val="231F20"/>
                        <w:spacing w:val="-21"/>
                        <w:w w:val="105"/>
                        <w:sz w:val="20"/>
                      </w:rPr>
                      <w:t> </w:t>
                    </w:r>
                    <w:r>
                      <w:rPr>
                        <w:rFonts w:ascii="Myriad Pro" w:hAnsi="Myriad Pro"/>
                        <w:color w:val="231F20"/>
                        <w:w w:val="105"/>
                        <w:sz w:val="20"/>
                      </w:rPr>
                      <w:t>si</w:t>
                    </w:r>
                    <w:r>
                      <w:rPr>
                        <w:rFonts w:ascii="Myriad Pro" w:hAnsi="Myriad Pro"/>
                        <w:color w:val="231F20"/>
                        <w:spacing w:val="-21"/>
                        <w:w w:val="105"/>
                        <w:sz w:val="20"/>
                      </w:rPr>
                      <w:t> </w:t>
                    </w:r>
                    <w:r>
                      <w:rPr>
                        <w:rFonts w:ascii="Myriad Pro" w:hAnsi="Myriad Pro"/>
                        <w:color w:val="231F20"/>
                        <w:w w:val="105"/>
                        <w:sz w:val="20"/>
                      </w:rPr>
                      <w:t>la</w:t>
                    </w:r>
                    <w:r>
                      <w:rPr>
                        <w:rFonts w:ascii="Myriad Pro" w:hAnsi="Myriad Pro"/>
                        <w:color w:val="231F20"/>
                        <w:spacing w:val="-21"/>
                        <w:w w:val="105"/>
                        <w:sz w:val="20"/>
                      </w:rPr>
                      <w:t> </w:t>
                    </w:r>
                    <w:r>
                      <w:rPr>
                        <w:rFonts w:ascii="Myriad Pro" w:hAnsi="Myriad Pro"/>
                        <w:color w:val="231F20"/>
                        <w:w w:val="105"/>
                        <w:sz w:val="20"/>
                      </w:rPr>
                      <w:t>société</w:t>
                    </w:r>
                    <w:r>
                      <w:rPr>
                        <w:rFonts w:ascii="Myriad Pro" w:hAnsi="Myriad Pro"/>
                        <w:color w:val="231F20"/>
                        <w:spacing w:val="-21"/>
                        <w:w w:val="105"/>
                        <w:sz w:val="20"/>
                      </w:rPr>
                      <w:t> </w:t>
                    </w:r>
                    <w:r>
                      <w:rPr>
                        <w:rFonts w:ascii="Myriad Pro" w:hAnsi="Myriad Pro"/>
                        <w:color w:val="231F20"/>
                        <w:w w:val="105"/>
                        <w:sz w:val="20"/>
                      </w:rPr>
                      <w:t>civile</w:t>
                    </w:r>
                    <w:r>
                      <w:rPr>
                        <w:rFonts w:ascii="Myriad Pro" w:hAnsi="Myriad Pro"/>
                        <w:color w:val="231F20"/>
                        <w:spacing w:val="-21"/>
                        <w:w w:val="105"/>
                        <w:sz w:val="20"/>
                      </w:rPr>
                      <w:t> </w:t>
                    </w:r>
                    <w:r>
                      <w:rPr>
                        <w:rFonts w:ascii="Myriad Pro" w:hAnsi="Myriad Pro"/>
                        <w:color w:val="231F20"/>
                        <w:w w:val="105"/>
                        <w:sz w:val="20"/>
                      </w:rPr>
                      <w:t>participe</w:t>
                    </w:r>
                    <w:r>
                      <w:rPr>
                        <w:rFonts w:ascii="Myriad Pro" w:hAnsi="Myriad Pro"/>
                        <w:color w:val="231F20"/>
                        <w:spacing w:val="-21"/>
                        <w:w w:val="105"/>
                        <w:sz w:val="20"/>
                      </w:rPr>
                      <w:t> </w:t>
                    </w:r>
                    <w:r>
                      <w:rPr>
                        <w:rFonts w:ascii="Myriad Pro" w:hAnsi="Myriad Pro"/>
                        <w:color w:val="231F20"/>
                        <w:w w:val="105"/>
                        <w:sz w:val="20"/>
                      </w:rPr>
                      <w:t>activement</w:t>
                    </w:r>
                    <w:r>
                      <w:rPr>
                        <w:rFonts w:ascii="Myriad Pro" w:hAnsi="Myriad Pro"/>
                        <w:color w:val="231F20"/>
                        <w:spacing w:val="-21"/>
                        <w:w w:val="105"/>
                        <w:sz w:val="20"/>
                      </w:rPr>
                      <w:t> </w:t>
                    </w:r>
                    <w:r>
                      <w:rPr>
                        <w:rFonts w:ascii="Myriad Pro" w:hAnsi="Myriad Pro"/>
                        <w:color w:val="231F20"/>
                        <w:w w:val="105"/>
                        <w:sz w:val="20"/>
                      </w:rPr>
                      <w:t>au</w:t>
                    </w:r>
                    <w:r>
                      <w:rPr>
                        <w:rFonts w:ascii="Myriad Pro" w:hAnsi="Myriad Pro"/>
                        <w:color w:val="231F20"/>
                        <w:spacing w:val="-21"/>
                        <w:w w:val="105"/>
                        <w:sz w:val="20"/>
                      </w:rPr>
                      <w:t> </w:t>
                    </w:r>
                    <w:r>
                      <w:rPr>
                        <w:rFonts w:ascii="Myriad Pro" w:hAnsi="Myriad Pro"/>
                        <w:color w:val="231F20"/>
                        <w:w w:val="105"/>
                        <w:sz w:val="20"/>
                      </w:rPr>
                      <w:t>suivi</w:t>
                    </w:r>
                    <w:r>
                      <w:rPr>
                        <w:rFonts w:ascii="Myriad Pro" w:hAnsi="Myriad Pro"/>
                        <w:color w:val="231F20"/>
                        <w:spacing w:val="-21"/>
                        <w:w w:val="105"/>
                        <w:sz w:val="20"/>
                      </w:rPr>
                      <w:t> </w:t>
                    </w:r>
                    <w:r>
                      <w:rPr>
                        <w:rFonts w:ascii="Myriad Pro" w:hAnsi="Myriad Pro"/>
                        <w:color w:val="231F20"/>
                        <w:w w:val="105"/>
                        <w:sz w:val="20"/>
                      </w:rPr>
                      <w:t>de</w:t>
                    </w:r>
                    <w:r>
                      <w:rPr>
                        <w:rFonts w:ascii="Myriad Pro" w:hAnsi="Myriad Pro"/>
                        <w:color w:val="231F20"/>
                        <w:spacing w:val="-21"/>
                        <w:w w:val="105"/>
                        <w:sz w:val="20"/>
                      </w:rPr>
                      <w:t> </w:t>
                    </w:r>
                    <w:r>
                      <w:rPr>
                        <w:rFonts w:ascii="Myriad Pro" w:hAnsi="Myriad Pro"/>
                        <w:color w:val="231F20"/>
                        <w:w w:val="105"/>
                        <w:sz w:val="20"/>
                      </w:rPr>
                      <w:t>l’application</w:t>
                    </w:r>
                    <w:r>
                      <w:rPr>
                        <w:rFonts w:ascii="Myriad Pro" w:hAnsi="Myriad Pro"/>
                        <w:color w:val="231F20"/>
                        <w:spacing w:val="-21"/>
                        <w:w w:val="105"/>
                        <w:sz w:val="20"/>
                      </w:rPr>
                      <w:t> </w:t>
                    </w:r>
                    <w:r>
                      <w:rPr>
                        <w:rFonts w:ascii="Myriad Pro" w:hAnsi="Myriad Pro"/>
                        <w:color w:val="231F20"/>
                        <w:w w:val="105"/>
                        <w:sz w:val="20"/>
                      </w:rPr>
                      <w:t>de</w:t>
                    </w:r>
                    <w:r>
                      <w:rPr>
                        <w:rFonts w:ascii="Myriad Pro" w:hAnsi="Myriad Pro"/>
                        <w:color w:val="231F20"/>
                        <w:spacing w:val="-21"/>
                        <w:w w:val="105"/>
                        <w:sz w:val="20"/>
                      </w:rPr>
                      <w:t> </w:t>
                    </w:r>
                    <w:r>
                      <w:rPr>
                        <w:rFonts w:ascii="Myriad Pro" w:hAnsi="Myriad Pro"/>
                        <w:color w:val="231F20"/>
                        <w:w w:val="105"/>
                        <w:sz w:val="20"/>
                      </w:rPr>
                      <w:t>la </w:t>
                    </w:r>
                    <w:r>
                      <w:rPr>
                        <w:rFonts w:ascii="Myriad Pro" w:hAnsi="Myriad Pro"/>
                        <w:color w:val="231F20"/>
                        <w:sz w:val="20"/>
                      </w:rPr>
                      <w:t>CDPH ?</w:t>
                    </w:r>
                  </w:p>
                </w:txbxContent>
              </v:textbox>
              <w10:wrap type="none"/>
            </v:shape>
            <w10:wrap type="topAndBottom"/>
          </v:group>
        </w:pict>
      </w:r>
    </w:p>
    <w:p>
      <w:pPr>
        <w:pStyle w:val="BodyText"/>
        <w:spacing w:before="5"/>
        <w:rPr>
          <w:b w:val="0"/>
          <w:sz w:val="15"/>
        </w:rPr>
      </w:pPr>
    </w:p>
    <w:p>
      <w:pPr>
        <w:pStyle w:val="Heading2"/>
        <w:numPr>
          <w:ilvl w:val="1"/>
          <w:numId w:val="3"/>
        </w:numPr>
        <w:tabs>
          <w:tab w:pos="834" w:val="left" w:leader="none"/>
        </w:tabs>
        <w:spacing w:line="240" w:lineRule="auto" w:before="44" w:after="0"/>
        <w:ind w:left="833" w:right="0" w:hanging="720"/>
        <w:jc w:val="left"/>
        <w:rPr>
          <w:b/>
        </w:rPr>
      </w:pPr>
      <w:bookmarkStart w:name="_TOC_250008" w:id="7"/>
      <w:r>
        <w:rPr>
          <w:b/>
          <w:color w:val="231F20"/>
        </w:rPr>
        <w:t>Domaines prioritaires pour une réforme</w:t>
      </w:r>
      <w:r>
        <w:rPr>
          <w:b/>
          <w:color w:val="231F20"/>
          <w:spacing w:val="-19"/>
        </w:rPr>
        <w:t> </w:t>
      </w:r>
      <w:bookmarkEnd w:id="7"/>
      <w:r>
        <w:rPr>
          <w:b/>
          <w:color w:val="231F20"/>
        </w:rPr>
        <w:t>législative</w:t>
      </w:r>
    </w:p>
    <w:p>
      <w:pPr>
        <w:pStyle w:val="BodyText"/>
        <w:spacing w:line="266" w:lineRule="auto" w:before="117"/>
        <w:ind w:left="113" w:right="2984"/>
        <w:rPr>
          <w:b w:val="0"/>
        </w:rPr>
      </w:pPr>
      <w:r>
        <w:rPr>
          <w:b w:val="0"/>
          <w:color w:val="231F20"/>
        </w:rPr>
        <w:t>La CDPH précise les sujets de préoccupation qui nécessitent des réformes. Le niveau de réforme législative et de développement peut varier d’un pays à l’autre, mais souvent, des mesures législatives sont nécessaires dans les domaines clés détaillés ci-après. Il est toutefois à noter qu’il ne s'agit pas ici d’une liste exhaustive ; il existe de nombreux autres domaines dans lesquels une action législative peut être nécessaire pour donner effet aux obligations de la CDPH.</w:t>
      </w:r>
    </w:p>
    <w:p>
      <w:pPr>
        <w:pStyle w:val="BodyText"/>
        <w:spacing w:before="8"/>
        <w:rPr>
          <w:b w:val="0"/>
          <w:sz w:val="25"/>
        </w:rPr>
      </w:pPr>
    </w:p>
    <w:p>
      <w:pPr>
        <w:pStyle w:val="Heading3"/>
        <w:ind w:left="113"/>
        <w:rPr>
          <w:b/>
        </w:rPr>
      </w:pPr>
      <w:r>
        <w:rPr>
          <w:b/>
          <w:color w:val="FDB714"/>
        </w:rPr>
        <w:t>Égalité de reconnaissance devant la loi</w:t>
      </w:r>
    </w:p>
    <w:p>
      <w:pPr>
        <w:pStyle w:val="BodyText"/>
        <w:spacing w:line="266" w:lineRule="auto" w:before="127"/>
        <w:ind w:left="113" w:right="3302"/>
        <w:rPr>
          <w:b w:val="0"/>
        </w:rPr>
      </w:pPr>
      <w:r>
        <w:rPr>
          <w:b w:val="0"/>
          <w:color w:val="231F20"/>
          <w:spacing w:val="-3"/>
        </w:rPr>
        <w:t>L'égalité </w:t>
      </w:r>
      <w:r>
        <w:rPr>
          <w:b w:val="0"/>
          <w:color w:val="231F20"/>
        </w:rPr>
        <w:t>devant la loi (c’est-à-dire le fait que chaque citoyen soit traité à égalité) est un principe général fondamental de protection des droits de l’homme, essentiel</w:t>
      </w:r>
      <w:r>
        <w:rPr>
          <w:b w:val="0"/>
          <w:color w:val="231F20"/>
          <w:spacing w:val="-11"/>
        </w:rPr>
        <w:t> </w:t>
      </w:r>
      <w:r>
        <w:rPr>
          <w:b w:val="0"/>
          <w:color w:val="231F20"/>
        </w:rPr>
        <w:t>pour l’exercice de tous les autres droits de l’homme. </w:t>
      </w:r>
      <w:r>
        <w:rPr>
          <w:b w:val="0"/>
          <w:color w:val="231F20"/>
          <w:spacing w:val="-3"/>
        </w:rPr>
        <w:t>L’article </w:t>
      </w:r>
      <w:r>
        <w:rPr>
          <w:b w:val="0"/>
          <w:color w:val="231F20"/>
        </w:rPr>
        <w:t>12 de la Convention définit</w:t>
      </w:r>
      <w:r>
        <w:rPr>
          <w:b w:val="0"/>
          <w:color w:val="231F20"/>
          <w:spacing w:val="-26"/>
        </w:rPr>
        <w:t> </w:t>
      </w:r>
      <w:r>
        <w:rPr>
          <w:b w:val="0"/>
          <w:color w:val="231F20"/>
        </w:rPr>
        <w:t>ce</w:t>
      </w:r>
    </w:p>
    <w:p>
      <w:pPr>
        <w:pStyle w:val="BodyText"/>
        <w:spacing w:line="266" w:lineRule="auto"/>
        <w:ind w:left="113" w:right="2929"/>
        <w:rPr>
          <w:b w:val="0"/>
        </w:rPr>
      </w:pPr>
      <w:r>
        <w:rPr>
          <w:b w:val="0"/>
          <w:color w:val="231F20"/>
        </w:rPr>
        <w:t>droit civil, en se concentrant sur les domaines dans lesquels il a trop souvent été refusé aux personnes handicapées.</w:t>
      </w:r>
    </w:p>
    <w:p>
      <w:pPr>
        <w:pStyle w:val="BodyText"/>
        <w:spacing w:line="266" w:lineRule="auto" w:before="114"/>
        <w:ind w:left="113" w:right="3084"/>
        <w:rPr>
          <w:b w:val="0"/>
        </w:rPr>
      </w:pPr>
      <w:r>
        <w:rPr>
          <w:b w:val="0"/>
          <w:color w:val="231F20"/>
          <w:spacing w:val="-3"/>
        </w:rPr>
        <w:t>L’article </w:t>
      </w:r>
      <w:r>
        <w:rPr>
          <w:b w:val="0"/>
          <w:color w:val="231F20"/>
        </w:rPr>
        <w:t>12 </w:t>
      </w:r>
      <w:r>
        <w:rPr>
          <w:b w:val="0"/>
          <w:color w:val="231F20"/>
          <w:spacing w:val="-4"/>
        </w:rPr>
        <w:t>n’offre </w:t>
      </w:r>
      <w:r>
        <w:rPr>
          <w:b w:val="0"/>
          <w:color w:val="231F20"/>
        </w:rPr>
        <w:t>pas de nouveaux droits aux personnes handicapées ; il décrit simplement ce que les États parties doivent faire pour assurer l’égalité des personnes handicapées devant la loi. </w:t>
      </w:r>
      <w:r>
        <w:rPr>
          <w:b w:val="0"/>
          <w:color w:val="231F20"/>
          <w:spacing w:val="-3"/>
        </w:rPr>
        <w:t>L’article </w:t>
      </w:r>
      <w:r>
        <w:rPr>
          <w:b w:val="0"/>
          <w:color w:val="231F20"/>
        </w:rPr>
        <w:t>12 traite aussi des droits des personnes handicapées à une égalité de capacité juridique, c’est-à-dire de leur droit à gérer leurs propres</w:t>
      </w:r>
      <w:r>
        <w:rPr>
          <w:b w:val="0"/>
          <w:color w:val="231F20"/>
          <w:spacing w:val="-30"/>
        </w:rPr>
        <w:t> </w:t>
      </w:r>
      <w:r>
        <w:rPr>
          <w:b w:val="0"/>
          <w:color w:val="231F20"/>
        </w:rPr>
        <w:t>affaires juridiques et à prendre leurs propres décisions en la</w:t>
      </w:r>
      <w:r>
        <w:rPr>
          <w:b w:val="0"/>
          <w:color w:val="231F20"/>
          <w:spacing w:val="-17"/>
        </w:rPr>
        <w:t> </w:t>
      </w:r>
      <w:r>
        <w:rPr>
          <w:b w:val="0"/>
          <w:color w:val="231F20"/>
        </w:rPr>
        <w:t>matière.</w:t>
      </w:r>
    </w:p>
    <w:p>
      <w:pPr>
        <w:pStyle w:val="BodyText"/>
        <w:spacing w:line="266" w:lineRule="auto" w:before="114"/>
        <w:ind w:left="113" w:right="2929"/>
        <w:rPr>
          <w:b w:val="0"/>
        </w:rPr>
      </w:pPr>
      <w:r>
        <w:rPr>
          <w:b w:val="0"/>
          <w:color w:val="231F20"/>
        </w:rPr>
        <w:t>Le refus de la capacité juridique a entraîné de graves violations des droits des personnes handicapées dans toutes les régions du monde. Ce sujet doit dont être prioritaire dans tout processus de réforme de la loi. Les exercices de cadrage doivent identifier les</w:t>
      </w:r>
    </w:p>
    <w:p>
      <w:pPr>
        <w:pStyle w:val="BodyText"/>
        <w:spacing w:line="266" w:lineRule="auto"/>
        <w:ind w:left="113" w:right="2909"/>
        <w:rPr>
          <w:b w:val="0"/>
        </w:rPr>
      </w:pPr>
      <w:r>
        <w:rPr>
          <w:b w:val="0"/>
          <w:color w:val="231F20"/>
        </w:rPr>
        <w:t>codes et les lois dans lesquels la capacité juridique est limitée ou refusée aux personnes handicapées – code électoral, droit pénal ou civil, etc. Il s'agit là d’un domaine dans lequel la majorité des États parties à la CDPH, sinon tous, auront à entreprendre des réformes législatives afin de mettre leurs lois nationales en conformité avec la Convention.</w:t>
      </w:r>
    </w:p>
    <w:p>
      <w:pPr>
        <w:pStyle w:val="BodyText"/>
        <w:spacing w:before="8"/>
        <w:rPr>
          <w:b w:val="0"/>
          <w:sz w:val="25"/>
        </w:rPr>
      </w:pPr>
    </w:p>
    <w:p>
      <w:pPr>
        <w:pStyle w:val="Heading3"/>
        <w:ind w:left="113"/>
        <w:rPr>
          <w:b/>
        </w:rPr>
      </w:pPr>
      <w:r>
        <w:rPr>
          <w:b/>
          <w:color w:val="FDB714"/>
        </w:rPr>
        <w:t>Garantir l’accès à la justice</w:t>
      </w:r>
    </w:p>
    <w:p>
      <w:pPr>
        <w:pStyle w:val="BodyText"/>
        <w:spacing w:line="266" w:lineRule="auto" w:before="127"/>
        <w:ind w:left="113" w:right="3387"/>
        <w:rPr>
          <w:b w:val="0"/>
        </w:rPr>
      </w:pPr>
      <w:r>
        <w:rPr>
          <w:b w:val="0"/>
          <w:color w:val="231F20"/>
        </w:rPr>
        <w:t>La législation doit garantir que les personnes handicapées victimes de violations des droits de l’homme, ont accès à réparation, ce qui peut inclure :</w:t>
      </w:r>
    </w:p>
    <w:p>
      <w:pPr>
        <w:pStyle w:val="BodyText"/>
        <w:spacing w:before="19"/>
        <w:ind w:left="453"/>
        <w:rPr>
          <w:b w:val="0"/>
        </w:rPr>
      </w:pPr>
      <w:r>
        <w:rPr>
          <w:rFonts w:ascii="Arial" w:hAnsi="Arial"/>
          <w:color w:val="FDB714"/>
          <w:sz w:val="26"/>
        </w:rPr>
        <w:t>► </w:t>
      </w:r>
      <w:r>
        <w:rPr>
          <w:b w:val="0"/>
          <w:color w:val="231F20"/>
        </w:rPr>
        <w:t>des dommages-intérêts (par exemple, une indemnisation) ;</w:t>
      </w:r>
    </w:p>
    <w:p>
      <w:pPr>
        <w:pStyle w:val="BodyText"/>
        <w:spacing w:before="47"/>
        <w:ind w:left="453"/>
        <w:rPr>
          <w:b w:val="0"/>
        </w:rPr>
      </w:pPr>
      <w:r>
        <w:rPr>
          <w:rFonts w:ascii="Arial" w:hAnsi="Arial"/>
          <w:color w:val="FDB714"/>
          <w:sz w:val="26"/>
        </w:rPr>
        <w:t>► </w:t>
      </w:r>
      <w:r>
        <w:rPr>
          <w:b w:val="0"/>
          <w:color w:val="231F20"/>
        </w:rPr>
        <w:t>une ordonnance de réintégration ;</w:t>
      </w:r>
    </w:p>
    <w:p>
      <w:pPr>
        <w:pStyle w:val="BodyText"/>
        <w:rPr>
          <w:b w:val="0"/>
          <w:sz w:val="20"/>
        </w:rPr>
      </w:pPr>
    </w:p>
    <w:p>
      <w:pPr>
        <w:pStyle w:val="BodyText"/>
        <w:spacing w:before="7"/>
        <w:rPr>
          <w:b w:val="0"/>
          <w:sz w:val="17"/>
        </w:rPr>
      </w:pPr>
    </w:p>
    <w:p>
      <w:pPr>
        <w:spacing w:before="102"/>
        <w:ind w:left="4012"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6760"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12</w:t>
                      <w:tab/>
                    </w:r>
                  </w:p>
                </w:txbxContent>
              </v:textbox>
              <w10:wrap type="none"/>
            </v:shape>
            <w10:wrap type="none"/>
          </v:group>
        </w:pict>
      </w:r>
    </w:p>
    <w:p>
      <w:pPr>
        <w:spacing w:before="75"/>
        <w:ind w:left="2892" w:right="249"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4" w:lineRule="auto" w:before="67"/>
        <w:ind w:left="3571" w:right="249" w:hanging="341"/>
        <w:rPr>
          <w:b w:val="0"/>
        </w:rPr>
      </w:pPr>
      <w:r>
        <w:rPr>
          <w:rFonts w:ascii="Arial" w:hAnsi="Arial"/>
          <w:color w:val="FDB714"/>
          <w:sz w:val="26"/>
        </w:rPr>
        <w:t>► </w:t>
      </w:r>
      <w:r>
        <w:rPr>
          <w:b w:val="0"/>
          <w:color w:val="231F20"/>
        </w:rPr>
        <w:t>une injonction ordonnant la cessation d'actes discriminatoires et interdisant leur renouvellement ;</w:t>
      </w:r>
    </w:p>
    <w:p>
      <w:pPr>
        <w:pStyle w:val="BodyText"/>
        <w:spacing w:before="21"/>
        <w:ind w:left="3231" w:right="249"/>
        <w:rPr>
          <w:b w:val="0"/>
        </w:rPr>
      </w:pPr>
      <w:r>
        <w:rPr>
          <w:rFonts w:ascii="Arial" w:hAnsi="Arial"/>
          <w:color w:val="FDB714"/>
          <w:sz w:val="26"/>
        </w:rPr>
        <w:t>► </w:t>
      </w:r>
      <w:r>
        <w:rPr>
          <w:b w:val="0"/>
          <w:color w:val="231F20"/>
        </w:rPr>
        <w:t>une injonction d’aménagement raisonnable ;</w:t>
      </w:r>
    </w:p>
    <w:p>
      <w:pPr>
        <w:pStyle w:val="BodyText"/>
        <w:spacing w:before="47"/>
        <w:ind w:left="3231" w:right="249"/>
        <w:rPr>
          <w:b w:val="0"/>
        </w:rPr>
      </w:pPr>
      <w:r>
        <w:rPr>
          <w:rFonts w:ascii="Arial" w:hAnsi="Arial"/>
          <w:color w:val="FDB714"/>
          <w:sz w:val="26"/>
        </w:rPr>
        <w:t>► </w:t>
      </w:r>
      <w:r>
        <w:rPr>
          <w:b w:val="0"/>
          <w:color w:val="231F20"/>
        </w:rPr>
        <w:t>des excuses ;</w:t>
      </w:r>
    </w:p>
    <w:p>
      <w:pPr>
        <w:pStyle w:val="BodyText"/>
        <w:spacing w:before="47"/>
        <w:ind w:left="3231" w:right="249"/>
        <w:rPr>
          <w:b w:val="0"/>
        </w:rPr>
      </w:pPr>
      <w:r>
        <w:rPr>
          <w:rFonts w:ascii="Arial" w:hAnsi="Arial"/>
          <w:color w:val="FDB714"/>
          <w:sz w:val="26"/>
        </w:rPr>
        <w:t>► </w:t>
      </w:r>
      <w:r>
        <w:rPr>
          <w:b w:val="0"/>
          <w:color w:val="231F20"/>
        </w:rPr>
        <w:t>une injonction ordonnant des mesures correctives diverses ;</w:t>
      </w:r>
    </w:p>
    <w:p>
      <w:pPr>
        <w:pStyle w:val="BodyText"/>
        <w:spacing w:before="47"/>
        <w:ind w:left="3231" w:right="249"/>
        <w:rPr>
          <w:b w:val="0"/>
        </w:rPr>
      </w:pPr>
      <w:r>
        <w:rPr>
          <w:rFonts w:ascii="Arial" w:hAnsi="Arial"/>
          <w:color w:val="FDB714"/>
          <w:sz w:val="26"/>
        </w:rPr>
        <w:t>► </w:t>
      </w:r>
      <w:r>
        <w:rPr>
          <w:b w:val="0"/>
          <w:color w:val="231F20"/>
        </w:rPr>
        <w:t>d'autres mesures.</w:t>
      </w:r>
    </w:p>
    <w:p>
      <w:pPr>
        <w:pStyle w:val="BodyText"/>
        <w:spacing w:line="266" w:lineRule="auto" w:before="142"/>
        <w:ind w:left="2891" w:right="184"/>
        <w:rPr>
          <w:b w:val="0"/>
        </w:rPr>
      </w:pPr>
      <w:r>
        <w:rPr>
          <w:b w:val="0"/>
          <w:color w:val="231F20"/>
        </w:rPr>
        <w:t>Les procédures de plainte doivent indiquer clairement les conditions relatives à la</w:t>
      </w:r>
      <w:r>
        <w:rPr>
          <w:b w:val="0"/>
          <w:color w:val="231F20"/>
          <w:spacing w:val="-24"/>
        </w:rPr>
        <w:t> </w:t>
      </w:r>
      <w:r>
        <w:rPr>
          <w:b w:val="0"/>
          <w:color w:val="231F20"/>
        </w:rPr>
        <w:t>charge de la preuve. Selon les lois sur la discrimination d’un certain nombre de pays, la charge de la preuve revient d'abord au plaignant – c’est-à-dire </w:t>
      </w:r>
      <w:r>
        <w:rPr>
          <w:b w:val="0"/>
          <w:color w:val="231F20"/>
          <w:spacing w:val="-3"/>
        </w:rPr>
        <w:t>qu’il </w:t>
      </w:r>
      <w:r>
        <w:rPr>
          <w:b w:val="0"/>
          <w:color w:val="231F20"/>
        </w:rPr>
        <w:t>appartient à la</w:t>
      </w:r>
      <w:r>
        <w:rPr>
          <w:b w:val="0"/>
          <w:color w:val="231F20"/>
          <w:spacing w:val="-15"/>
        </w:rPr>
        <w:t> </w:t>
      </w:r>
      <w:r>
        <w:rPr>
          <w:b w:val="0"/>
          <w:color w:val="231F20"/>
        </w:rPr>
        <w:t>personne</w:t>
      </w:r>
    </w:p>
    <w:p>
      <w:pPr>
        <w:pStyle w:val="BodyText"/>
        <w:spacing w:line="266" w:lineRule="auto"/>
        <w:ind w:left="2891" w:right="298"/>
        <w:rPr>
          <w:b w:val="0"/>
        </w:rPr>
      </w:pPr>
      <w:r>
        <w:rPr>
          <w:b w:val="0"/>
          <w:color w:val="231F20"/>
        </w:rPr>
        <w:t>qui porte plainte de présenter une certaine quantité et un certain type de preuves pour étayer sa plainte. Une fois les preuves requises avancées, la charge de la preuve passe au défendeur. Celui-ci doit alors prouver qu’aucune discrimination </w:t>
      </w:r>
      <w:r>
        <w:rPr>
          <w:b w:val="0"/>
          <w:color w:val="231F20"/>
          <w:spacing w:val="-4"/>
        </w:rPr>
        <w:t>n’a </w:t>
      </w:r>
      <w:r>
        <w:rPr>
          <w:b w:val="0"/>
          <w:color w:val="231F20"/>
        </w:rPr>
        <w:t>eu lieu ou, dans le cas contraire, </w:t>
      </w:r>
      <w:r>
        <w:rPr>
          <w:b w:val="0"/>
          <w:color w:val="231F20"/>
          <w:spacing w:val="-3"/>
        </w:rPr>
        <w:t>qu’elle </w:t>
      </w:r>
      <w:r>
        <w:rPr>
          <w:b w:val="0"/>
          <w:color w:val="231F20"/>
        </w:rPr>
        <w:t>faisait partie des exceptions légales. Compte tenu des difficultés fréquemment rencontrées par les plaignants dans les affaires de discrimination pour obtenir et présenter des preuves directes de discrimination, il est important que les procédures de plainte soient examinées dans le cadre d’une réforme de la</w:t>
      </w:r>
      <w:r>
        <w:rPr>
          <w:b w:val="0"/>
          <w:color w:val="231F20"/>
          <w:spacing w:val="-16"/>
        </w:rPr>
        <w:t> </w:t>
      </w:r>
      <w:r>
        <w:rPr>
          <w:b w:val="0"/>
          <w:color w:val="231F20"/>
        </w:rPr>
        <w:t>loi.</w:t>
      </w:r>
    </w:p>
    <w:p>
      <w:pPr>
        <w:pStyle w:val="BodyText"/>
        <w:spacing w:before="8"/>
        <w:rPr>
          <w:b w:val="0"/>
          <w:sz w:val="25"/>
        </w:rPr>
      </w:pPr>
    </w:p>
    <w:p>
      <w:pPr>
        <w:pStyle w:val="Heading3"/>
        <w:ind w:right="249"/>
        <w:rPr>
          <w:b/>
        </w:rPr>
      </w:pPr>
      <w:r>
        <w:rPr>
          <w:b/>
          <w:color w:val="FDB714"/>
        </w:rPr>
        <w:t>Droit et protection de la santé</w:t>
      </w:r>
    </w:p>
    <w:p>
      <w:pPr>
        <w:pStyle w:val="BodyText"/>
        <w:spacing w:line="266" w:lineRule="auto" w:before="127"/>
        <w:ind w:left="2891" w:right="272"/>
        <w:rPr>
          <w:b w:val="0"/>
        </w:rPr>
      </w:pPr>
      <w:r>
        <w:rPr>
          <w:b w:val="0"/>
          <w:color w:val="231F20"/>
        </w:rPr>
        <w:t>Les procédures de réforme législative doivent inclure des amendements de toutes les lois, politiques ou pratiques discriminatoires qui empêchent les personnes handicapées de bénéficier d’un accès complet et égal aux services de soins de santé. La fourniture d’aménagements raisonnables dans le contexte des services de soins de santé doit faire partie de toute législation antidiscriminatoire.</w:t>
      </w:r>
    </w:p>
    <w:p>
      <w:pPr>
        <w:pStyle w:val="BodyText"/>
        <w:spacing w:line="266" w:lineRule="auto" w:before="114"/>
        <w:ind w:left="2891" w:right="184"/>
        <w:rPr>
          <w:b w:val="0"/>
        </w:rPr>
      </w:pPr>
      <w:r>
        <w:rPr>
          <w:b w:val="0"/>
          <w:color w:val="231F20"/>
        </w:rPr>
        <w:t>D’autres protections législatives peuvent être pertinentes dans ce contexte, par exemple en assurant le droit à la liberté et à la sécurité des personnes et le droit de ne pas</w:t>
      </w:r>
    </w:p>
    <w:p>
      <w:pPr>
        <w:pStyle w:val="BodyText"/>
        <w:spacing w:line="266" w:lineRule="auto"/>
        <w:ind w:left="2891"/>
        <w:rPr>
          <w:b w:val="0"/>
        </w:rPr>
      </w:pPr>
      <w:r>
        <w:rPr>
          <w:b w:val="0"/>
          <w:color w:val="231F20"/>
        </w:rPr>
        <w:t>être soumis à la torture, à l’exploitation, à la violence et à la maltraitance, au domicile comme à l’extérieur. Les États parties à la CDPH doivent attentivement examiner leur législation dans des domaines tels que la privation de liberté des personnes handicapées (notamment celles présentant des handicaps intellectuels) en termes d’interventions médicales obligatoires ou forces, afin d’assurer que ces droits sont légalement garantis sur une base d'égalité avec les autres personnes. Les États parties doivent aussi s'assurer que des mesures sont en place pour surveiller l'application de ces lois, pour enquêter sur les violations présumées et pour offrir les recours appropriés.</w:t>
      </w:r>
    </w:p>
    <w:p>
      <w:pPr>
        <w:pStyle w:val="BodyText"/>
        <w:spacing w:before="8"/>
        <w:rPr>
          <w:b w:val="0"/>
          <w:sz w:val="25"/>
        </w:rPr>
      </w:pPr>
    </w:p>
    <w:p>
      <w:pPr>
        <w:pStyle w:val="Heading3"/>
        <w:ind w:right="249"/>
        <w:rPr>
          <w:b/>
        </w:rPr>
      </w:pPr>
      <w:r>
        <w:rPr>
          <w:b/>
          <w:color w:val="FDB714"/>
        </w:rPr>
        <w:t>Reconnaissance de la langue des signes</w:t>
      </w:r>
    </w:p>
    <w:p>
      <w:pPr>
        <w:pStyle w:val="BodyText"/>
        <w:spacing w:line="266" w:lineRule="auto" w:before="127"/>
        <w:ind w:left="2891" w:right="142"/>
        <w:rPr>
          <w:b w:val="0"/>
        </w:rPr>
      </w:pPr>
      <w:r>
        <w:rPr>
          <w:b w:val="0"/>
          <w:color w:val="231F20"/>
        </w:rPr>
        <w:t>La CDPH impose aux États partie l’obligation de reconnaître et de promouvoir la langue des signes, ce qui nécessite probablement l'adoption de mesures législatives. L’article 30 reconnaît le droit des personnes handicapées à la reconnaissance et au soutien de leur identité culturelle et linguistique. Le droit d’utiliser la langue des signes est un élément clé de l’identité culturelle et linguistique des personnes sourdes ou sourdes et aveugles. Ces dispositions sont renforcées par l’article 5 de la CDPH qui énonce que les personnes handicapées doivent bénéficier d’aménagements spécifiques et que l'absence de tels aménagements constitue une discrimination fondée sur le handicap. Elles sont aussi liées aux mesures que les États parties doivent prendre pour assurer l’inclusion et la protection des droits (article 9).</w:t>
      </w:r>
    </w:p>
    <w:p>
      <w:pPr>
        <w:pStyle w:val="BodyText"/>
        <w:rPr>
          <w:b w:val="0"/>
          <w:sz w:val="20"/>
        </w:rPr>
      </w:pPr>
    </w:p>
    <w:p>
      <w:pPr>
        <w:pStyle w:val="BodyText"/>
        <w:rPr>
          <w:b w:val="0"/>
          <w:sz w:val="20"/>
        </w:rPr>
      </w:pPr>
    </w:p>
    <w:p>
      <w:pPr>
        <w:pStyle w:val="BodyText"/>
        <w:rPr>
          <w:b w:val="0"/>
          <w:sz w:val="25"/>
        </w:rPr>
      </w:pPr>
    </w:p>
    <w:p>
      <w:pPr>
        <w:spacing w:before="117"/>
        <w:ind w:left="2891" w:right="249"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6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824"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786;top:13607;width:1135;height:1343" coordorigin="9786,13607" coordsize="1135,1343" path="m10177,14950l10177,14752,10123,14753,10073,14749,9979,14711,9924,14651,9899,14587,9895,14556,9895,14434,9831,14434,9817,14434,9807,14431,9800,14424,9786,14411,9786,14403,9786,14387,9801,14344,9834,14259,9867,14175,9885,14133,9892,14113,9896,14098,9898,14082,9900,14059,9905,14018,9925,13940,9956,13873,9990,13820,10032,13772,10094,13718,10161,13673,10232,13639,10307,13617,10386,13607,10431,13607,10507,13616,10577,13635,10664,13675,10727,13718,10786,13772,10789,13777,10792,13780,10795,13784,10797,13785,10800,13788,10839,13842,10872,13901,10899,13969,10914,14032,10920,14102,10920,14142,10918,14179,10902,14260,10865,14353,10803,14446,10761,14491,10751,14501,10739,14513,10729,14524,10724,14531,10724,14940e" filled="false" stroked="true" strokeweight="3.544pt" strokecolor="#fdb714">
              <v:path arrowok="t"/>
            </v:shape>
            <v:shape style="position:absolute;left:10011;top:13710;width:740;height:540" coordorigin="10011,13710" coordsize="740,540" path="m10248,14200l10098,14200,10098,14202,10110,14208,10114,14208,10117,14210,10119,14216,10121,14230,10123,14242,10126,14250,10164,14250,10166,14240,10167,14230,10168,14220,10171,14210,10175,14208,10181,14206,10190,14202,10246,14202,10248,14200xm10064,14010l10038,14038,10039,14044,10047,14054,10051,14060,10055,14066,10060,14070,10057,14078,10056,14082,10052,14092,10046,14092,10043,14094,10031,14096,10011,14100,10013,14138,10033,14142,10046,14144,10049,14144,10053,14146,10053,14150,10058,14162,10058,14168,10053,14176,10043,14190,10038,14196,10039,14202,10048,14210,10065,14226,10072,14220,10083,14212,10098,14200,10248,14200,10251,14196,10246,14190,10239,14180,10228,14166,10228,14164,10230,14160,10134,14160,10109,14146,10096,14120,10104,14094,10125,14076,10230,14076,10227,14072,10232,14066,10241,14052,10245,14046,10469,14046,10474,14044,10558,14044,10562,14040,10726,14040,10727,14038,10726,14036,10100,14036,10081,14022,10071,14018,10064,14010xm10246,14202l10190,14202,10198,14208,10207,14212,10216,14218,10224,14226,10246,14202xm10664,14176l10626,14176,10627,14182,10632,14208,10659,14206,10661,14198,10660,14190,10664,14176xm10726,14040l10562,14040,10575,14058,10577,14066,10573,14072,10570,14084,10560,14086,10549,14086,10539,14090,10540,14116,10568,14120,10573,14128,10572,14134,10579,14142,10575,14146,10572,14152,10569,14156,10563,14166,10564,14170,10569,14176,10581,14186,10589,14178,10597,14176,10604,14168,10728,14168,10729,14166,10727,14164,10713,14146,10638,14146,10615,14134,10606,14120,10603,14104,10606,14088,10615,14074,10640,14060,10713,14060,10714,14058,10723,14044,10726,14040xm10728,14168l10685,14168,10689,14172,10695,14176,10699,14178,10708,14184,10713,14184,10719,14178,10728,14168xm10685,14168l10604,14168,10609,14172,10613,14174,10624,14178,10626,14176,10664,14176,10665,14174,10678,14174,10685,14168xm10678,14174l10665,14174,10676,14176,10678,14174xm10230,14076l10156,14076,10167,14082,10176,14092,10182,14104,10184,14116,10177,14140,10159,14156,10134,14160,10230,14160,10234,14150,10234,14146,10253,14142,10265,14140,10276,14136,10275,14098,10271,14096,10267,14096,10244,14094,10236,14090,10234,14084,10230,14076xm10713,14060l10640,14060,10665,14064,10684,14082,10690,14104,10681,14130,10662,14144,10638,14146,10713,14146,10713,14144,10712,14140,10719,14126,10721,14120,10725,14120,10731,14118,10733,14118,10741,14116,10745,14116,10750,14114,10749,14088,10740,14086,10730,14086,10721,14084,10719,14078,10719,14076,10713,14064,10710,14064,10713,14060xm10469,14046l10333,14046,10347,14052,10359,14056,10371,14104,10372,14110,10372,14114,10374,14118,10433,14118,10435,14108,10437,14098,10439,14076,10441,14068,10442,14056,10457,14052,10464,14048,10469,14046xm10327,14046l10245,14046,10281,14080,10287,14074,10295,14070,10302,14064,10327,14046xm10558,14044l10474,14044,10485,14050,10500,14060,10515,14070,10526,14078,10558,14044xm10119,14024l10101,14032,10100,14036,10194,14036,10184,14032,10174,14026,10118,14026,10119,14024xm10222,14010l10218,14014,10213,14018,10198,14028,10194,14036,10608,14036,10603,14034,10601,14034,10598,14032,10566,14032,10564,14030,10243,14030,10222,14010xm10671,14028l10619,14028,10608,14032,10608,14036,10682,14036,10678,14032,10673,14030,10671,14028xm10708,14018l10688,14034,10682,14036,10726,14036,10723,14032,10708,14018xm10580,14018l10566,14032,10598,14032,10582,14020,10580,14018xm10278,13750l10237,13794,10244,13802,10251,13812,10257,13820,10264,13830,10269,13836,10275,13840,10271,13848,10265,13860,10262,13868,10258,13874,10250,13876,10224,13880,10210,13884,10197,13886,10198,13946,10209,13948,10219,13948,10229,13950,10256,13954,10260,13956,10263,13964,10270,13980,10272,13988,10268,13996,10256,14012,10251,14018,10248,14024,10243,14030,10564,14030,10559,14026,10554,14016,10542,14002,10536,13994,10531,13986,10545,13956,10399,13956,10383,13954,10369,13946,10366,13942,10360,13934,10359,13932,10355,13918,10356,13904,10361,13892,10369,13882,10399,13870,10543,13870,10542,13868,10536,13848,10531,13842,10539,13832,10549,13816,10560,13800,10566,13790,10562,13786,10330,13786,10322,13778,10312,13774,10299,13764,10296,13762,10286,13756,10283,13754,10278,13750xm10657,13996l10631,13998,10629,14008,10628,14016,10626,14026,10622,14028,10664,14028,10662,14018,10657,13996xm10170,14024l10119,14024,10118,14026,10174,14026,10170,14024xm10162,13986l10124,13986,10122,13990,10122,13994,10119,14024,10119,14024,10170,14024,10168,14018,10166,14006,10165,13998,10164,13992,10162,13986xm10543,13870l10399,13870,10428,13882,10442,13910,10428,13944,10415,13954,10399,13956,10545,13956,10555,13952,10565,13952,10584,13946,10598,13946,10606,13942,10604,13884,10544,13874,10543,13870xm10430,13710l10371,13712,10364,13758,10363,13762,10363,13768,10362,13772,10358,13774,10357,13774,10350,13776,10350,13776,10340,13780,10336,13782,10330,13786,10477,13786,10470,13784,10455,13778,10447,13774,10443,13770,10441,13764,10430,13710xm10524,13748l10515,13756,10506,13762,10488,13776,10481,13780,10477,13786,10562,13786,10524,13748xe" filled="true" fillcolor="#fdb714"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13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33" w:right="2933"/>
        <w:rPr>
          <w:b w:val="0"/>
        </w:rPr>
      </w:pPr>
      <w:r>
        <w:rPr>
          <w:b w:val="0"/>
          <w:color w:val="231F20"/>
        </w:rPr>
        <w:t>Enfin, l’article 24 (Éducation) fait explicitement référence à la langue des signes en exigeant des États parties qu’ils prennent des mesures pour faciliter « l’apprentissage de la langue des signes et la promotion de l’identité linguistique des personnes sourdes » dans le cadre du droit à l'éducation. Il est important de noter que l’article 24 requiert aussi des États parties qu’ils prennent des mesures pour s'assurer de disposer d’enseignants qualifiés en langue des signes, y compris des personnes handicapées, et pour former des professionnels et du personnel à tous les niveaux</w:t>
      </w:r>
      <w:r>
        <w:rPr>
          <w:b w:val="0"/>
          <w:color w:val="231F20"/>
          <w:spacing w:val="-17"/>
        </w:rPr>
        <w:t> </w:t>
      </w:r>
      <w:r>
        <w:rPr>
          <w:b w:val="0"/>
          <w:color w:val="231F20"/>
        </w:rPr>
        <w:t>éducatifs.</w:t>
      </w:r>
    </w:p>
    <w:p>
      <w:pPr>
        <w:pStyle w:val="BodyText"/>
        <w:spacing w:before="4"/>
        <w:rPr>
          <w:b w:val="0"/>
          <w:sz w:val="18"/>
        </w:rPr>
      </w:pPr>
      <w:r>
        <w:rPr/>
        <w:pict>
          <v:group style="position:absolute;margin-left:56.192902pt;margin-top:12.836139pt;width:395.05pt;height:72.05pt;mso-position-horizontal-relative:page;mso-position-vertical-relative:paragraph;z-index:2728;mso-wrap-distance-left:0;mso-wrap-distance-right:0" coordorigin="1124,257" coordsize="7901,1441">
            <v:rect style="position:absolute;left:1134;top:257;width:7880;height:363" filled="true" fillcolor="#fdb714" stroked="false">
              <v:fill type="solid"/>
            </v:rect>
            <v:rect style="position:absolute;left:1134;top:620;width:7880;height:1067" filled="true" fillcolor="#fff5e4" stroked="false">
              <v:fill type="solid"/>
            </v:rect>
            <v:line style="position:absolute" from="1134,1687" to="9014,1687" stroked="true" strokeweight="1pt" strokecolor="#fdb714"/>
            <v:shape style="position:absolute;left:1124;top:257;width:7901;height:1441" type="#_x0000_t202" filled="false" stroked="false">
              <v:textbox inset="0,0,0,0">
                <w:txbxContent>
                  <w:p>
                    <w:pPr>
                      <w:spacing w:before="32"/>
                      <w:ind w:left="1979" w:right="196" w:firstLine="0"/>
                      <w:jc w:val="left"/>
                      <w:rPr>
                        <w:rFonts w:ascii="Myriad Pro" w:hAnsi="Myriad Pro"/>
                        <w:b/>
                        <w:sz w:val="22"/>
                      </w:rPr>
                    </w:pPr>
                    <w:r>
                      <w:rPr>
                        <w:rFonts w:ascii="Myriad Pro" w:hAnsi="Myriad Pro"/>
                        <w:b/>
                        <w:color w:val="FFFFFF"/>
                        <w:sz w:val="22"/>
                      </w:rPr>
                      <w:t>Exemple : La Constitution de l’Ouganda :</w:t>
                    </w:r>
                  </w:p>
                  <w:p>
                    <w:pPr>
                      <w:spacing w:line="259" w:lineRule="auto" w:before="188"/>
                      <w:ind w:left="180" w:right="245" w:firstLine="0"/>
                      <w:jc w:val="left"/>
                      <w:rPr>
                        <w:rFonts w:ascii="Myriad Pro" w:hAnsi="Myriad Pro"/>
                        <w:sz w:val="20"/>
                      </w:rPr>
                    </w:pPr>
                    <w:r>
                      <w:rPr>
                        <w:rFonts w:ascii="Myriad Pro" w:hAnsi="Myriad Pro"/>
                        <w:color w:val="231F20"/>
                        <w:sz w:val="20"/>
                      </w:rPr>
                      <w:t>La Constitution de l’Ouganda reconnaît la langue des signe et le devoir de l’État de soutenir son développement, en disposant que : « l’État s’engage à promouvoir le développement d’une langue des signes pour les personnes sourdes ». (art. 24)</w:t>
                    </w:r>
                  </w:p>
                </w:txbxContent>
              </v:textbox>
              <w10:wrap type="none"/>
            </v:shape>
            <w10:wrap type="topAndBottom"/>
          </v:group>
        </w:pict>
      </w:r>
    </w:p>
    <w:p>
      <w:pPr>
        <w:pStyle w:val="BodyText"/>
        <w:rPr>
          <w:b w:val="0"/>
          <w:sz w:val="26"/>
        </w:rPr>
      </w:pPr>
    </w:p>
    <w:p>
      <w:pPr>
        <w:pStyle w:val="Heading3"/>
        <w:spacing w:before="51"/>
        <w:ind w:left="133" w:right="374"/>
        <w:rPr>
          <w:b/>
        </w:rPr>
      </w:pPr>
      <w:r>
        <w:rPr>
          <w:b/>
          <w:color w:val="FDB714"/>
        </w:rPr>
        <w:t>Réforme de la loi relative à la justice pour mineurs</w:t>
      </w:r>
    </w:p>
    <w:p>
      <w:pPr>
        <w:pStyle w:val="BodyText"/>
        <w:spacing w:line="266" w:lineRule="auto" w:before="127"/>
        <w:ind w:left="133" w:right="2787"/>
        <w:rPr>
          <w:b w:val="0"/>
        </w:rPr>
      </w:pPr>
      <w:r>
        <w:rPr>
          <w:b w:val="0"/>
          <w:color w:val="231F20"/>
        </w:rPr>
        <w:t>Dans de nombreux pays africains, la ratification de la Convention relative aux droits de l’enfant et de la Charte africaine des droits et du bien-être de l'enfant a conduit à réformer les systèmes de justice pour mineurs. La ratification rapide de la CDPH sur le continent est l’occasion pour ces réformes en cours de répondre de façon adaptée à la question des</w:t>
      </w:r>
    </w:p>
    <w:p>
      <w:pPr>
        <w:pStyle w:val="BodyText"/>
        <w:spacing w:line="266" w:lineRule="auto"/>
        <w:ind w:left="133" w:right="2787"/>
        <w:rPr>
          <w:b w:val="0"/>
        </w:rPr>
      </w:pPr>
      <w:r>
        <w:rPr>
          <w:b w:val="0"/>
          <w:color w:val="231F20"/>
        </w:rPr>
        <w:t>droits des enfants handicapés en la matière. La réforme de la loi concernant la justice pour mineurs doit en particulier inclure des dispositions sur les aménagements raisonnables pour les enfants handicapés et s'assurer que les programmes de justice accessibles à</w:t>
      </w:r>
    </w:p>
    <w:p>
      <w:pPr>
        <w:pStyle w:val="BodyText"/>
        <w:spacing w:line="266" w:lineRule="auto"/>
        <w:ind w:left="133" w:right="2948"/>
        <w:rPr>
          <w:b w:val="0"/>
        </w:rPr>
      </w:pPr>
      <w:r>
        <w:rPr>
          <w:b w:val="0"/>
          <w:color w:val="231F20"/>
        </w:rPr>
        <w:t>la jeunesse en général, tels que les programmes de déjudiciarisation, sont également accessibles aux délinquants handicapés. Il est aussi important que les États s'assurent que des données sont collectées sur les enfants handicapés dans le système judiciaire.</w:t>
      </w:r>
    </w:p>
    <w:p>
      <w:pPr>
        <w:pStyle w:val="BodyText"/>
        <w:rPr>
          <w:b w:val="0"/>
        </w:rPr>
      </w:pPr>
    </w:p>
    <w:p>
      <w:pPr>
        <w:pStyle w:val="BodyText"/>
        <w:spacing w:before="3"/>
        <w:rPr>
          <w:b w:val="0"/>
          <w:sz w:val="20"/>
        </w:rPr>
      </w:pPr>
    </w:p>
    <w:p>
      <w:pPr>
        <w:pStyle w:val="Heading2"/>
        <w:numPr>
          <w:ilvl w:val="1"/>
          <w:numId w:val="3"/>
        </w:numPr>
        <w:tabs>
          <w:tab w:pos="854" w:val="left" w:leader="none"/>
        </w:tabs>
        <w:spacing w:line="340" w:lineRule="exact" w:before="0" w:after="0"/>
        <w:ind w:left="853" w:right="3814" w:hanging="720"/>
        <w:jc w:val="left"/>
        <w:rPr>
          <w:b/>
        </w:rPr>
      </w:pPr>
      <w:bookmarkStart w:name="_TOC_250007" w:id="8"/>
      <w:r>
        <w:rPr>
          <w:b/>
          <w:color w:val="231F20"/>
        </w:rPr>
        <w:t>Participation à la réforme des lois relatives</w:t>
      </w:r>
      <w:r>
        <w:rPr>
          <w:b/>
          <w:color w:val="231F20"/>
          <w:spacing w:val="-19"/>
        </w:rPr>
        <w:t> </w:t>
      </w:r>
      <w:bookmarkEnd w:id="8"/>
      <w:r>
        <w:rPr>
          <w:b/>
          <w:color w:val="231F20"/>
        </w:rPr>
        <w:t>au handicap</w:t>
      </w:r>
    </w:p>
    <w:p>
      <w:pPr>
        <w:pStyle w:val="BodyText"/>
        <w:spacing w:line="266" w:lineRule="auto" w:before="130"/>
        <w:ind w:left="133" w:right="2787"/>
        <w:rPr>
          <w:b w:val="0"/>
        </w:rPr>
      </w:pPr>
      <w:r>
        <w:rPr>
          <w:b w:val="0"/>
          <w:color w:val="231F20"/>
        </w:rPr>
        <w:t>Trop souvent dans les processus de décision, le rôle des personnes handicapées est dévalorisé ou ignoré. La CDPH aspire à modifier cela en demandant aux États parties de s'assurer que les personnes handicapées et leurs organisations représentatives prennent part à la réforme de la loi et à l’élaboration des politiques. L’article 4(3) demande au législateur de consulter des personnes handicapées et leurs organisations représentatives et de prendre activement des mesures pour garantir leur participation pleine et effective.</w:t>
      </w:r>
    </w:p>
    <w:p>
      <w:pPr>
        <w:pStyle w:val="BodyText"/>
        <w:spacing w:line="266" w:lineRule="auto" w:before="114"/>
        <w:ind w:left="133" w:right="3180"/>
        <w:rPr>
          <w:b w:val="0"/>
        </w:rPr>
      </w:pPr>
      <w:r>
        <w:rPr>
          <w:b w:val="0"/>
          <w:color w:val="231F20"/>
        </w:rPr>
        <w:t>L’importance de l’inclusion des personnes handicapées et de leurs organisations représentatives dans le processus législatif est aussi soulignée par l’article 3, qui pose la</w:t>
      </w:r>
    </w:p>
    <w:p>
      <w:pPr>
        <w:pStyle w:val="BodyText"/>
        <w:spacing w:line="266" w:lineRule="auto"/>
        <w:ind w:left="133" w:right="3225"/>
        <w:rPr>
          <w:b w:val="0"/>
        </w:rPr>
      </w:pPr>
      <w:r>
        <w:rPr>
          <w:b w:val="0"/>
          <w:color w:val="231F20"/>
        </w:rPr>
        <w:t>« participation et l’intégration pleines et effectives à la société » en principe général de la CDPH. De plus, l’article 29 reconnaît le droit des personnes handicapées et de leurs organisations représentatives à participer à la vie politique et publique</w:t>
      </w:r>
    </w:p>
    <w:p>
      <w:pPr>
        <w:pStyle w:val="BodyText"/>
        <w:spacing w:before="5"/>
        <w:rPr>
          <w:b w:val="0"/>
          <w:sz w:val="28"/>
        </w:rPr>
      </w:pPr>
      <w:r>
        <w:rPr/>
        <w:pict>
          <v:line style="position:absolute;mso-position-horizontal-relative:page;mso-position-vertical-relative:paragraph;z-index:2752;mso-wrap-distance-left:0;mso-wrap-distance-right:0" from="56.692902pt,19.817644pt" to="450.708902pt,19.817644pt" stroked="true" strokeweight="2pt" strokecolor="#fdb714">
            <w10:wrap type="topAndBottom"/>
          </v:line>
        </w:pict>
      </w:r>
    </w:p>
    <w:p>
      <w:pPr>
        <w:spacing w:line="290" w:lineRule="exact" w:before="0" w:after="55"/>
        <w:ind w:left="1810" w:right="2945" w:hanging="1329"/>
        <w:jc w:val="left"/>
        <w:rPr>
          <w:rFonts w:ascii="Myriad Pro" w:hAnsi="Myriad Pro"/>
          <w:b/>
          <w:i/>
          <w:sz w:val="24"/>
        </w:rPr>
      </w:pPr>
      <w:r>
        <w:rPr>
          <w:rFonts w:ascii="Myriad Pro" w:hAnsi="Myriad Pro"/>
          <w:b/>
          <w:color w:val="FDB714"/>
          <w:sz w:val="24"/>
        </w:rPr>
        <w:t>Voir l’activité d’apprentissage 2.F. Intitulée </w:t>
      </w:r>
      <w:r>
        <w:rPr>
          <w:rFonts w:ascii="Myriad Pro" w:hAnsi="Myriad Pro"/>
          <w:b/>
          <w:i/>
          <w:color w:val="FDB714"/>
          <w:sz w:val="24"/>
        </w:rPr>
        <w:t>Participation et inclusion </w:t>
      </w:r>
      <w:r>
        <w:rPr>
          <w:rFonts w:ascii="Myriad Pro" w:hAnsi="Myriad Pro"/>
          <w:b/>
          <w:i/>
          <w:color w:val="FDB714"/>
          <w:sz w:val="24"/>
        </w:rPr>
        <w:t>pleines et effectives dans la réforme de la loi</w:t>
      </w:r>
    </w:p>
    <w:p>
      <w:pPr>
        <w:pStyle w:val="BodyText"/>
        <w:spacing w:line="20" w:lineRule="exact"/>
        <w:ind w:left="12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fdb714"/>
          </v:group>
        </w:pict>
      </w:r>
      <w:r>
        <w:rPr>
          <w:rFonts w:ascii="Myriad Pro"/>
          <w:sz w:val="2"/>
        </w:rPr>
      </w:r>
    </w:p>
    <w:p>
      <w:pPr>
        <w:pStyle w:val="BodyText"/>
        <w:spacing w:line="266" w:lineRule="auto" w:before="177"/>
        <w:ind w:left="133" w:right="3234"/>
        <w:jc w:val="both"/>
        <w:rPr>
          <w:b w:val="0"/>
        </w:rPr>
      </w:pPr>
      <w:r>
        <w:rPr>
          <w:b w:val="0"/>
          <w:color w:val="231F20"/>
        </w:rPr>
        <w:t>Afin d'assurer la participation pleine et effective, les gouvernements doivent envisager comment et avec qui cette consultation doit avoir lieu au cours du processus</w:t>
      </w:r>
      <w:r>
        <w:rPr>
          <w:b w:val="0"/>
          <w:color w:val="231F20"/>
          <w:spacing w:val="-22"/>
        </w:rPr>
        <w:t> </w:t>
      </w:r>
      <w:r>
        <w:rPr>
          <w:b w:val="0"/>
          <w:color w:val="231F20"/>
        </w:rPr>
        <w:t>législatif. Les gouvernements, les institutions nationales chargées de droits de l’homme et</w:t>
      </w:r>
      <w:r>
        <w:rPr>
          <w:b w:val="0"/>
          <w:color w:val="231F20"/>
          <w:spacing w:val="-13"/>
        </w:rPr>
        <w:t> </w:t>
      </w:r>
      <w:r>
        <w:rPr>
          <w:b w:val="0"/>
          <w:color w:val="231F20"/>
        </w:rPr>
        <w:t>les</w:t>
      </w:r>
    </w:p>
    <w:p>
      <w:pPr>
        <w:pStyle w:val="BodyText"/>
        <w:rPr>
          <w:b w:val="0"/>
          <w:sz w:val="20"/>
        </w:rPr>
      </w:pPr>
    </w:p>
    <w:p>
      <w:pPr>
        <w:pStyle w:val="BodyText"/>
        <w:spacing w:before="7"/>
        <w:rPr>
          <w:b w:val="0"/>
          <w:sz w:val="16"/>
        </w:rPr>
      </w:pPr>
    </w:p>
    <w:p>
      <w:pPr>
        <w:spacing w:before="102"/>
        <w:ind w:left="4032"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6520" coordorigin="0,0" coordsize="2665,16838">
            <v:shape style="position:absolute;left:0;top:0;width:2665;height:16838" type="#_x0000_t75" stroked="false">
              <v:imagedata r:id="rId16" o:title=""/>
            </v:shape>
            <v:rect style="position:absolute;left:0;top:0;width:397;height:16838" filled="true" fillcolor="#fdb714" stroked="false">
              <v:fill type="solid"/>
            </v:rect>
            <v:shape style="position:absolute;left:1978;top:11826;width:180;height:296" type="#_x0000_t75" stroked="false">
              <v:imagedata r:id="rId19" o:title=""/>
            </v:shape>
            <v:shape style="position:absolute;left:946;top:10934;width:1157;height:1332" coordorigin="946,10934" coordsize="1157,1332" path="m2097,11405l2097,11407,2098,11408,2099,11409,2099,11409,2101,11411,2101,11415,2101,11418,2101,11421,2102,11426,2103,11428,2103,11434,2103,11434,2103,11434,2102,11438,2096,11450,2095,11454,2090,11465,2082,11481,2074,11498,2068,11511,2063,11521,2058,11529,2052,11538,2046,11546,2038,11559,1992,11600,1982,11608,1973,11617,1962,11631,1952,11643,1941,11655,1931,11667,1901,11720,1894,11741,1897,11740,1900,11744,1907,11753,1904,11771,1904,11782,1907,11797,1912,11805,1918,11811,1922,11820,1924,11824,1922,11840,1922,11847,1923,11866,1923,11885,1921,11904,1914,11920,1903,11931,1890,11939,1876,11946,1863,11954,1859,11958,1849,11970,1842,11975,1839,11978,1837,11980,1835,11982,1830,11987,1825,11993,1820,11996,1822,12006,1827,12022,1831,12042,1830,12066,1828,12079,1819,12080,1808,12085,1803,12087,1799,12089,1794,12092,1789,12094,1787,12098,1782,12100,1784,12108,1786,12111,1785,12117,1781,12132,1774,12147,1766,12157,1758,12166,1748,12179,1742,12190,1736,12197,1730,12203,1721,12212,1713,12219,1686,12243,1684,12245,1657,12251,1644,12253,1624,12253,1606,12255,1588,12260,1572,12265,1557,12266,1550,12265,1548,12261,1545,12257,1540,12251,1541,12254,1539,12243,1538,12238,1536,12232,1537,12227,1538,12220,1539,12215,1537,12209,1534,12199,1527,12191,1523,12182,1520,12172,1516,12163,1511,12155,1505,12146,1499,12141,1494,12131,1489,12116,1486,12098,1483,12080,1481,12064,1478,12045,1474,12032,1468,12021,1461,12004,1457,11995,1453,11985,1448,11977,1441,11966,1437,11967,1435,11950,1450,11875,1475,11842,1469,11826,1466,11817,1460,11808,1458,11798,1458,11791,1460,11786,1460,11779,1434,11711,1413,11685,1401,11671,1390,11655,1385,11636,1389,11635,1389,11634,1395,11634,1395,11629,1394,11625,1395,11620,1397,11608,1399,11596,1402,11584,1404,11574,1405,11568,1400,11560,1396,11554,1391,11549,1385,11546,1380,11544,1364,11542,1359,11543,1351,11546,1344,11548,1335,11544,1324,11529,1322,11523,1318,11514,1315,11509,1258,11518,1250,11521,1231,11529,1219,11535,1207,11538,1193,11536,1175,11533,1160,11533,1146,11535,1129,11541,1116,11545,1113,11549,1100,11543,1083,11532,1068,11520,1053,11507,1034,11494,1028,11491,1018,11481,1015,11475,1011,11465,1014,11454,1006,11445,996,11436,997,11441,987,11427,972,11410,963,11403,958,11397,958,11379,958,11367,953,11363,946,11353,948,11350,952,11348,955,11345,964,11336,966,11321,970,11308,971,11293,969,11280,967,11270,967,11264,969,11259,970,11258,970,11250,961,11244,958,11235,959,11225,992,11176,996,11170,999,11164,999,11157,1003,11151,1009,11139,1019,11133,1025,11122,1031,11113,1028,11115,1039,11110,1045,11108,1086,11062,1088,11051,1093,11034,1100,11017,1103,11015,1119,11008,1137,10997,1145,10985,1149,10975,1155,10966,1162,10962,1165,10969,1170,10972,1177,10977,1184,10976,1192,10975,1201,10974,1208,10977,1217,10977,1225,10977,1227,10972,1234,10968,1251,10960,1274,10952,1296,10947,1316,10946,1324,10947,1332,10948,1340,10947,1349,10944,1350,10943,1362,10943,1380,10943,1387,10942,1389,10941,1396,10939,1414,10934,1406,10940,1416,10943,1419,10944,1423,10944,1426,10946,1424,10951,1418,10957,1417,10962,1421,10965,1430,10975,1425,10982,1421,10988,1413,10992,1411,10999,1415,11004,1423,11007,1428,11010,1434,11014,1439,11017,1448,11018,1460,11019,1472,11021,1483,11025,1492,11031,1497,11037,1496,11043,1504,11047,1513,11050,1521,11051,1531,11053,1546,11062,1552,11065,1563,11066,1568,11061,1569,11053,1567,11049,1566,11042,1569,11032,1578,11023,1591,11019,1604,11019,1615,11023,1623,11030,1633,11033,1639,11035,1643,11035,1649,11038,1661,11042,1674,11046,1687,11048,1699,11051,1704,11053,1711,11055,1717,11056,1724,11056,1726,11051,1731,11048,1742,11041,1751,11042,1764,11046,1781,11051,1784,11050,1801,11047,1807,11066,1812,11077,1812,11090,1807,11110,1805,11114,1794,11114,1798,11125,1806,11141,1814,11157,1821,11169,1828,11182,1829,11176,1834,11183,1831,11193,1832,11199,1836,11205,1848,11214,1855,11219,1851,11215,1855,11224,1859,11238,1883,11290,1888,11299,1897,11322,1903,11336,1910,11344,1919,11350,1930,11358,1968,11406,1970,11417,1984,11431,1991,11433,2000,11429,2016,11425,2029,11424,2030,11420,2044,11418,2093,11400,2097,11405xe" filled="false" stroked="true" strokeweight="2.798pt" strokecolor="#fdb714">
              <v:path arrowok="t"/>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DB714" w:color="auto" w:val="clear"/>
                      </w:rPr>
                      <w:t> </w:t>
                      <w:tab/>
                      <w:t>14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Pr>
          <w:b w:val="0"/>
        </w:rPr>
      </w:pPr>
      <w:r>
        <w:rPr>
          <w:b w:val="0"/>
          <w:color w:val="231F20"/>
        </w:rPr>
        <w:t>organisations de personnes handicapées (OPH) peuvent prendre diverses mesures à cet égard. On peut notamment citer :</w:t>
      </w:r>
    </w:p>
    <w:p>
      <w:pPr>
        <w:pStyle w:val="BodyText"/>
        <w:spacing w:line="264" w:lineRule="auto" w:before="19"/>
        <w:ind w:left="3571" w:right="1279" w:hanging="341"/>
        <w:rPr>
          <w:b w:val="0"/>
        </w:rPr>
      </w:pPr>
      <w:r>
        <w:rPr>
          <w:rFonts w:ascii="Arial" w:hAnsi="Arial"/>
          <w:color w:val="FDB714"/>
          <w:sz w:val="26"/>
        </w:rPr>
        <w:t>► </w:t>
      </w:r>
      <w:r>
        <w:rPr>
          <w:b w:val="0"/>
          <w:color w:val="231F20"/>
        </w:rPr>
        <w:t>s’assurer que les personnes handicapées sont associées au processus d'élaboration ou de révision de la constitution ;</w:t>
      </w:r>
    </w:p>
    <w:p>
      <w:pPr>
        <w:pStyle w:val="BodyText"/>
        <w:spacing w:line="264" w:lineRule="auto" w:before="21"/>
        <w:ind w:left="3571" w:right="436" w:hanging="341"/>
        <w:rPr>
          <w:b w:val="0"/>
        </w:rPr>
      </w:pPr>
      <w:r>
        <w:rPr>
          <w:rFonts w:ascii="Arial" w:hAnsi="Arial"/>
          <w:color w:val="FDB714"/>
          <w:sz w:val="26"/>
        </w:rPr>
        <w:t>► </w:t>
      </w:r>
      <w:r>
        <w:rPr>
          <w:b w:val="0"/>
          <w:color w:val="231F20"/>
        </w:rPr>
        <w:t>inclure les OPH dans tout processus de développement ou de réforme des lois pertinentes ;</w:t>
      </w:r>
    </w:p>
    <w:p>
      <w:pPr>
        <w:pStyle w:val="BodyText"/>
        <w:spacing w:line="264" w:lineRule="auto" w:before="21"/>
        <w:ind w:left="3571" w:hanging="341"/>
        <w:rPr>
          <w:b w:val="0"/>
        </w:rPr>
      </w:pPr>
      <w:r>
        <w:rPr>
          <w:rFonts w:ascii="Arial" w:hAnsi="Arial"/>
          <w:color w:val="FDB714"/>
          <w:sz w:val="26"/>
        </w:rPr>
        <w:t>► </w:t>
      </w:r>
      <w:r>
        <w:rPr>
          <w:b w:val="0"/>
          <w:color w:val="231F20"/>
        </w:rPr>
        <w:t>s’assurer que les ministères et agences gouvernementales disposent d’expertise interne en matière de handicap et d’un interlocuteur ou d’un point de contact désigné pour les questions relatives au handicap ;</w:t>
      </w:r>
    </w:p>
    <w:p>
      <w:pPr>
        <w:pStyle w:val="BodyText"/>
        <w:spacing w:line="264" w:lineRule="auto" w:before="22"/>
        <w:ind w:left="3571" w:right="122" w:hanging="341"/>
        <w:rPr>
          <w:b w:val="0"/>
          <w:i/>
        </w:rPr>
      </w:pPr>
      <w:r>
        <w:rPr>
          <w:rFonts w:ascii="Arial" w:hAnsi="Arial"/>
          <w:color w:val="FDB714"/>
          <w:sz w:val="26"/>
        </w:rPr>
        <w:t>► </w:t>
      </w:r>
      <w:r>
        <w:rPr>
          <w:b w:val="0"/>
          <w:color w:val="231F20"/>
        </w:rPr>
        <w:t>impliquer les OPH dans la formation destinée aux commissions parlementaires sur les droits de l’homme ; </w:t>
      </w:r>
      <w:r>
        <w:rPr>
          <w:b w:val="0"/>
          <w:i/>
          <w:color w:val="231F20"/>
        </w:rPr>
        <w:t>et</w:t>
      </w:r>
    </w:p>
    <w:p>
      <w:pPr>
        <w:pStyle w:val="BodyText"/>
        <w:spacing w:line="264" w:lineRule="auto" w:before="21"/>
        <w:ind w:left="3571" w:right="256" w:hanging="341"/>
        <w:rPr>
          <w:b w:val="0"/>
        </w:rPr>
      </w:pPr>
      <w:r>
        <w:rPr>
          <w:rFonts w:ascii="Arial" w:hAnsi="Arial"/>
          <w:color w:val="FDB714"/>
          <w:sz w:val="26"/>
        </w:rPr>
        <w:t>► </w:t>
      </w:r>
      <w:r>
        <w:rPr>
          <w:b w:val="0"/>
          <w:color w:val="231F20"/>
        </w:rPr>
        <w:t>consulter les OPH lors des procédures nationales de rapport associées aux traités relatifs aux droits de l’homme.</w:t>
      </w:r>
    </w:p>
    <w:p>
      <w:pPr>
        <w:pStyle w:val="BodyText"/>
        <w:spacing w:line="266" w:lineRule="auto" w:before="116"/>
        <w:ind w:left="2891" w:right="464"/>
        <w:rPr>
          <w:b w:val="0"/>
        </w:rPr>
      </w:pPr>
      <w:r>
        <w:rPr>
          <w:b w:val="0"/>
          <w:color w:val="231F20"/>
        </w:rPr>
        <w:t>Dans de nombreux cas, parvenir à une participation significative et réelle entraînera un changement de la façon dont les choses se faisaient par le passé. Pour respecter les dispositions de la CDPH, une « pseudo » participation (qui </w:t>
      </w:r>
      <w:r>
        <w:rPr>
          <w:b w:val="0"/>
          <w:color w:val="231F20"/>
          <w:spacing w:val="-4"/>
        </w:rPr>
        <w:t>n’a </w:t>
      </w:r>
      <w:r>
        <w:rPr>
          <w:b w:val="0"/>
          <w:color w:val="231F20"/>
        </w:rPr>
        <w:t>de participation que le nom) et le fait de cocher des cases ne suffira pas. Assurer la participation réelle et significative des personnes handicapées peut nécessiter l’accroissement des</w:t>
      </w:r>
      <w:r>
        <w:rPr>
          <w:b w:val="0"/>
          <w:color w:val="231F20"/>
          <w:spacing w:val="-9"/>
        </w:rPr>
        <w:t> </w:t>
      </w:r>
      <w:r>
        <w:rPr>
          <w:b w:val="0"/>
          <w:color w:val="231F20"/>
        </w:rPr>
        <w:t>capacités des OPH et leur formation afin de les préparer à une pleine participation aux exercices d’examen de la</w:t>
      </w:r>
      <w:r>
        <w:rPr>
          <w:b w:val="0"/>
          <w:color w:val="231F20"/>
          <w:spacing w:val="-14"/>
        </w:rPr>
        <w:t> </w:t>
      </w:r>
      <w:r>
        <w:rPr>
          <w:b w:val="0"/>
          <w:color w:val="231F20"/>
        </w:rPr>
        <w:t>loi.</w:t>
      </w:r>
    </w:p>
    <w:p>
      <w:pPr>
        <w:pStyle w:val="BodyText"/>
        <w:spacing w:line="266" w:lineRule="auto" w:before="114"/>
        <w:ind w:left="2891" w:right="367"/>
        <w:rPr>
          <w:b w:val="0"/>
        </w:rPr>
      </w:pPr>
      <w:r>
        <w:rPr>
          <w:b w:val="0"/>
          <w:color w:val="231F20"/>
        </w:rPr>
        <w:t>Le résultat final est inestimable : la participation pleine et effective des personnes handicapées et de leurs organisations représentatives à la réforme de la loi offre une meilleure compréhension de la vie avec un handicap. Cette compréhension permet à la réforme de la loi et à l'élaboration des politiques d'aborder la question des droits de l’homme auxquels les personnes handicapées ont droit. De plus, la participation donne</w:t>
      </w:r>
    </w:p>
    <w:p>
      <w:pPr>
        <w:pStyle w:val="BodyText"/>
        <w:spacing w:line="266" w:lineRule="auto"/>
        <w:ind w:left="2891" w:right="112"/>
        <w:rPr>
          <w:b w:val="0"/>
        </w:rPr>
      </w:pPr>
      <w:r>
        <w:rPr>
          <w:b w:val="0"/>
          <w:color w:val="231F20"/>
        </w:rPr>
        <w:t>aux personnes handicapées la possibilité de formuler les lois qui les affectent directement. Lorsque les membres d’une communauté particulière sont impliqués dans la réforme de la loi, ils sont plus enclins à soutenir le changement social et à promouvoir l’application et le respect de leurs droits légaux.</w:t>
      </w:r>
    </w:p>
    <w:p>
      <w:pPr>
        <w:pStyle w:val="BodyText"/>
        <w:rPr>
          <w:b w:val="0"/>
          <w:sz w:val="20"/>
        </w:rPr>
      </w:pPr>
    </w:p>
    <w:p>
      <w:pPr>
        <w:pStyle w:val="BodyText"/>
        <w:rPr>
          <w:b w:val="0"/>
          <w:sz w:val="20"/>
        </w:rPr>
      </w:pPr>
    </w:p>
    <w:p>
      <w:pPr>
        <w:pStyle w:val="BodyText"/>
        <w:spacing w:before="2"/>
        <w:rPr>
          <w:b w:val="0"/>
          <w:sz w:val="17"/>
        </w:rPr>
      </w:pPr>
      <w:r>
        <w:rPr/>
        <w:pict>
          <v:group style="position:absolute;margin-left:144.066895pt;margin-top:12.148542pt;width:394.05pt;height:52.95pt;mso-position-horizontal-relative:page;mso-position-vertical-relative:paragraph;z-index:2872;mso-wrap-distance-left:0;mso-wrap-distance-right:0" coordorigin="2881,243" coordsize="7881,1059">
            <v:rect style="position:absolute;left:2891;top:253;width:7860;height:1038" filled="true" fillcolor="#e6e7e8" stroked="false">
              <v:fill type="solid"/>
            </v:rect>
            <v:rect style="position:absolute;left:2891;top:243;width:7860;height:20" filled="true" fillcolor="#231f20" stroked="false">
              <v:fill type="solid"/>
            </v:rect>
            <v:line style="position:absolute" from="2891,1291" to="10752,1291" stroked="true" strokeweight="1pt" strokecolor="#231f20"/>
            <v:shape style="position:absolute;left:2891;top:253;width:7861;height:1039" type="#_x0000_t202" filled="false" stroked="false">
              <v:textbox inset="0,0,0,0">
                <w:txbxContent>
                  <w:p>
                    <w:pPr>
                      <w:spacing w:before="61"/>
                      <w:ind w:left="2435" w:right="167" w:firstLine="0"/>
                      <w:jc w:val="left"/>
                      <w:rPr>
                        <w:rFonts w:ascii="Myriad Pro"/>
                        <w:b/>
                        <w:sz w:val="22"/>
                      </w:rPr>
                    </w:pPr>
                    <w:r>
                      <w:rPr>
                        <w:rFonts w:ascii="Myriad Pro"/>
                        <w:b/>
                        <w:color w:val="231F20"/>
                        <w:sz w:val="22"/>
                      </w:rPr>
                      <w:t>Point sur la situation nationale</w:t>
                    </w:r>
                  </w:p>
                  <w:p>
                    <w:pPr>
                      <w:spacing w:line="259" w:lineRule="auto" w:before="71"/>
                      <w:ind w:left="79" w:right="167" w:firstLine="0"/>
                      <w:jc w:val="left"/>
                      <w:rPr>
                        <w:rFonts w:ascii="Myriad Pro" w:hAnsi="Myriad Pro"/>
                        <w:sz w:val="20"/>
                      </w:rPr>
                    </w:pPr>
                    <w:r>
                      <w:rPr>
                        <w:rFonts w:ascii="Myriad Pro" w:hAnsi="Myriad Pro"/>
                        <w:color w:val="231F20"/>
                        <w:sz w:val="20"/>
                      </w:rPr>
                      <w:t>Connaissez-vous un exemple d’effort de réforme de la loi participatif auquel toutes les parties prenantes ont été pleinement associées et qui a abouti à un résultat positif ?</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rPr>
      </w:pPr>
    </w:p>
    <w:p>
      <w:pPr>
        <w:spacing w:before="0"/>
        <w:ind w:left="2891" w:right="0"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016" coordorigin="9241,0" coordsize="2665,16838">
            <v:shape style="position:absolute;left:9241;top:0;width:2665;height:16838" type="#_x0000_t75" stroked="false">
              <v:imagedata r:id="rId12" o:title=""/>
            </v:shape>
            <v:rect style="position:absolute;left:11509;top:0;width:397;height:16838" filled="true" fillcolor="#fdb714" stroked="false">
              <v:fill type="solid"/>
            </v:rect>
            <v:shape style="position:absolute;left:9689;top:1265;width:1370;height:1370" coordorigin="9689,1265" coordsize="1370,1370" path="m10374,1265l10300,1269,10227,1281,10158,1300,10091,1326,10029,1359,9970,1398,9915,1442,9866,1491,9822,1546,9783,1605,9750,1667,9724,1734,9705,1803,9693,1876,9689,1950,9693,2025,9705,2097,9724,2167,9750,2233,9783,2296,9822,2355,9866,2409,9915,2459,9970,2503,10029,2542,10091,2574,10158,2600,10227,2619,10300,2631,10374,2635,10449,2631,10521,2619,10591,2600,10657,2574,10720,2542,10779,2503,10833,2459,10883,2409,10927,2355,10966,2296,10998,2233,11024,2167,11043,2097,11055,2025,11059,1950,11055,1876,11043,1803,11024,1734,10998,1667,10966,1605,10927,1546,10883,1491,10833,1442,10779,1398,10720,1359,10657,1326,10591,1300,10521,1281,10449,1269,10374,1265xe" filled="true" fillcolor="#fdb714" stroked="false">
              <v:path arrowok="t"/>
              <v:fill type="solid"/>
            </v:shape>
            <v:shape style="position:absolute;left:10324;top:1573;width:489;height:122" coordorigin="10324,1573" coordsize="489,122" path="m10765,1573l10371,1573,10353,1577,10338,1587,10327,1602,10324,1621,10324,1648,10327,1666,10338,1681,10353,1691,10371,1695,10765,1695,10783,1691,10798,1681,10809,1666,10812,1648,10812,1621,10809,1602,10798,1587,10783,1577,10765,1573xe" filled="true" fillcolor="#ffffff" stroked="false">
              <v:path arrowok="t"/>
              <v:fill type="solid"/>
            </v:shape>
            <v:shape style="position:absolute;left:10324;top:1887;width:489;height:122" coordorigin="10324,1887" coordsize="489,122" path="m10765,1887l10371,1887,10353,1890,10338,1901,10327,1916,10324,1934,10324,1961,10327,1979,10338,1994,10353,2005,10371,2008,10765,2008,10783,2005,10798,1994,10809,1979,10812,1961,10812,1934,10809,1916,10798,1901,10783,1890,10765,1887xe" filled="true" fillcolor="#ffffff" stroked="false">
              <v:path arrowok="t"/>
              <v:fill type="solid"/>
            </v:shape>
            <v:shape style="position:absolute;left:10324;top:2200;width:489;height:122" coordorigin="10324,2200" coordsize="489,122" path="m10765,2200l10371,2200,10353,2204,10338,2214,10327,2229,10324,2247,10324,2274,10327,2292,10338,2308,10353,2318,10371,2322,10765,2322,10783,2318,10798,2308,10809,2292,10812,2274,10812,2247,10809,2229,10798,2214,10783,2204,10765,2200xe" filled="true" fillcolor="#ffffff" stroked="false">
              <v:path arrowok="t"/>
              <v:fill type="solid"/>
            </v:shape>
            <v:shape style="position:absolute;left:9904;top:1445;width:362;height:941" type="#_x0000_t75" stroked="false">
              <v:imagedata r:id="rId21" o:title=""/>
            </v:shape>
            <v:shape style="position:absolute;left:9715;top:6864;width:1370;height:1370" coordorigin="9715,6864" coordsize="1370,1370" path="m10400,6864l10325,6868,10253,6880,10183,6899,10117,6925,10054,6957,9995,6996,9941,7040,9891,7090,9847,7144,9808,7203,9776,7266,9750,7332,9731,7402,9719,7474,9715,7549,9719,7623,9731,7696,9750,7765,9776,7831,9808,7894,9847,7953,9891,8007,9941,8057,9995,8101,10054,8140,10117,8172,10183,8199,10253,8218,10325,8229,10400,8233,10474,8229,10547,8218,10616,8199,10683,8172,10745,8140,10804,8101,10858,8057,10908,8007,10952,7953,10991,7894,11024,7831,11050,7765,11069,7696,11080,7623,11084,7549,11080,7474,11069,7402,11050,7332,11024,7266,10991,7203,10952,7144,10908,7090,10858,7040,10804,6996,10745,6957,10683,6925,10616,6899,10547,6880,10474,6868,10400,6864xe" filled="true" fillcolor="#fdb714" stroked="false">
              <v:path arrowok="t"/>
              <v:fill type="solid"/>
            </v:shape>
            <v:shape style="position:absolute;left:9951;top:7000;width:908;height:1042" coordorigin="9951,7000" coordsize="908,1042" path="m10650,7134l10606,7149,10533,7182,10422,7230,10363,7255,10305,7280,10277,7291,10246,7306,10221,7325,10211,7353,10211,7957,10231,7999,10278,8025,10336,8037,10388,8041,10423,8036,10457,8025,10489,8011,10832,7862,10845,7854,10854,7841,10858,7822,10858,7582,10522,7582,10522,7469,10743,7384,10352,7384,10329,7382,10306,7378,10287,7369,10274,7358,10327,7337,10423,7297,10520,7255,10616,7213,10632,7210,10680,7210,10680,7171,10672,7141,10650,7134xm10387,7000l10350,7014,10276,7047,10036,7151,10004,7164,9977,7179,9958,7202,9951,7238,9951,7806,9972,7862,10023,7892,10088,7903,10149,7905,10161,7899,10165,7884,10165,7863,10164,7843,10164,7352,10165,7336,10169,7323,10176,7307,10194,7284,10216,7268,10242,7255,10246,7254,10117,7254,10090,7251,10061,7245,10035,7235,10018,7222,10054,7210,10115,7185,10300,7103,10346,7083,10372,7075,10425,7075,10425,7014,10406,7001,10387,7000xm10858,7382l10747,7382,10747,7495,10522,7582,10858,7582,10858,7382xm10832,7207l10781,7225,10682,7266,10508,7342,10459,7364,10429,7377,10399,7383,10352,7384,10743,7384,10747,7382,10858,7382,10858,7242,10856,7230,10851,7218,10843,7210,10832,7207xm10582,7071l10571,7071,10531,7085,10454,7119,10356,7162,10256,7206,10171,7240,10117,7254,10246,7254,10269,7244,10585,7107,10590,7107,10597,7097,10591,7077,10578,7073,10582,7071xm10680,7210l10632,7210,10646,7216,10680,7228,10680,7210xm10590,7107l10585,7107,10589,7109,10590,7107xm10425,7075l10372,7075,10383,7077,10395,7083,10409,7089,10425,7092,10425,7075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DB714" w:color="auto" w:val="clear"/>
                      </w:rPr>
                      <w:t> </w:t>
                    </w:r>
                    <w:r>
                      <w:rPr>
                        <w:rFonts w:ascii="Myriad Pro"/>
                        <w:color w:val="FFFFFF"/>
                        <w:sz w:val="26"/>
                        <w:shd w:fill="FDB714" w:color="auto" w:val="clear"/>
                      </w:rPr>
                      <w:t>15</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420" w:lineRule="exact" w:before="98" w:after="0"/>
        <w:ind w:left="853" w:right="5704" w:hanging="720"/>
        <w:jc w:val="left"/>
        <w:rPr>
          <w:b/>
        </w:rPr>
      </w:pPr>
      <w:r>
        <w:rPr/>
        <w:pict>
          <v:line style="position:absolute;mso-position-horizontal-relative:page;mso-position-vertical-relative:paragraph;z-index:2944;mso-wrap-distance-left:0;mso-wrap-distance-right:0" from="56.692902pt,50.536625pt" to="449.999902pt,50.536625pt" stroked="true" strokeweight="1.5pt" strokecolor="#fdb714">
            <w10:wrap type="topAndBottom"/>
          </v:line>
        </w:pict>
      </w:r>
      <w:bookmarkStart w:name="_TOC_250006" w:id="9"/>
      <w:r>
        <w:rPr>
          <w:b/>
          <w:color w:val="FDB714"/>
        </w:rPr>
        <w:t>RÉSUMÉ ET </w:t>
      </w:r>
      <w:r>
        <w:rPr>
          <w:b/>
          <w:color w:val="FDB714"/>
          <w:spacing w:val="-5"/>
        </w:rPr>
        <w:t>PRINCIPAUX </w:t>
      </w:r>
      <w:bookmarkEnd w:id="9"/>
      <w:r>
        <w:rPr>
          <w:b/>
          <w:color w:val="FDB714"/>
        </w:rPr>
        <w:t>ENSEIGNEMENTS</w:t>
      </w:r>
    </w:p>
    <w:p>
      <w:pPr>
        <w:pStyle w:val="BodyText"/>
        <w:spacing w:before="2"/>
        <w:rPr>
          <w:b/>
          <w:sz w:val="32"/>
        </w:rPr>
      </w:pPr>
    </w:p>
    <w:p>
      <w:pPr>
        <w:pStyle w:val="BodyText"/>
        <w:spacing w:line="266" w:lineRule="auto"/>
        <w:ind w:left="133" w:right="3104"/>
        <w:rPr>
          <w:b w:val="0"/>
        </w:rPr>
      </w:pPr>
      <w:r>
        <w:rPr>
          <w:b w:val="0"/>
          <w:color w:val="231F20"/>
        </w:rPr>
        <w:t>Dans les pays africains comme dans de nombreux pays du monde, les cadres juridiques et poIitiques offrent souvent une protection insuffisante ou inadéquate aux droits et</w:t>
      </w:r>
    </w:p>
    <w:p>
      <w:pPr>
        <w:pStyle w:val="BodyText"/>
        <w:spacing w:line="266" w:lineRule="auto"/>
        <w:ind w:left="133" w:right="3080"/>
        <w:rPr>
          <w:b w:val="0"/>
        </w:rPr>
      </w:pPr>
      <w:r>
        <w:rPr>
          <w:b w:val="0"/>
          <w:color w:val="231F20"/>
        </w:rPr>
        <w:t>à l’inclusion des personnes handicapées dans la société et le développement. Dans certains cas, les lois peuvent en fait perpétuer la discrimination ou nuire aux intérêts des personnes handicapées.</w:t>
      </w:r>
    </w:p>
    <w:p>
      <w:pPr>
        <w:pStyle w:val="BodyText"/>
        <w:spacing w:line="266" w:lineRule="auto" w:before="114"/>
        <w:ind w:left="133" w:right="2919"/>
        <w:rPr>
          <w:b w:val="0"/>
        </w:rPr>
      </w:pPr>
      <w:r>
        <w:rPr>
          <w:b w:val="0"/>
          <w:color w:val="231F20"/>
        </w:rPr>
        <w:t>La CDPH définit les mesures que les États parties doivent prendre pour promouvoir et protéger les droits des personnes handicapées. Parmi ces mesures, comme mentionné à l’article 4, Obligations générales, on trouve l'harmonisation de la législation nationale avec la Convention. Ce module a exploré les différentes approches permettant de respecter cet engagement.</w:t>
      </w:r>
    </w:p>
    <w:p>
      <w:pPr>
        <w:pStyle w:val="BodyText"/>
        <w:rPr>
          <w:b w:val="0"/>
        </w:rPr>
      </w:pPr>
    </w:p>
    <w:p>
      <w:pPr>
        <w:pStyle w:val="BodyText"/>
        <w:rPr>
          <w:b w:val="0"/>
        </w:rPr>
      </w:pPr>
    </w:p>
    <w:p>
      <w:pPr>
        <w:pStyle w:val="BodyText"/>
        <w:rPr>
          <w:b w:val="0"/>
        </w:rPr>
      </w:pPr>
    </w:p>
    <w:p>
      <w:pPr>
        <w:pStyle w:val="BodyText"/>
        <w:rPr>
          <w:b w:val="0"/>
        </w:rPr>
      </w:pPr>
    </w:p>
    <w:p>
      <w:pPr>
        <w:pStyle w:val="Heading1"/>
        <w:numPr>
          <w:ilvl w:val="0"/>
          <w:numId w:val="2"/>
        </w:numPr>
        <w:tabs>
          <w:tab w:pos="854" w:val="left" w:leader="none"/>
        </w:tabs>
        <w:spacing w:line="240" w:lineRule="auto" w:before="196" w:after="0"/>
        <w:ind w:left="853" w:right="0" w:hanging="720"/>
        <w:jc w:val="left"/>
        <w:rPr>
          <w:b/>
        </w:rPr>
      </w:pPr>
      <w:r>
        <w:rPr/>
        <w:pict>
          <v:line style="position:absolute;mso-position-horizontal-relative:page;mso-position-vertical-relative:paragraph;z-index:2968;mso-wrap-distance-left:0;mso-wrap-distance-right:0" from="56.692902pt,38.048714pt" to="449.999902pt,38.048714pt" stroked="true" strokeweight="1.5pt" strokecolor="#fdb714">
            <w10:wrap type="topAndBottom"/>
          </v:line>
        </w:pict>
      </w:r>
      <w:bookmarkStart w:name="_TOC_250005" w:id="10"/>
      <w:bookmarkEnd w:id="10"/>
      <w:r>
        <w:rPr>
          <w:b/>
          <w:color w:val="FDB714"/>
        </w:rPr>
        <w:t>RESSOURCES UTILES</w:t>
      </w:r>
    </w:p>
    <w:p>
      <w:pPr>
        <w:pStyle w:val="BodyText"/>
        <w:spacing w:before="2"/>
        <w:rPr>
          <w:b/>
          <w:sz w:val="32"/>
        </w:rPr>
      </w:pPr>
    </w:p>
    <w:p>
      <w:pPr>
        <w:pStyle w:val="BodyText"/>
        <w:spacing w:line="266" w:lineRule="auto"/>
        <w:ind w:left="533" w:right="2945" w:hanging="400"/>
        <w:rPr>
          <w:b w:val="0"/>
        </w:rPr>
      </w:pPr>
      <w:r>
        <w:rPr>
          <w:rFonts w:ascii="Arial"/>
          <w:color w:val="231F20"/>
        </w:rPr>
        <w:t>W </w:t>
      </w:r>
      <w:r>
        <w:rPr>
          <w:b w:val="0"/>
          <w:color w:val="231F20"/>
        </w:rPr>
        <w:t>DAES, HCDH et Union interparlementaire, From Exclusion to Equality: Realizing the Rights of Persons with Disabilities: Handbook for Parliamentarians (2007)</w:t>
      </w:r>
    </w:p>
    <w:p>
      <w:pPr>
        <w:pStyle w:val="BodyText"/>
        <w:spacing w:line="266" w:lineRule="auto" w:before="113"/>
        <w:ind w:left="533" w:right="3498" w:hanging="400"/>
        <w:rPr>
          <w:b w:val="0"/>
        </w:rPr>
      </w:pPr>
      <w:r>
        <w:rPr>
          <w:rFonts w:ascii="Arial"/>
          <w:color w:val="231F20"/>
        </w:rPr>
        <w:t>W </w:t>
      </w:r>
      <w:r>
        <w:rPr>
          <w:b w:val="0"/>
          <w:color w:val="231F20"/>
        </w:rPr>
        <w:t>General Comment 1 of the CRPD Committee on the Rights of Persons with Disabilities </w:t>
      </w:r>
      <w:hyperlink r:id="rId22">
        <w:r>
          <w:rPr>
            <w:b w:val="0"/>
            <w:color w:val="FDB714"/>
          </w:rPr>
          <w:t>http://www.ohchr.org/EN/HRBodies/CRPD/Pages/GC.aspx</w:t>
        </w:r>
      </w:hyperlink>
    </w:p>
    <w:p>
      <w:pPr>
        <w:pStyle w:val="BodyText"/>
        <w:spacing w:line="266" w:lineRule="auto" w:before="113"/>
        <w:ind w:left="533" w:right="2945" w:hanging="400"/>
        <w:rPr>
          <w:b w:val="0"/>
        </w:rPr>
      </w:pPr>
      <w:r>
        <w:rPr>
          <w:rFonts w:ascii="Arial" w:hAnsi="Arial"/>
          <w:color w:val="231F20"/>
        </w:rPr>
        <w:t>W </w:t>
      </w:r>
      <w:r>
        <w:rPr>
          <w:b w:val="0"/>
          <w:color w:val="231F20"/>
        </w:rPr>
        <w:t>Gerard Quinn &amp; Oddný Mjöll Arnardóttir eds., The UN Convention on the Rights of Person with Disabilities: European and Scandinavian Perspectives (2009).</w:t>
      </w:r>
    </w:p>
    <w:p>
      <w:pPr>
        <w:pStyle w:val="BodyText"/>
        <w:spacing w:line="266" w:lineRule="auto" w:before="113"/>
        <w:ind w:left="533" w:right="3222" w:hanging="400"/>
        <w:rPr>
          <w:b w:val="0"/>
        </w:rPr>
      </w:pPr>
      <w:r>
        <w:rPr>
          <w:rFonts w:ascii="Arial" w:hAnsi="Arial"/>
          <w:color w:val="231F20"/>
        </w:rPr>
        <w:t>W </w:t>
      </w:r>
      <w:r>
        <w:rPr>
          <w:b w:val="0"/>
          <w:color w:val="231F20"/>
        </w:rPr>
        <w:t>Rosemary Kayess &amp; Phillip French, “Out of darkness into light? Introducing the Convention on the Rights of Persons with Disabilities,” 8 Human Rights Law, 2008.</w:t>
      </w:r>
    </w:p>
    <w:p>
      <w:pPr>
        <w:pStyle w:val="BodyText"/>
        <w:spacing w:line="266" w:lineRule="auto" w:before="113"/>
        <w:ind w:left="533" w:right="3419" w:hanging="400"/>
        <w:rPr>
          <w:b w:val="0"/>
        </w:rPr>
      </w:pPr>
      <w:r>
        <w:rPr>
          <w:rFonts w:ascii="Arial" w:hAnsi="Arial"/>
          <w:color w:val="231F20"/>
        </w:rPr>
        <w:t>W </w:t>
      </w:r>
      <w:r>
        <w:rPr>
          <w:b w:val="0"/>
          <w:color w:val="231F20"/>
        </w:rPr>
        <w:t>Étude thématique visant à faire mieux connaître et comprendre la Convention relative aux droits des personnes handicapées établie par le Haut-Commissariat (A/HR/10/48).</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before="0"/>
        <w:ind w:left="4032" w:right="374" w:firstLine="0"/>
        <w:jc w:val="left"/>
        <w:rPr>
          <w:rFonts w:ascii="Myriad Pro" w:hAnsi="Myriad Pro"/>
          <w:sz w:val="16"/>
        </w:rPr>
      </w:pPr>
      <w:r>
        <w:rPr>
          <w:rFonts w:ascii="Myriad Pro" w:hAnsi="Myriad Pro"/>
          <w:color w:val="6D6E71"/>
          <w:sz w:val="16"/>
        </w:rPr>
        <w:t>Module 7 - LÉGIFÉRER POUR LES DROITS LIÉS AU HANDICAP</w:t>
      </w:r>
    </w:p>
    <w:p>
      <w:pPr>
        <w:spacing w:after="0"/>
        <w:jc w:val="left"/>
        <w:rPr>
          <w:rFonts w:ascii="Myriad Pro" w:hAnsi="Myriad Pro"/>
          <w:sz w:val="16"/>
        </w:rPr>
        <w:sectPr>
          <w:pgSz w:w="11910" w:h="16840"/>
          <w:pgMar w:top="0" w:bottom="0" w:left="1000" w:right="0"/>
        </w:sectPr>
      </w:pPr>
    </w:p>
    <w:p>
      <w:pPr>
        <w:spacing w:before="57"/>
        <w:ind w:left="1252" w:right="0"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1972" w:val="left" w:leader="none"/>
        </w:tabs>
        <w:spacing w:line="240" w:lineRule="auto" w:before="26" w:after="0"/>
        <w:ind w:left="1971" w:right="0" w:hanging="720"/>
        <w:jc w:val="left"/>
        <w:rPr>
          <w:b/>
        </w:rPr>
      </w:pPr>
      <w:bookmarkStart w:name="_TOC_250004" w:id="11"/>
      <w:r>
        <w:rPr>
          <w:b/>
          <w:color w:val="FDB714"/>
        </w:rPr>
        <w:t>ACTIVITÉS</w:t>
      </w:r>
      <w:r>
        <w:rPr>
          <w:b/>
          <w:color w:val="FDB714"/>
          <w:spacing w:val="12"/>
        </w:rPr>
        <w:t> </w:t>
      </w:r>
      <w:bookmarkEnd w:id="11"/>
      <w:r>
        <w:rPr>
          <w:b/>
          <w:color w:val="FDB714"/>
          <w:spacing w:val="-3"/>
        </w:rPr>
        <w:t>D'APPRENTISSAGE</w:t>
      </w:r>
    </w:p>
    <w:p>
      <w:pPr>
        <w:pStyle w:val="BodyText"/>
        <w:spacing w:before="1"/>
        <w:rPr>
          <w:b/>
          <w:sz w:val="39"/>
        </w:rPr>
      </w:pPr>
    </w:p>
    <w:p>
      <w:pPr>
        <w:pStyle w:val="Heading5"/>
        <w:spacing w:line="254" w:lineRule="auto"/>
      </w:pPr>
      <w:bookmarkStart w:name="_TOC_250003" w:id="12"/>
      <w:bookmarkEnd w:id="12"/>
      <w:r>
        <w:rPr>
          <w:color w:val="231F20"/>
        </w:rPr>
        <w:t>Fiche de cours du formateur – Légiférer pour les droits relatifs au handicap, Session 1</w:t>
      </w:r>
    </w:p>
    <w:p>
      <w:pPr>
        <w:pStyle w:val="BodyText"/>
        <w:spacing w:line="343" w:lineRule="auto" w:before="126"/>
        <w:ind w:left="1991" w:right="1637" w:hanging="740"/>
        <w:rPr>
          <w:b w:val="0"/>
        </w:rPr>
      </w:pPr>
      <w:r>
        <w:rPr>
          <w:b w:val="0"/>
          <w:color w:val="231F20"/>
        </w:rPr>
        <w:t>Contenu technique 2.C. : Évaluation de la conformité à la CDPH Activité d'apprentissage 2.C. : Lacunes de la législation</w:t>
      </w:r>
    </w:p>
    <w:p>
      <w:pPr>
        <w:pStyle w:val="BodyText"/>
        <w:ind w:left="1991"/>
        <w:rPr>
          <w:b w:val="0"/>
        </w:rPr>
      </w:pPr>
      <w:r>
        <w:rPr>
          <w:b w:val="0"/>
          <w:color w:val="231F20"/>
        </w:rPr>
        <w:t>Support : Exemplaires de la CDPH (</w:t>
      </w:r>
      <w:hyperlink r:id="rId23">
        <w:r>
          <w:rPr>
            <w:b w:val="0"/>
            <w:color w:val="FDB714"/>
          </w:rPr>
          <w:t>http://www.un.org/disabilities/convention/</w:t>
        </w:r>
      </w:hyperlink>
      <w:r>
        <w:rPr>
          <w:b w:val="0"/>
          <w:color w:val="FDB714"/>
        </w:rPr>
        <w:t> </w:t>
      </w:r>
      <w:hyperlink r:id="rId23">
        <w:r>
          <w:rPr>
            <w:b w:val="0"/>
            <w:color w:val="FDB714"/>
          </w:rPr>
          <w:t>conventionfull.shtml</w:t>
        </w:r>
      </w:hyperlink>
      <w:r>
        <w:rPr>
          <w:b w:val="0"/>
          <w:color w:val="231F20"/>
        </w:rPr>
        <w:t>)</w:t>
      </w:r>
    </w:p>
    <w:p>
      <w:pPr>
        <w:spacing w:line="266" w:lineRule="auto" w:before="142"/>
        <w:ind w:left="1251" w:right="376" w:firstLine="0"/>
        <w:jc w:val="left"/>
        <w:rPr>
          <w:b w:val="0"/>
          <w:sz w:val="22"/>
        </w:rPr>
      </w:pPr>
      <w:r>
        <w:rPr>
          <w:b w:val="0"/>
          <w:color w:val="231F20"/>
          <w:sz w:val="22"/>
        </w:rPr>
        <w:t>Support : Exemplaires de synthèse des législations nationales affectant les personnes handicapées </w:t>
      </w:r>
      <w:r>
        <w:rPr>
          <w:b w:val="0"/>
          <w:i/>
          <w:color w:val="231F20"/>
          <w:sz w:val="22"/>
        </w:rPr>
        <w:t>(Voir Notes pour l’équipe de formation)</w:t>
      </w:r>
      <w:r>
        <w:rPr>
          <w:b w:val="0"/>
          <w:color w:val="231F20"/>
          <w:sz w:val="22"/>
        </w:rPr>
        <w:t>.</w:t>
      </w:r>
    </w:p>
    <w:p>
      <w:pPr>
        <w:pStyle w:val="BodyText"/>
        <w:rPr>
          <w:b w:val="0"/>
        </w:rPr>
      </w:pPr>
    </w:p>
    <w:p>
      <w:pPr>
        <w:pStyle w:val="BodyText"/>
        <w:spacing w:before="7"/>
        <w:rPr>
          <w:b w:val="0"/>
          <w:sz w:val="20"/>
        </w:rPr>
      </w:pPr>
    </w:p>
    <w:p>
      <w:pPr>
        <w:pStyle w:val="Heading5"/>
        <w:spacing w:line="254" w:lineRule="auto"/>
      </w:pPr>
      <w:r>
        <w:rPr>
          <w:color w:val="231F20"/>
        </w:rPr>
        <w:t>Fiche de cours du formateur – Légiférer pour les droits relatifs au handicap, Session 2</w:t>
      </w:r>
    </w:p>
    <w:p>
      <w:pPr>
        <w:pStyle w:val="BodyText"/>
        <w:spacing w:before="126"/>
        <w:ind w:left="1251"/>
        <w:rPr>
          <w:b w:val="0"/>
        </w:rPr>
      </w:pPr>
      <w:r>
        <w:rPr>
          <w:b w:val="0"/>
          <w:color w:val="231F20"/>
        </w:rPr>
        <w:t>Contenu technique 2.F. : Participation à la réforme des lois relatives au handicap</w:t>
      </w:r>
    </w:p>
    <w:p>
      <w:pPr>
        <w:pStyle w:val="BodyText"/>
        <w:spacing w:before="112"/>
        <w:ind w:left="1990"/>
        <w:rPr>
          <w:b w:val="0"/>
        </w:rPr>
      </w:pPr>
      <w:r>
        <w:rPr>
          <w:b w:val="0"/>
          <w:color w:val="231F20"/>
        </w:rPr>
        <w:t>Activité d’apprentissage 2.F. : Participation et inclusion pleines et effectives dans la réforme de la loi</w:t>
      </w:r>
    </w:p>
    <w:p>
      <w:pPr>
        <w:pStyle w:val="BodyText"/>
        <w:spacing w:before="112"/>
        <w:ind w:left="1990"/>
        <w:rPr>
          <w:b w:val="0"/>
        </w:rPr>
      </w:pPr>
      <w:r>
        <w:rPr>
          <w:b w:val="0"/>
          <w:color w:val="231F20"/>
        </w:rPr>
        <w:t>Support : Modèle de diagramme de Gantt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1"/>
        </w:rPr>
      </w:pPr>
    </w:p>
    <w:p>
      <w:pPr>
        <w:spacing w:after="0"/>
        <w:rPr>
          <w:sz w:val="21"/>
        </w:rPr>
        <w:sectPr>
          <w:pgSz w:w="11910" w:h="16840"/>
          <w:pgMar w:top="360" w:bottom="280" w:left="1640" w:right="1220"/>
        </w:sectPr>
      </w:pPr>
    </w:p>
    <w:p>
      <w:pPr>
        <w:tabs>
          <w:tab w:pos="699" w:val="left" w:leader="none"/>
          <w:tab w:pos="1022" w:val="left" w:leader="none"/>
        </w:tabs>
        <w:spacing w:before="59"/>
        <w:ind w:left="115" w:right="0" w:firstLine="0"/>
        <w:jc w:val="left"/>
        <w:rPr>
          <w:rFonts w:ascii="Myriad Pro"/>
          <w:sz w:val="26"/>
        </w:rPr>
      </w:pPr>
      <w:r>
        <w:rPr/>
        <w:pict>
          <v:group style="position:absolute;margin-left:0pt;margin-top:0pt;width:595.3pt;height:841.9pt;mso-position-horizontal-relative:page;mso-position-vertical-relative:page;z-index:-66400" coordorigin="0,0" coordsize="11906,16838">
            <v:rect style="position:absolute;left:2665;top:0;width:9241;height:16838" filled="true" fillcolor="#fff5e4" stroked="false">
              <v:fill type="solid"/>
            </v:rect>
            <v:shape style="position:absolute;left:0;top:0;width:2663;height:16838" type="#_x0000_t75" stroked="false">
              <v:imagedata r:id="rId24" o:title=""/>
            </v:shape>
            <v:rect style="position:absolute;left:0;top:0;width:397;height:16838" filled="true" fillcolor="#fdb714" stroked="false">
              <v:fill type="solid"/>
            </v:rect>
            <v:line style="position:absolute" from="2891,1946" to="10772,1946" stroked="true" strokeweight="1.5pt" strokecolor="#fdb714"/>
            <v:shape style="position:absolute;left:850;top:1271;width:1370;height:1370" coordorigin="850,1271" coordsize="1370,1370" path="m1535,1271l1460,1275,1388,1287,1318,1306,1252,1332,1189,1365,1130,1403,1076,1448,1026,1497,982,1551,943,1610,911,1673,885,1739,866,1809,854,1881,850,1956,854,2031,866,2103,885,2172,911,2239,943,2302,982,2360,1026,2415,1076,2464,1130,2509,1189,2547,1252,2580,1318,2606,1388,2625,1460,2637,1535,2641,1609,2637,1682,2625,1751,2606,1818,2580,1880,2547,1939,2509,1994,2464,2043,2415,2087,2360,2126,2302,2159,2239,2185,2172,2204,2103,2216,2031,2220,1956,2216,1881,2204,1809,2185,1739,2159,1673,2126,1610,2087,1551,2043,1497,1994,1448,1939,1403,1880,1365,1818,1332,1751,1306,1682,1287,1609,1275,1535,1271xe" filled="true" fillcolor="#fdb714" stroked="false">
              <v:path arrowok="t"/>
              <v:fill type="solid"/>
            </v:shape>
            <v:shape style="position:absolute;left:1044;top:1451;width:1002;height:996" coordorigin="1044,1451" coordsize="1002,996" path="m1177,1482l1175,1482,1160,1485,1143,1492,1127,1500,1115,1507,1103,1516,1092,1526,1082,1537,1073,1549,1055,1582,1047,1614,1045,1649,1045,2220,1044,2247,1045,2286,1050,2323,1063,2359,1079,2384,1100,2406,1126,2424,1156,2437,1191,2444,1234,2446,1319,2446,1831,2446,1852,2445,1871,2444,1888,2441,1906,2435,1948,2413,1981,2379,1996,2349,1262,2349,1231,2348,1203,2342,1177,2327,1155,2304,1145,2278,1141,2250,1141,2220,1141,1783,1140,1727,1140,1709,1141,1677,1144,1649,1149,1635,1155,1623,1162,1612,1170,1603,1178,1596,1190,1588,1204,1581,1217,1578,1231,1575,1253,1574,1613,1574,1625,1574,1636,1563,1660,1540,1700,1499,1704,1496,1706,1493,1713,1487,1717,1484,1717,1482,1179,1482,1177,1482xm2012,1770l1998,1783,1971,1809,1922,1858,1919,1861,1916,1863,1915,1868,1915,2248,1911,2279,1900,2304,1884,2324,1863,2338,1849,2344,1835,2347,1820,2349,1299,2349,1262,2349,1996,2349,2003,2336,2012,2285,2012,2220,2012,2038,2012,1961,2012,1909,2012,1894,2012,1868,2013,1839,2012,1802,2012,1770xm1330,2148l1327,2151,1327,2153,1323,2169,1334,2167,1335,2166,1326,2166,1327,2159,1329,2153,1330,2148xm1390,1935l1378,1976,1358,2047,1338,2115,1330,2148,1329,2153,1327,2159,1326,2166,1339,2164,1558,2102,1531,2074,1474,2017,1417,1961,1390,1935xm1339,2164l1326,2166,1335,2166,1339,2164xm1786,1542l1777,1550,1763,1563,1739,1587,1415,1909,1428,1925,1455,1952,1498,1994,1542,2038,1569,2064,1583,2077,1615,2047,1937,1727,1949,1717,1953,1709,1927,1682,1871,1626,1815,1570,1786,1542xm1897,1451l1881,1453,1868,1460,1858,1469,1850,1477,1830,1497,1819,1508,1813,1515,1980,1683,1990,1674,1999,1664,2009,1655,2018,1646,2027,1637,2036,1627,2043,1615,2046,1600,2043,1584,2036,1571,2027,1562,2018,1553,1953,1488,1943,1479,1935,1470,1925,1461,1912,1454,1897,1451xm1613,1574l1253,1574,1275,1574,1289,1574,1467,1575,1575,1575,1613,1574xm1180,1480l1179,1481,1179,1482,1717,1482,1717,1482,1190,1482,1180,1480xm1465,1479l1202,1479,1190,1482,1717,1482,1718,1479,1465,1479xe" filled="true" fillcolor="#ffffff" stroked="false">
              <v:path arrowok="t"/>
              <v:fill type="solid"/>
            </v:shape>
            <w10:wrap type="none"/>
          </v:group>
        </w:pict>
      </w:r>
      <w:r>
        <w:rPr>
          <w:rFonts w:ascii="Myriad Pro"/>
          <w:color w:val="FFFFFF"/>
          <w:sz w:val="26"/>
          <w:shd w:fill="FDB714" w:color="auto" w:val="clear"/>
        </w:rPr>
        <w:t> </w:t>
        <w:tab/>
        <w:t>16</w:t>
        <w:tab/>
      </w:r>
    </w:p>
    <w:p>
      <w:pPr>
        <w:spacing w:before="117"/>
        <w:ind w:left="115" w:right="0" w:firstLine="0"/>
        <w:jc w:val="left"/>
        <w:rPr>
          <w:rFonts w:ascii="Myriad Pro" w:hAnsi="Myriad Pro"/>
          <w:sz w:val="16"/>
        </w:rPr>
      </w:pPr>
      <w:r>
        <w:rPr/>
        <w:br w:type="column"/>
      </w:r>
      <w:r>
        <w:rPr>
          <w:rFonts w:ascii="Myriad Pro" w:hAnsi="Myriad Pro"/>
          <w:color w:val="6D6E71"/>
          <w:sz w:val="16"/>
        </w:rPr>
        <w:t>Module 7 - LÉGIFÉRER POUR LES DROITS LIÉS AU HANDICAP</w:t>
      </w:r>
    </w:p>
    <w:p>
      <w:pPr>
        <w:spacing w:after="0"/>
        <w:jc w:val="left"/>
        <w:rPr>
          <w:rFonts w:ascii="Myriad Pro" w:hAnsi="Myriad Pro"/>
          <w:sz w:val="16"/>
        </w:rPr>
        <w:sectPr>
          <w:type w:val="continuous"/>
          <w:pgSz w:w="11910" w:h="16840"/>
          <w:pgMar w:top="1600" w:bottom="280" w:left="1640" w:right="1220"/>
          <w:cols w:num="2" w:equalWidth="0">
            <w:col w:w="1023" w:space="112"/>
            <w:col w:w="7915"/>
          </w:cols>
        </w:sectPr>
      </w:pPr>
    </w:p>
    <w:p>
      <w:pPr>
        <w:spacing w:before="57"/>
        <w:ind w:left="5054" w:right="1235"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line="320" w:lineRule="exact" w:before="67"/>
        <w:ind w:left="133" w:right="1235" w:firstLine="0"/>
        <w:jc w:val="left"/>
        <w:rPr>
          <w:b/>
          <w:sz w:val="28"/>
        </w:rPr>
      </w:pPr>
      <w:r>
        <w:rPr>
          <w:b/>
          <w:color w:val="231F20"/>
          <w:sz w:val="28"/>
        </w:rPr>
        <w:t>Session Sheet for the Trainer - Legislating for Disability Rights, Session 1</w:t>
      </w:r>
    </w:p>
    <w:p>
      <w:pPr>
        <w:pStyle w:val="BodyText"/>
        <w:spacing w:before="1"/>
        <w:rPr>
          <w:b/>
          <w:sz w:val="29"/>
        </w:rPr>
      </w:pPr>
    </w:p>
    <w:tbl>
      <w:tblPr>
        <w:tblW w:w="0" w:type="auto"/>
        <w:jc w:val="left"/>
        <w:tblInd w:w="118" w:type="dxa"/>
        <w:tblBorders>
          <w:top w:val="single" w:sz="4" w:space="0" w:color="FDB714"/>
          <w:left w:val="single" w:sz="4" w:space="0" w:color="FDB714"/>
          <w:bottom w:val="single" w:sz="4" w:space="0" w:color="FDB714"/>
          <w:right w:val="single" w:sz="4" w:space="0" w:color="FDB714"/>
          <w:insideH w:val="single" w:sz="4" w:space="0" w:color="FDB714"/>
          <w:insideV w:val="single" w:sz="4" w:space="0" w:color="FDB714"/>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FDB714"/>
              <w:left w:val="nil"/>
              <w:right w:val="single" w:sz="8" w:space="0" w:color="FDB714"/>
            </w:tcBorders>
          </w:tcPr>
          <w:p>
            <w:pPr/>
          </w:p>
        </w:tc>
        <w:tc>
          <w:tcPr>
            <w:tcW w:w="1389" w:type="dxa"/>
            <w:tcBorders>
              <w:top w:val="single" w:sz="12" w:space="0" w:color="FDB714"/>
              <w:left w:val="single" w:sz="8" w:space="0" w:color="FDB714"/>
              <w:right w:val="single" w:sz="8" w:space="0" w:color="FDB714"/>
            </w:tcBorders>
            <w:shd w:val="clear" w:color="auto" w:fill="FFF5E4"/>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FDB714"/>
              <w:left w:val="single" w:sz="8" w:space="0" w:color="FDB714"/>
              <w:right w:val="nil"/>
            </w:tcBorders>
            <w:shd w:val="clear" w:color="auto" w:fill="FFF5E4"/>
          </w:tcPr>
          <w:p>
            <w:pPr>
              <w:pStyle w:val="TableParagraph"/>
              <w:spacing w:before="58"/>
              <w:ind w:right="102"/>
              <w:rPr>
                <w:sz w:val="20"/>
              </w:rPr>
            </w:pPr>
            <w:r>
              <w:rPr>
                <w:color w:val="231F20"/>
                <w:sz w:val="20"/>
              </w:rPr>
              <w:t>Consulter le résumé et les principaux enseignements.</w:t>
            </w:r>
          </w:p>
        </w:tc>
      </w:tr>
      <w:tr>
        <w:trPr>
          <w:trHeight w:val="964" w:hRule="exact"/>
        </w:trPr>
        <w:tc>
          <w:tcPr>
            <w:tcW w:w="1134" w:type="dxa"/>
            <w:tcBorders>
              <w:left w:val="nil"/>
              <w:right w:val="single" w:sz="8" w:space="0" w:color="FDB714"/>
            </w:tcBorders>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Objectifs</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Consulter le résumé et les principaux enseignements.</w:t>
            </w:r>
          </w:p>
        </w:tc>
      </w:tr>
      <w:tr>
        <w:trPr>
          <w:trHeight w:val="977"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9"/>
              <w:rPr>
                <w:b/>
                <w:sz w:val="20"/>
              </w:rPr>
            </w:pPr>
            <w:r>
              <w:rPr>
                <w:b/>
                <w:color w:val="231F20"/>
                <w:sz w:val="20"/>
              </w:rPr>
              <w:t>Organisation de la classe</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Petits îlots pour travail en petits groupes.</w:t>
            </w:r>
          </w:p>
        </w:tc>
      </w:tr>
      <w:tr>
        <w:trPr>
          <w:trHeight w:val="1393"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Activité</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10 min. – Les principes de la réforme de la loi</w:t>
            </w:r>
          </w:p>
          <w:p>
            <w:pPr>
              <w:pStyle w:val="TableParagraph"/>
              <w:spacing w:line="276" w:lineRule="auto" w:before="36"/>
              <w:ind w:right="102"/>
              <w:rPr>
                <w:sz w:val="20"/>
              </w:rPr>
            </w:pPr>
            <w:r>
              <w:rPr>
                <w:color w:val="231F20"/>
                <w:sz w:val="20"/>
              </w:rPr>
              <w:t>35 min. – Travail en groupes sur l’activité d’apprentissage 2.C. 40 min. – Étape 3 de l’activité d’apprentissage 2.B.</w:t>
            </w:r>
          </w:p>
          <w:p>
            <w:pPr>
              <w:pStyle w:val="TableParagraph"/>
              <w:spacing w:line="220" w:lineRule="exact" w:before="14"/>
              <w:ind w:right="102"/>
              <w:rPr>
                <w:sz w:val="20"/>
              </w:rPr>
            </w:pPr>
            <w:r>
              <w:rPr>
                <w:color w:val="231F20"/>
                <w:sz w:val="20"/>
              </w:rPr>
              <w:t>5 min. – Retour d’expérience et discussion de synthèse en classe entière</w:t>
            </w:r>
          </w:p>
        </w:tc>
      </w:tr>
      <w:tr>
        <w:trPr>
          <w:trHeight w:val="1067"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Durée</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90 minutes</w:t>
            </w:r>
          </w:p>
        </w:tc>
      </w:tr>
      <w:tr>
        <w:trPr>
          <w:trHeight w:val="2160"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FDB714"/>
              <w:right w:val="nil"/>
            </w:tcBorders>
            <w:shd w:val="clear" w:color="auto" w:fill="FFF5E4"/>
          </w:tcPr>
          <w:p>
            <w:pPr>
              <w:pStyle w:val="TableParagraph"/>
              <w:spacing w:line="220" w:lineRule="exact" w:before="48"/>
              <w:ind w:right="226"/>
              <w:rPr>
                <w:sz w:val="20"/>
              </w:rPr>
            </w:pPr>
            <w:r>
              <w:rPr>
                <w:color w:val="231F20"/>
                <w:sz w:val="20"/>
              </w:rPr>
              <w:t>Travail en groupes pour analyser la législation par rapport à la CDPH et pour discuter des changements nécessaires, suivi</w:t>
            </w:r>
          </w:p>
          <w:p>
            <w:pPr>
              <w:pStyle w:val="TableParagraph"/>
              <w:spacing w:line="220" w:lineRule="exact" w:before="0"/>
              <w:ind w:right="102"/>
              <w:rPr>
                <w:sz w:val="20"/>
              </w:rPr>
            </w:pPr>
            <w:r>
              <w:rPr>
                <w:color w:val="231F20"/>
                <w:sz w:val="20"/>
              </w:rPr>
              <w:t>par des retours d’expérience et une discussion de synthèse en classe entière.</w:t>
            </w:r>
          </w:p>
          <w:p>
            <w:pPr>
              <w:pStyle w:val="TableParagraph"/>
              <w:spacing w:line="220" w:lineRule="exact" w:before="56"/>
              <w:ind w:right="102"/>
              <w:rPr>
                <w:sz w:val="20"/>
              </w:rPr>
            </w:pPr>
            <w:r>
              <w:rPr>
                <w:color w:val="231F20"/>
                <w:sz w:val="20"/>
              </w:rPr>
              <w:t>Si les groupes sont tous originaires du même pays, utilisez différentes lois pour l’exercice afin qu’il soit possible de comparer les idées de chaque groupe. S’il existe une loi conçue pour aborder la question des personnes handicapées, attribuez à chaque groupe une partie différente.</w:t>
            </w:r>
          </w:p>
        </w:tc>
      </w:tr>
      <w:tr>
        <w:trPr>
          <w:trHeight w:val="977" w:hRule="exact"/>
        </w:trPr>
        <w:tc>
          <w:tcPr>
            <w:tcW w:w="1134" w:type="dxa"/>
            <w:tcBorders>
              <w:left w:val="nil"/>
              <w:right w:val="single" w:sz="8" w:space="0" w:color="FDB714"/>
            </w:tcBorders>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Activité d'apprentissage 2.C. : Lacunes de la législation</w:t>
            </w:r>
          </w:p>
        </w:tc>
      </w:tr>
      <w:tr>
        <w:trPr>
          <w:trHeight w:val="1337" w:hRule="exact"/>
        </w:trPr>
        <w:tc>
          <w:tcPr>
            <w:tcW w:w="1134" w:type="dxa"/>
            <w:tcBorders>
              <w:left w:val="nil"/>
              <w:bottom w:val="single" w:sz="12" w:space="0" w:color="FDB714"/>
              <w:right w:val="single" w:sz="8" w:space="0" w:color="FDB714"/>
            </w:tcBorders>
          </w:tcPr>
          <w:p>
            <w:pPr/>
          </w:p>
        </w:tc>
        <w:tc>
          <w:tcPr>
            <w:tcW w:w="1389" w:type="dxa"/>
            <w:tcBorders>
              <w:left w:val="single" w:sz="8" w:space="0" w:color="FDB714"/>
              <w:bottom w:val="single" w:sz="12" w:space="0" w:color="FDB714"/>
              <w:right w:val="single" w:sz="8" w:space="0" w:color="FDB714"/>
            </w:tcBorders>
            <w:shd w:val="clear" w:color="auto" w:fill="FFF5E4"/>
          </w:tcPr>
          <w:p>
            <w:pPr>
              <w:pStyle w:val="TableParagraph"/>
              <w:spacing w:before="27"/>
              <w:ind w:right="415"/>
              <w:rPr>
                <w:b/>
                <w:sz w:val="20"/>
              </w:rPr>
            </w:pPr>
            <w:r>
              <w:rPr>
                <w:b/>
                <w:color w:val="231F20"/>
                <w:sz w:val="20"/>
              </w:rPr>
              <w:t>Supports</w:t>
            </w:r>
          </w:p>
        </w:tc>
        <w:tc>
          <w:tcPr>
            <w:tcW w:w="5357" w:type="dxa"/>
            <w:tcBorders>
              <w:left w:val="single" w:sz="8" w:space="0" w:color="FDB714"/>
              <w:bottom w:val="single" w:sz="12" w:space="0" w:color="FDB714"/>
              <w:right w:val="nil"/>
            </w:tcBorders>
            <w:shd w:val="clear" w:color="auto" w:fill="FFF5E4"/>
          </w:tcPr>
          <w:p>
            <w:pPr>
              <w:pStyle w:val="TableParagraph"/>
              <w:spacing w:line="220" w:lineRule="exact" w:before="48"/>
              <w:ind w:right="102"/>
              <w:rPr>
                <w:sz w:val="20"/>
              </w:rPr>
            </w:pPr>
            <w:r>
              <w:rPr>
                <w:color w:val="231F20"/>
                <w:sz w:val="20"/>
              </w:rPr>
              <w:t>Support : Exemplaires de la CDPH (</w:t>
            </w:r>
            <w:hyperlink r:id="rId23">
              <w:r>
                <w:rPr>
                  <w:color w:val="FDB714"/>
                  <w:sz w:val="20"/>
                </w:rPr>
                <w:t>http://www.un.org/</w:t>
              </w:r>
            </w:hyperlink>
            <w:r>
              <w:rPr>
                <w:color w:val="FDB714"/>
                <w:sz w:val="20"/>
              </w:rPr>
              <w:t> </w:t>
            </w:r>
            <w:hyperlink r:id="rId23">
              <w:r>
                <w:rPr>
                  <w:color w:val="FDB714"/>
                  <w:sz w:val="20"/>
                </w:rPr>
                <w:t>disabilities/convention/conventionfull.shtml</w:t>
              </w:r>
            </w:hyperlink>
            <w:r>
              <w:rPr>
                <w:color w:val="231F20"/>
                <w:sz w:val="20"/>
              </w:rPr>
              <w:t>)</w:t>
            </w:r>
          </w:p>
          <w:p>
            <w:pPr>
              <w:pStyle w:val="TableParagraph"/>
              <w:spacing w:line="220" w:lineRule="exact" w:before="113"/>
              <w:ind w:right="146"/>
              <w:jc w:val="both"/>
              <w:rPr>
                <w:sz w:val="20"/>
              </w:rPr>
            </w:pPr>
            <w:r>
              <w:rPr>
                <w:color w:val="231F20"/>
                <w:sz w:val="20"/>
              </w:rPr>
              <w:t>Support : Exemplaires de synthèse des législations nationales affectant les personnes handicapées (Voir Notes pour</w:t>
            </w:r>
            <w:r>
              <w:rPr>
                <w:color w:val="231F20"/>
                <w:spacing w:val="-17"/>
                <w:sz w:val="20"/>
              </w:rPr>
              <w:t> </w:t>
            </w:r>
            <w:r>
              <w:rPr>
                <w:color w:val="231F20"/>
                <w:sz w:val="20"/>
              </w:rPr>
              <w:t>l’équipe de</w:t>
            </w:r>
            <w:r>
              <w:rPr>
                <w:color w:val="231F20"/>
                <w:spacing w:val="-4"/>
                <w:sz w:val="20"/>
              </w:rPr>
              <w:t> </w:t>
            </w:r>
            <w:r>
              <w:rPr>
                <w:color w:val="231F20"/>
                <w:sz w:val="20"/>
              </w:rPr>
              <w:t>formation).</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7"/>
        </w:rPr>
      </w:pPr>
    </w:p>
    <w:p>
      <w:pPr>
        <w:spacing w:after="0"/>
        <w:rPr>
          <w:sz w:val="27"/>
        </w:rPr>
        <w:sectPr>
          <w:pgSz w:w="11910" w:h="16840"/>
          <w:pgMar w:top="360" w:bottom="280" w:left="1000" w:right="1640"/>
        </w:sectPr>
      </w:pPr>
    </w:p>
    <w:p>
      <w:pPr>
        <w:spacing w:before="101"/>
        <w:ind w:left="4046" w:right="-17" w:firstLine="0"/>
        <w:jc w:val="left"/>
        <w:rPr>
          <w:rFonts w:ascii="Myriad Pro" w:hAnsi="Myriad Pro"/>
          <w:sz w:val="16"/>
        </w:rPr>
      </w:pPr>
      <w:r>
        <w:rPr/>
        <w:pict>
          <v:group style="position:absolute;margin-left:0pt;margin-top:0pt;width:595.3pt;height:841.9pt;mso-position-horizontal-relative:page;mso-position-vertical-relative:page;z-index:-66376" coordorigin="0,0" coordsize="11906,16838">
            <v:rect style="position:absolute;left:0;top:0;width:9241;height:16838" filled="true" fillcolor="#fff5e4" stroked="false">
              <v:fill type="solid"/>
            </v:rect>
            <v:shape style="position:absolute;left:9243;top:0;width:2663;height:16838" type="#_x0000_t75" stroked="false">
              <v:imagedata r:id="rId25" o:title=""/>
            </v:shape>
            <v:rect style="position:absolute;left:11509;top:0;width:397;height:16838" filled="true" fillcolor="#fdb714" stroked="false">
              <v:fill type="solid"/>
            </v:rect>
            <v:shape style="position:absolute;left:1149;top:3542;width:822;height:822" coordorigin="1149,3542" coordsize="822,822" path="m1560,3542l1486,3548,1416,3567,1352,3598,1295,3638,1246,3688,1205,3745,1175,3809,1156,3879,1149,3952,1156,4026,1175,4096,1205,4160,1246,4217,1295,4267,1352,4307,1416,4338,1486,4357,1560,4363,1634,4357,1703,4338,1767,4307,1825,4267,1874,4217,1915,4160,1945,4096,1964,4026,1971,3952,1964,3879,1945,3809,1915,3745,1874,3688,1825,3638,1767,3598,1703,3567,1634,3548,1560,3542xe" filled="true" fillcolor="#fdb714" stroked="false">
              <v:path arrowok="t"/>
              <v:fill type="solid"/>
            </v:shape>
            <v:shape style="position:absolute;left:1212;top:3604;width:697;height:697" coordorigin="1212,3604" coordsize="697,697" path="m1560,3604l1490,3611,1424,3632,1365,3664,1314,3706,1271,3758,1239,3817,1219,3882,1212,3952,1219,4023,1239,4088,1271,4147,1314,4199,1365,4241,1424,4273,1490,4294,1560,4301,1630,4294,1695,4273,1755,4241,1756,4241,1560,4241,1483,4230,1414,4201,1356,4156,1311,4098,1282,4029,1272,3952,1282,3876,1311,3807,1356,3749,1414,3704,1483,3675,1560,3664,1756,3664,1755,3664,1695,3632,1630,3611,1560,3604xm1756,3664l1560,3664,1636,3675,1705,3704,1764,3749,1809,3807,1838,3876,1848,3952,1838,4029,1809,4098,1764,4156,1705,4201,1636,4230,1560,4241,1756,4241,1806,4199,1849,4147,1881,4088,1901,4023,1908,3952,1901,3882,1881,3817,1849,3758,1806,3706,1756,3664xm1560,3726l1488,3737,1426,3769,1377,3819,1345,3881,1333,3952,1345,4024,1377,4086,1426,4136,1488,4168,1560,4179,1632,4168,1694,4136,1713,4117,1560,4117,1496,4104,1444,4069,1409,4016,1396,3952,1409,3889,1444,3836,1496,3801,1560,3788,1713,3788,1694,3769,1632,3737,1560,3726xm1713,3788l1560,3788,1624,3801,1676,3836,1711,3889,1724,3952,1711,4016,1676,4069,1624,4104,1560,4117,1713,4117,1743,4086,1775,4024,1787,3952,1775,3881,1743,3819,1713,3788xm1560,3859l1523,3866,1494,3886,1474,3916,1466,3952,1474,3989,1494,4019,1523,4039,1560,4046,1596,4039,1626,4019,1646,3989,1653,3952,1646,3916,1626,3886,1596,3866,1560,3859xe" filled="true" fillcolor="#ffffff" stroked="false">
              <v:path arrowok="t"/>
              <v:fill type="solid"/>
            </v:shape>
            <v:shape style="position:absolute;left:1146;top:4505;width:822;height:822" type="#_x0000_t75" stroked="false">
              <v:imagedata r:id="rId26" o:title=""/>
            </v:shape>
            <v:shape style="position:absolute;left:1143;top:6860;width:815;height:937" coordorigin="1143,6860" coordsize="815,937" path="m1594,6939l1508,6939,1508,6985,1433,7000,1365,7028,1303,7067,1249,7116,1205,7175,1172,7241,1151,7313,1143,7390,1150,7463,1169,7532,1199,7595,1239,7652,1288,7701,1345,7741,1408,7772,1477,7791,1551,7797,1624,7791,1693,7772,1756,7741,1792,7716,1551,7716,1476,7708,1407,7683,1346,7645,1296,7594,1257,7533,1233,7465,1224,7390,1233,7316,1233,7315,1257,7246,1296,7186,1346,7135,1407,7097,1476,7072,1551,7063,1855,7063,1882,7038,1755,7038,1718,7018,1678,7003,1637,6992,1593,6985,1594,6939xm1855,7063l1551,7063,1625,7072,1694,7097,1755,7135,1805,7186,1844,7246,1868,7315,1869,7318,1877,7390,1868,7465,1844,7533,1805,7594,1755,7645,1694,7683,1625,7708,1551,7716,1792,7716,1813,7701,1862,7652,1902,7595,1932,7532,1951,7463,1958,7390,1949,7304,1922,7224,1881,7152,1827,7091,1855,7063xm1559,7315l1552,7315,1519,7322,1491,7340,1473,7367,1466,7400,1473,7433,1491,7461,1519,7479,1552,7486,1585,7479,1612,7461,1630,7433,1637,7400,1637,7388,1635,7377,1630,7367,1663,7318,1573,7318,1566,7316,1559,7315xm1748,7190l1573,7318,1663,7318,1748,7190xm1822,6978l1755,7038,1882,7038,1884,7036,1822,6978xm1644,6860l1453,6860,1453,6939,1644,6939,1644,6860xe" filled="true" fillcolor="#fdb714" stroked="false">
              <v:path arrowok="t"/>
              <v:fill type="solid"/>
            </v:shape>
            <v:shape style="position:absolute;left:1145;top:7931;width:822;height:822" coordorigin="1145,7931" coordsize="822,822" path="m1556,7931l1482,7938,1412,7957,1348,7988,1291,8028,1241,8078,1201,8135,1170,8199,1151,8268,1145,8342,1151,8416,1170,8486,1201,8550,1241,8607,1291,8657,1348,8697,1412,8727,1482,8747,1556,8753,1629,8747,1699,8727,1763,8697,1820,8657,1870,8607,1910,8550,1941,8486,1960,8416,1966,8342,1960,8268,1941,8199,1910,8135,1870,8078,1820,8028,1763,7988,1699,7957,1629,7938,1556,7931xe" filled="true" fillcolor="#fdb714" stroked="false">
              <v:path arrowok="t"/>
              <v:fill type="solid"/>
            </v:shape>
            <v:shape style="position:absolute;left:1245;top:7997;width:654;height:587" coordorigin="1245,7997" coordsize="654,587" path="m1684,7997l1653,8015,1650,8018,1650,8019,1647,8022,1561,8121,1545,8140,1535,8151,1529,8157,1526,8159,1513,8161,1509,8162,1479,8169,1449,8179,1419,8191,1391,8204,1375,8212,1373,8217,1362,8226,1346,8241,1329,8261,1313,8280,1300,8298,1284,8321,1265,8350,1251,8378,1245,8402,1245,8415,1247,8427,1250,8439,1256,8450,1262,8458,1272,8470,1283,8472,1275,8488,1265,8509,1257,8531,1253,8550,1256,8562,1262,8573,1271,8581,1283,8584,1300,8579,1318,8569,1351,8544,1357,8539,1367,8528,1423,8528,1432,8525,1464,8512,1501,8498,1547,8492,1775,8492,1764,8486,1387,8486,1382,8481,1379,8475,1387,8462,1406,8449,1427,8438,1441,8431,1444,8430,1304,8430,1291,8427,1290,8409,1295,8396,1315,8359,1348,8313,1383,8271,1411,8247,1414,8245,1416,8244,1425,8240,1448,8230,1462,8224,1474,8221,1538,8221,1539,8219,1539,8219,1542,8216,1581,8171,1584,8168,1583,8168,1586,8165,1650,8090,1654,8086,1656,8083,1660,8079,1688,8047,1698,8046,1767,8046,1750,8025,1718,8004,1684,7997xm1775,8492l1547,8492,1575,8492,1600,8493,1624,8495,1652,8498,1675,8501,1688,8504,1701,8509,1721,8519,1819,8565,1838,8573,1851,8525,1836,8520,1811,8509,1781,8495,1775,8492xm1423,8528l1367,8528,1371,8529,1388,8532,1405,8532,1423,8528xm1557,8444l1521,8446,1494,8450,1470,8458,1433,8473,1429,8476,1408,8485,1412,8486,1764,8486,1754,8482,1702,8459,1685,8456,1641,8450,1624,8447,1609,8446,1591,8445,1573,8444,1557,8444xm1472,8224l1469,8228,1454,8245,1429,8273,1408,8298,1386,8323,1343,8374,1333,8388,1320,8406,1310,8422,1304,8430,1444,8430,1463,8421,1483,8410,1375,8410,1384,8399,1394,8387,1404,8375,1414,8364,1445,8328,1446,8327,1473,8296,1477,8292,1478,8289,1485,8282,1485,8282,1489,8277,1490,8276,1495,8271,1494,8271,1499,8266,1500,8265,1502,8262,1533,8226,1472,8226,1472,8224xm1767,8046l1698,8046,1715,8058,1724,8066,1726,8069,1732,8080,1663,8159,1635,8191,1620,8208,1608,8223,1543,8298,1541,8300,1540,8301,1535,8306,1535,8307,1529,8314,1527,8317,1518,8325,1517,8328,1508,8337,1507,8339,1497,8346,1494,8348,1488,8352,1433,8382,1398,8399,1382,8409,1375,8410,1483,8410,1485,8409,1507,8397,1526,8384,1534,8379,1538,8375,1547,8365,1548,8363,1555,8356,1556,8354,1559,8351,1570,8339,1583,8323,1595,8309,1605,8297,1611,8292,1616,8286,1624,8276,1626,8275,1644,8253,1648,8249,1649,8248,1651,8244,1727,8244,1685,8206,1704,8185,1707,8181,1707,8180,1713,8174,1713,8173,1718,8168,1742,8140,1748,8133,1757,8122,1766,8112,1773,8104,1779,8090,1779,8077,1776,8063,1770,8050,1767,8046xm1727,8244l1651,8244,1657,8245,1657,8246,1665,8254,1666,8254,1670,8257,1747,8328,1886,8371,1899,8323,1771,8284,1727,8244xm1485,8282l1485,8282,1485,8282,1485,8282xm1538,8221l1474,8221,1472,8226,1533,8226,1537,8222,1538,8221xm1584,8168l1583,8168,1584,8168,1584,8168xe" filled="true" fillcolor="#ffffff" stroked="false">
              <v:path arrowok="t"/>
              <v:fill type="solid"/>
            </v:shape>
            <v:shape style="position:absolute;left:1139;top:10087;width:841;height:841" coordorigin="1139,10087" coordsize="841,841" path="m1559,10087l1484,10094,1413,10113,1347,10144,1288,10186,1238,10236,1196,10295,1165,10361,1146,10432,1139,10507,1146,10583,1165,10654,1196,10720,1238,10778,1288,10829,1347,10870,1413,10901,1484,10921,1559,10928,1635,10921,1706,10901,1771,10870,1830,10829,1881,10778,1922,10720,1953,10654,1973,10583,1980,10507,1973,10432,1953,10361,1922,10295,1881,10236,1830,10186,1771,10144,1706,10113,1635,10094,1559,10087xe" filled="true" fillcolor="#fdb714" stroked="false">
              <v:path arrowok="t"/>
              <v:fill type="solid"/>
            </v:shape>
            <v:shape style="position:absolute;left:1275;top:10203;width:522;height:311" coordorigin="1275,10203" coordsize="522,311" path="m1764,10290l1620,10290,1621,10294,1618,10295,1597,10310,1580,10321,1567,10329,1554,10337,1542,10344,1528,10352,1516,10359,1504,10366,1490,10373,1456,10389,1446,10394,1434,10399,1410,10408,1398,10412,1386,10416,1374,10420,1361,10424,1346,10428,1333,10430,1321,10433,1296,10438,1293,10441,1279,10454,1276,10462,1275,10470,1275,10478,1279,10491,1286,10502,1297,10510,1310,10513,1331,10512,1354,10507,1376,10502,1405,10493,1413,10490,1421,10488,1447,10478,1478,10466,1507,10453,1533,10440,1605,10399,1618,10391,1630,10383,1673,10354,1739,10354,1748,10331,1764,10290xm1739,10354l1673,10354,1678,10358,1681,10362,1685,10367,1708,10394,1711,10397,1716,10404,1719,10407,1729,10381,1739,10354xm1797,10203l1766,10207,1596,10235,1584,10237,1576,10238,1577,10242,1595,10261,1599,10266,1616,10286,1619,10290,1620,10290,1764,10290,1767,10281,1782,10244,1788,10228,1794,10212,1797,10203xe" filled="true" fillcolor="#ffffff" stroked="false">
              <v:path arrowok="t"/>
              <v:fill type="solid"/>
            </v:shape>
            <v:shape style="position:absolute;left:1645;top:10426;width:127;height:368" type="#_x0000_t75" stroked="false">
              <v:imagedata r:id="rId27" o:title=""/>
            </v:shape>
            <v:shape style="position:absolute;left:1475;top:10508;width:127;height:286" type="#_x0000_t75" stroked="false">
              <v:imagedata r:id="rId28" o:title=""/>
            </v:shape>
            <v:shape style="position:absolute;left:1306;top:10589;width:127;height:205" type="#_x0000_t75" stroked="false">
              <v:imagedata r:id="rId29" o:title=""/>
            </v:shape>
            <v:shape style="position:absolute;left:1147;top:11080;width:822;height:822" coordorigin="1147,11080" coordsize="822,822" path="m1558,11080l1484,11087,1415,11106,1351,11136,1294,11177,1244,11226,1203,11284,1173,11348,1154,11417,1147,11491,1154,11565,1173,11634,1203,11698,1244,11756,1294,11805,1351,11846,1415,11876,1484,11895,1558,11902,1632,11895,1702,11876,1766,11846,1823,11805,1873,11756,1913,11698,1943,11634,1963,11565,1969,11491,1963,11417,1943,11348,1913,11284,1873,11226,1823,11177,1766,11136,1702,11106,1632,11087,1558,11080xe" filled="true" fillcolor="#fdb714" stroked="false">
              <v:path arrowok="t"/>
              <v:fill type="solid"/>
            </v:shape>
            <v:line style="position:absolute" from="1454,11326" to="1672,11326" stroked="true" strokeweight="1.827pt" strokecolor="#ffffff"/>
            <v:line style="position:absolute" from="1454,11506" to="1672,11506" stroked="true" strokeweight="1.824pt" strokecolor="#ffffff"/>
            <v:line style="position:absolute" from="1454,11416" to="1672,11416" stroked="true" strokeweight="1.823pt" strokecolor="#ffffff"/>
            <v:line style="position:absolute" from="1454,11596" to="1672,11596" stroked="true" strokeweight="1.846pt" strokecolor="#ffffff"/>
            <v:shape style="position:absolute;left:1353;top:11209;width:403;height:518" coordorigin="1353,11209" coordsize="403,518" path="m1683,11209l1425,11209,1410,11211,1397,11215,1384,11222,1374,11230,1365,11241,1358,11253,1354,11267,1353,11281,1353,11655,1354,11669,1358,11683,1365,11695,1374,11706,1374,11706,1384,11714,1397,11721,1410,11725,1425,11727,1683,11727,1698,11725,1711,11721,1723,11714,1734,11706,1743,11695,1746,11688,1415,11688,1407,11684,1401,11678,1401,11678,1395,11672,1391,11664,1391,11272,1395,11264,1407,11252,1415,11248,1746,11248,1743,11241,1734,11230,1734,11230,1723,11222,1711,11215,1698,11211,1683,11209xm1746,11248l1692,11248,1701,11252,1707,11258,1707,11258,1713,11264,1716,11272,1716,11664,1713,11672,1701,11684,1692,11688,1746,11688,1749,11683,1754,11669,1755,11655,1755,11281,1754,11267,1749,11253,1746,11248xm1401,11678l1401,11678,1401,11678,1401,11678xe" filled="true" fillcolor="#ffffff" stroked="false">
              <v:path arrowok="t"/>
              <v:fill type="solid"/>
            </v:shape>
            <v:shape style="position:absolute;left:-19;top:16526;width:684;height:312" coordorigin="-19,16526" coordsize="684,312" path="m1236,11725l1323,11725,1323,11667,1323,11664,1331,11660,1339,11651,1343,11646,1348,11638,1351,11631,1359,11608,1362,11591,1369,11570,1389,11536,1415,11497,1422,11488,1428,11476,1431,11464,1427,11451,1415,11444,1404,11445,1394,11452,1385,11460,1373,11471,1361,11484,1349,11497,1335,11508,1329,11513,1320,11517,1309,11517,1309,11497,1318,11483,1328,11473,1333,11468,1333,11413,1317,11419,1298,11431,1280,11445,1264,11457,1240,11473,1225,11486,1219,11500,1217,11523,1217,11551,1217,11596,1217,11639,1218,11663,1236,11725xm1882,11725l1795,11725,1795,11667,1794,11664,1786,11660,1778,11651,1774,11646,1769,11638,1766,11631,1758,11608,1755,11591,1748,11570,1729,11536,1702,11497,1696,11488,1689,11476,1686,11464,1691,11451,1702,11444,1713,11445,1724,11452,1733,11460,1745,11471,1757,11484,1769,11497,1782,11508,1788,11513,1797,11517,1808,11517,1808,11497,1800,11483,1789,11473,1784,11468,1784,11413,1801,11419,1819,11431,1837,11445,1853,11457,1877,11473,1892,11486,1899,11500,1900,11523,1900,11551,1901,11596,1900,11639,1900,11663,1882,11725xe" filled="false" stroked="true" strokeweight=".966pt" strokecolor="#fdb714">
              <v:path arrowok="t"/>
            </v:shape>
            <v:shape style="position:absolute;left:1217;top:11413;width:215;height:312" coordorigin="1217,11413" coordsize="215,312" path="m1333,11413l1317,11419,1298,11431,1264,11457,1240,11473,1225,11486,1219,11500,1217,11523,1217,11639,1218,11663,1236,11725,1323,11725,1323,11667,1323,11664,1331,11660,1343,11646,1348,11638,1351,11631,1359,11608,1362,11591,1369,11570,1389,11536,1402,11517,1320,11517,1309,11517,1309,11508,1309,11497,1318,11483,1328,11473,1333,11468,1333,11413xm1415,11444l1404,11445,1394,11452,1385,11460,1373,11471,1361,11484,1349,11497,1335,11508,1329,11513,1320,11517,1402,11517,1415,11497,1422,11488,1428,11476,1431,11464,1427,11451,1415,11444xe" filled="true" fillcolor="#ffffff" stroked="false">
              <v:path arrowok="t"/>
              <v:fill type="solid"/>
            </v:shape>
            <v:shape style="position:absolute;left:1686;top:11413;width:215;height:312" coordorigin="1686,11413" coordsize="215,312" path="m1702,11444l1691,11451,1686,11464,1689,11476,1696,11488,1703,11497,1729,11536,1748,11570,1755,11591,1758,11608,1766,11631,1769,11638,1774,11646,1786,11660,1794,11664,1795,11667,1795,11725,1882,11725,1900,11663,1900,11639,1900,11523,1900,11517,1797,11517,1788,11513,1782,11508,1769,11497,1757,11484,1745,11471,1733,11460,1724,11452,1713,11445,1702,11444xm1784,11413l1784,11468,1789,11473,1800,11483,1808,11497,1808,11508,1808,11517,1797,11517,1900,11517,1899,11500,1892,11486,1877,11473,1853,11457,1819,11431,1801,11419,1784,11413xe" filled="true" fillcolor="#ffffff" stroked="false">
              <v:path arrowok="t"/>
              <v:fill type="solid"/>
            </v:shape>
            <v:shape style="position:absolute;left:1144;top:5477;width:822;height:822" type="#_x0000_t75" stroked="false">
              <v:imagedata r:id="rId30" o:title=""/>
            </v:shape>
            <v:shape style="position:absolute;left:1291;top:5527;width:310;height:287" type="#_x0000_t75" stroked="false">
              <v:imagedata r:id="rId31" o:title=""/>
            </v:shape>
            <v:shape style="position:absolute;left:1147;top:2531;width:822;height:822" coordorigin="1147,2531" coordsize="822,822" path="m1558,2531l1484,2538,1415,2557,1351,2587,1294,2628,1244,2678,1203,2735,1173,2799,1154,2868,1147,2942,1154,3016,1173,3086,1203,3150,1244,3207,1294,3256,1351,3297,1415,3327,1484,3347,1558,3353,1632,3347,1702,3327,1766,3297,1823,3256,1873,3207,1913,3150,1943,3086,1963,3016,1969,2942,1963,2868,1943,2799,1913,2735,1873,2678,1823,2628,1766,2587,1702,2557,1632,2538,1558,2531xe" filled="true" fillcolor="#fdb714" stroked="false">
              <v:path arrowok="t"/>
              <v:fill type="solid"/>
            </v:shape>
            <v:shape style="position:absolute;left:1259;top:2643;width:599;height:556" coordorigin="1259,2643" coordsize="599,556" path="m1678,2643l1660,2644,1643,2648,1627,2653,1612,2659,1600,2665,1589,2673,1579,2681,1569,2690,1564,2695,1556,2703,1552,2708,1545,2718,1533,2739,1523,2763,1518,2788,1516,2815,1517,2838,1520,2848,1517,2854,1505,2866,1264,3107,1260,3108,1259,3115,1259,3159,1276,3173,1284,3181,1299,3198,1386,3198,1394,3192,1409,3177,1424,3162,1430,3154,1302,3154,1302,3114,1301,3114,1302,3110,1306,3110,1398,3017,1458,2957,1496,2919,1516,2900,1834,2900,1842,2885,1850,2866,1855,2846,1857,2826,1857,2812,1737,2812,1712,2810,1703,2804,1694,2795,1689,2784,1686,2771,1696,2744,1720,2730,1836,2730,1825,2712,1811,2695,1796,2681,1779,2669,1760,2659,1740,2650,1721,2645,1701,2643,1678,2643xm1516,2941l1332,3125,1317,3140,1309,3148,1302,3154,1430,3154,1430,3113,1473,3113,1473,3070,1516,3070,1516,3027,1600,3027,1609,3020,1625,3005,1640,2989,1648,2980,1720,2980,1735,2978,1774,2961,1795,2945,1516,2945,1516,2941xm1302,3113l1301,3114,1302,3114,1302,3113xm1306,3110l1302,3110,1302,3113,1306,3110xm1720,2980l1648,2980,1660,2982,1668,2983,1677,2984,1694,2984,1720,2980xm1800,2941l1516,2941,1516,2945,1795,2945,1800,2941xm1834,2900l1516,2900,1516,2941,1516,2941,1800,2941,1807,2935,1833,2903,1834,2900xm1836,2730l1720,2730,1747,2732,1768,2753,1771,2779,1759,2800,1737,2812,1857,2812,1857,2798,1854,2776,1847,2753,1838,2732,1836,2730xe" filled="true" fillcolor="#ffffff" stroked="false">
              <v:path arrowok="t"/>
              <v:fill type="solid"/>
            </v:shape>
            <w10:wrap type="none"/>
          </v:group>
        </w:pict>
      </w:r>
      <w:r>
        <w:rPr>
          <w:rFonts w:ascii="Myriad Pro" w:hAnsi="Myriad Pro"/>
          <w:color w:val="6D6E71"/>
          <w:sz w:val="16"/>
        </w:rPr>
        <w:t>Module 7 - LÉGIFÉRER POUR LES DROITS LIÉS </w:t>
      </w:r>
      <w:r>
        <w:rPr>
          <w:rFonts w:ascii="Myriad Pro" w:hAnsi="Myriad Pro"/>
          <w:color w:val="6D6E71"/>
          <w:spacing w:val="-3"/>
          <w:sz w:val="16"/>
        </w:rPr>
        <w:t>AU</w:t>
      </w:r>
      <w:r>
        <w:rPr>
          <w:rFonts w:ascii="Myriad Pro" w:hAnsi="Myriad Pro"/>
          <w:color w:val="6D6E71"/>
          <w:sz w:val="16"/>
        </w:rPr>
        <w:t> HANDICAP</w:t>
      </w:r>
    </w:p>
    <w:p>
      <w:pPr>
        <w:pStyle w:val="Heading4"/>
        <w:tabs>
          <w:tab w:pos="1093" w:val="left" w:leader="none"/>
        </w:tabs>
        <w:spacing w:before="59"/>
        <w:ind w:left="186"/>
      </w:pPr>
      <w:r>
        <w:rPr/>
        <w:br w:type="column"/>
      </w:r>
      <w:r>
        <w:rPr>
          <w:color w:val="FFFFFF"/>
          <w:spacing w:val="21"/>
          <w:shd w:fill="FDB714" w:color="auto" w:val="clear"/>
        </w:rPr>
        <w:t> </w:t>
      </w:r>
      <w:r>
        <w:rPr>
          <w:color w:val="FFFFFF"/>
          <w:shd w:fill="FDB714" w:color="auto" w:val="clear"/>
        </w:rPr>
        <w:t>17</w:t>
        <w:tab/>
      </w:r>
    </w:p>
    <w:p>
      <w:pPr>
        <w:spacing w:after="0"/>
        <w:sectPr>
          <w:type w:val="continuous"/>
          <w:pgSz w:w="11910" w:h="16840"/>
          <w:pgMar w:top="1600" w:bottom="280" w:left="1000" w:right="1640"/>
          <w:cols w:num="2" w:equalWidth="0">
            <w:col w:w="8015" w:space="40"/>
            <w:col w:w="1215"/>
          </w:cols>
        </w:sectPr>
      </w:pPr>
    </w:p>
    <w:p>
      <w:pPr>
        <w:spacing w:before="57"/>
        <w:ind w:left="1252" w:right="281"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18.2pt;mso-position-horizontal-relative:page;mso-position-vertical-relative:paragraph;z-index:3088;mso-wrap-distance-left:0;mso-wrap-distance-right:0" type="#_x0000_t202" filled="true" fillcolor="#231f20" stroked="false">
            <v:textbox inset="0,0,0,0">
              <w:txbxContent>
                <w:p>
                  <w:pPr>
                    <w:spacing w:before="32"/>
                    <w:ind w:left="1279" w:right="0" w:firstLine="0"/>
                    <w:jc w:val="left"/>
                    <w:rPr>
                      <w:rFonts w:ascii="Myriad Pro" w:hAnsi="Myriad Pro"/>
                      <w:b/>
                      <w:sz w:val="22"/>
                    </w:rPr>
                  </w:pPr>
                  <w:bookmarkStart w:name="_TOC_250002" w:id="13"/>
                  <w:bookmarkEnd w:id="13"/>
                  <w:r>
                    <w:rPr>
                      <w:rFonts w:ascii="Myriad Pro" w:hAnsi="Myriad Pro"/>
                      <w:b/>
                      <w:color w:val="FFFFFF"/>
                      <w:sz w:val="22"/>
                    </w:rPr>
                    <w:t>Activité d'apprentissage 2.C. : Lacunes de la législation</w:t>
                  </w:r>
                </w:p>
              </w:txbxContent>
            </v:textbox>
            <v:fill type="solid"/>
            <w10:wrap type="topAndBottom"/>
          </v:shape>
        </w:pict>
      </w:r>
    </w:p>
    <w:p>
      <w:pPr>
        <w:pStyle w:val="BodyText"/>
        <w:spacing w:before="4"/>
        <w:rPr>
          <w:rFonts w:ascii="Myriad Pro"/>
          <w:sz w:val="9"/>
        </w:rPr>
      </w:pPr>
    </w:p>
    <w:p>
      <w:pPr>
        <w:pStyle w:val="Heading6"/>
        <w:spacing w:line="256" w:lineRule="auto"/>
        <w:ind w:right="281"/>
      </w:pPr>
      <w:r>
        <w:rPr>
          <w:i/>
          <w:color w:val="231F20"/>
        </w:rPr>
        <w:t>Objectif : Identifier les lacunes potentielles des dispositions législatives en rapport </w:t>
      </w:r>
      <w:r>
        <w:rPr>
          <w:color w:val="231F20"/>
        </w:rPr>
        <w:t>avec la CDPH.</w:t>
      </w:r>
    </w:p>
    <w:p>
      <w:pPr>
        <w:pStyle w:val="BodyText"/>
        <w:spacing w:line="266" w:lineRule="auto" w:before="123"/>
        <w:ind w:left="1251" w:right="482"/>
        <w:rPr>
          <w:b w:val="0"/>
        </w:rPr>
      </w:pPr>
      <w:r>
        <w:rPr>
          <w:b w:val="0"/>
          <w:color w:val="231F20"/>
        </w:rPr>
        <w:t>On va remettre à votre groupe une petite partie de loi nationale. Votre tâche consiste à analyser cette législation et à repérer les protections essentielles qui pourraient y être intégrées pour garantir que les droits des personnes handicapées sont protégés conformément à la CDPH.</w:t>
      </w:r>
    </w:p>
    <w:p>
      <w:pPr>
        <w:pStyle w:val="BodyText"/>
        <w:spacing w:line="266" w:lineRule="auto" w:before="114"/>
        <w:ind w:left="1251" w:right="281"/>
        <w:rPr>
          <w:b w:val="0"/>
        </w:rPr>
      </w:pPr>
      <w:r>
        <w:rPr>
          <w:b w:val="0"/>
          <w:color w:val="231F20"/>
        </w:rPr>
        <w:t>Soyez prêt à rendre compte de vos conclusions en classe entière et à échanger sur les questions suivantes :</w:t>
      </w:r>
    </w:p>
    <w:p>
      <w:pPr>
        <w:pStyle w:val="BodyText"/>
        <w:spacing w:line="264" w:lineRule="auto" w:before="19"/>
        <w:ind w:left="1931" w:right="598" w:hanging="341"/>
        <w:rPr>
          <w:b w:val="0"/>
        </w:rPr>
      </w:pPr>
      <w:r>
        <w:rPr>
          <w:rFonts w:ascii="Arial" w:hAnsi="Arial"/>
          <w:color w:val="FDB714"/>
          <w:sz w:val="26"/>
        </w:rPr>
        <w:t>► </w:t>
      </w:r>
      <w:r>
        <w:rPr>
          <w:b w:val="0"/>
          <w:color w:val="231F20"/>
        </w:rPr>
        <w:t>Comment avez-vous déterminé que la protection des droits liés au handicap pourrait être pertinente dans la législation en question ?</w:t>
      </w:r>
    </w:p>
    <w:p>
      <w:pPr>
        <w:pStyle w:val="BodyText"/>
        <w:spacing w:line="264" w:lineRule="auto" w:before="21"/>
        <w:ind w:left="1931" w:right="576" w:hanging="341"/>
        <w:rPr>
          <w:b w:val="0"/>
        </w:rPr>
      </w:pPr>
      <w:r>
        <w:rPr>
          <w:rFonts w:ascii="Arial" w:hAnsi="Arial"/>
          <w:color w:val="FDB714"/>
          <w:sz w:val="26"/>
        </w:rPr>
        <w:t>► </w:t>
      </w:r>
      <w:r>
        <w:rPr>
          <w:b w:val="0"/>
          <w:color w:val="231F20"/>
        </w:rPr>
        <w:t>Quelle a été votre approche pour analyser la CDPH et déterminer en quoi ses dispositions pourraient justifier des amendements législatifs ?</w:t>
      </w:r>
    </w:p>
    <w:p>
      <w:pPr>
        <w:pStyle w:val="BodyText"/>
        <w:spacing w:line="264" w:lineRule="auto" w:before="21"/>
        <w:ind w:left="1931" w:right="27" w:hanging="341"/>
        <w:rPr>
          <w:b w:val="0"/>
        </w:rPr>
      </w:pPr>
      <w:r>
        <w:rPr>
          <w:rFonts w:ascii="Arial" w:hAnsi="Arial"/>
          <w:color w:val="FDB714"/>
          <w:sz w:val="26"/>
        </w:rPr>
        <w:t>► </w:t>
      </w:r>
      <w:r>
        <w:rPr>
          <w:b w:val="0"/>
          <w:color w:val="231F20"/>
        </w:rPr>
        <w:t>Pensez-vous qu’une réforme de la loi visant à la conformité avec la CDPH peut être obtenue ?</w:t>
      </w:r>
    </w:p>
    <w:p>
      <w:pPr>
        <w:pStyle w:val="BodyText"/>
        <w:spacing w:line="264" w:lineRule="auto" w:before="21"/>
        <w:ind w:left="1931" w:right="955" w:hanging="341"/>
        <w:rPr>
          <w:b w:val="0"/>
        </w:rPr>
      </w:pPr>
      <w:r>
        <w:rPr>
          <w:rFonts w:ascii="Arial" w:hAnsi="Arial"/>
          <w:color w:val="FDB714"/>
          <w:sz w:val="26"/>
        </w:rPr>
        <w:t>► </w:t>
      </w:r>
      <w:r>
        <w:rPr>
          <w:b w:val="0"/>
          <w:color w:val="231F20"/>
        </w:rPr>
        <w:t>Certains aspects de la réforme de la loi seront-ils plus facile à obtenir que d’autres ? Qu’est-ce qui vous a conduit à votre conclusion ?</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21"/>
        </w:rPr>
      </w:pPr>
    </w:p>
    <w:p>
      <w:pPr>
        <w:pStyle w:val="BodyText"/>
        <w:spacing w:line="266" w:lineRule="auto" w:before="1"/>
        <w:ind w:left="1251" w:right="27" w:hanging="8"/>
        <w:rPr>
          <w:b w:val="0"/>
        </w:rPr>
      </w:pPr>
      <w:r>
        <w:rPr>
          <w:b w:val="0"/>
          <w:color w:val="231F20"/>
        </w:rPr>
        <w:t>Vous avez 30 minutes pour travailler en groupe et 10 minutes pour exposer vos idées en classe entière.</w:t>
      </w:r>
    </w:p>
    <w:p>
      <w:pPr>
        <w:pStyle w:val="BodyText"/>
        <w:spacing w:before="9"/>
        <w:rPr>
          <w:b w:val="0"/>
          <w:sz w:val="26"/>
        </w:rPr>
      </w:pPr>
    </w:p>
    <w:p>
      <w:pPr>
        <w:spacing w:after="0"/>
        <w:rPr>
          <w:sz w:val="26"/>
        </w:rPr>
        <w:sectPr>
          <w:pgSz w:w="11910" w:h="16840"/>
          <w:pgMar w:top="360" w:bottom="280" w:left="1640" w:right="1020"/>
        </w:sectPr>
      </w:pPr>
    </w:p>
    <w:p>
      <w:pPr>
        <w:pStyle w:val="Heading4"/>
        <w:tabs>
          <w:tab w:pos="699" w:val="left" w:leader="none"/>
          <w:tab w:pos="1022" w:val="left" w:leader="none"/>
        </w:tabs>
      </w:pPr>
      <w:r>
        <w:rPr/>
        <w:pict>
          <v:group style="position:absolute;margin-left:0pt;margin-top:0pt;width:595.3pt;height:841.9pt;mso-position-horizontal-relative:page;mso-position-vertical-relative:page;z-index:-66328" coordorigin="0,0" coordsize="11906,16838">
            <v:rect style="position:absolute;left:2665;top:0;width:9241;height:16838" filled="true" fillcolor="#fff5e4" stroked="false">
              <v:fill type="solid"/>
            </v:rect>
            <v:shape style="position:absolute;left:0;top:0;width:2663;height:16838" type="#_x0000_t75" stroked="false">
              <v:imagedata r:id="rId24" o:title=""/>
            </v:shape>
            <v:rect style="position:absolute;left:0;top:0;width:397;height:16838" filled="true" fillcolor="#fdb714" stroked="false">
              <v:fill type="solid"/>
            </v:rect>
            <v:line style="position:absolute" from="2891,7721" to="10772,7721" stroked="true" strokeweight=".35pt" strokecolor="#231f20"/>
            <v:line style="position:absolute" from="2891,8168" to="10772,8168" stroked="true" strokeweight=".35pt" strokecolor="#231f20"/>
            <v:line style="position:absolute" from="2891,8614" to="10772,8614" stroked="true" strokeweight=".35pt" strokecolor="#231f20"/>
            <v:line style="position:absolute" from="2891,9061" to="10772,9061" stroked="true" strokeweight=".35pt" strokecolor="#231f20"/>
            <v:line style="position:absolute" from="2891,9508" to="10772,9508" stroked="true" strokeweight=".35pt" strokecolor="#231f20"/>
            <v:line style="position:absolute" from="2891,9955" to="10772,9955" stroked="true" strokeweight=".35pt" strokecolor="#231f20"/>
            <v:line style="position:absolute" from="2891,10402" to="10772,10402" stroked="true" strokeweight=".35pt" strokecolor="#231f20"/>
            <v:line style="position:absolute" from="2891,10848" to="10772,10848" stroked="true" strokeweight=".35pt" strokecolor="#231f20"/>
            <v:line style="position:absolute" from="2891,11295" to="10772,11295" stroked="true" strokeweight=".35pt" strokecolor="#231f20"/>
            <v:line style="position:absolute" from="2891,11742" to="10772,11742" stroked="true" strokeweight=".35pt" strokecolor="#231f20"/>
            <v:line style="position:absolute" from="2891,12189" to="10772,12189" stroked="true" strokeweight=".35pt" strokecolor="#231f20"/>
            <v:line style="position:absolute" from="2891,12635" to="10772,12635" stroked="true" strokeweight=".35pt" strokecolor="#231f20"/>
            <v:line style="position:absolute" from="2891,13082" to="10772,13082" stroked="true" strokeweight=".35pt" strokecolor="#231f20"/>
            <v:line style="position:absolute" from="2891,13529" to="10772,13529" stroked="true" strokeweight=".35pt" strokecolor="#231f20"/>
            <v:line style="position:absolute" from="2891,13976" to="10772,13976" stroked="true" strokeweight=".35pt" strokecolor="#231f20"/>
            <v:line style="position:absolute" from="2891,14423" to="10772,14423" stroked="true" strokeweight=".35pt" strokecolor="#231f20"/>
            <v:line style="position:absolute" from="2891,15816" to="10772,15816" stroked="true" strokeweight="1pt" strokecolor="#fdb714"/>
            <v:shape style="position:absolute;left:1778;top:1267;width:827;height:822" coordorigin="1778,1267" coordsize="827,822" path="m1887,1293l1886,1293,1873,1296,1859,1301,1846,1308,1836,1314,1826,1321,1817,1330,1809,1339,1801,1349,1787,1376,1780,1402,1778,1431,1778,1902,1778,1924,1778,1957,1782,1987,1793,2016,1806,2037,1824,2056,1845,2071,1870,2082,1899,2087,1935,2089,2444,2088,2459,2087,2474,2085,2489,2080,2523,2061,2551,2033,2563,2009,1957,2009,1931,2008,1908,2003,1887,1991,1869,1971,1861,1950,1858,1927,1858,1902,1857,1540,1857,1501,1857,1481,1857,1454,1860,1431,1864,1420,1869,1409,1875,1401,1881,1393,1888,1387,1898,1381,1909,1375,1920,1372,1931,1370,1950,1369,2246,1369,2257,1369,2266,1360,2286,1341,2319,1308,2322,1305,2324,1303,2329,1297,2332,1295,2333,1294,1889,1294,1887,1293xm2576,1531l2564,1541,2542,1563,2502,1604,2500,1606,2497,1608,2496,1612,2496,1925,2493,1951,2484,1972,2470,1988,2453,2000,2441,2005,2430,2007,2417,2008,1988,2008,1957,2009,2563,2009,2569,1997,2576,1956,2576,1902,2576,1735,2576,1633,2576,1612,2577,1563,2576,1531xm2013,1842l2011,1846,2011,1846,2011,1846,2008,1860,2013,1859,2017,1859,2018,1858,2010,1858,2011,1852,2013,1847,2013,1842xm2063,1667l2053,1701,2036,1759,2020,1815,2013,1842,2013,1847,2011,1852,2010,1858,2021,1856,2201,1804,2179,1781,2132,1735,2085,1688,2063,1667xm2021,1856l2010,1858,2018,1858,2021,1856xm2389,1343l2382,1349,2371,1360,2351,1380,2084,1646,2094,1659,2116,1681,2152,1715,2189,1752,2210,1774,2223,1784,2248,1759,2514,1495,2524,1487,2528,1481,2506,1458,2460,1412,2413,1366,2389,1343xm2481,1267l2468,1270,2457,1275,2449,1282,2442,1290,2426,1306,2417,1315,2412,1321,2550,1459,2558,1452,2566,1444,2574,1436,2581,1428,2588,1421,2595,1413,2601,1403,2604,1390,2602,1377,2596,1367,2589,1359,2581,1352,2550,1321,2527,1298,2519,1291,2512,1283,2504,1276,2494,1270,2481,1267xm2246,1369l1950,1369,1968,1369,1980,1370,2127,1370,2215,1370,2246,1369xm1890,1292l1889,1292,1889,1294,2333,1294,2333,1293,1898,1293,1890,1292xm2167,1291l1908,1291,1898,1293,2333,1293,2333,1291,2167,1291xe" filled="true" fillcolor="#fdb714" stroked="false">
              <v:path arrowok="t"/>
              <v:fill type="solid"/>
            </v:shape>
            <v:shape style="position:absolute;left:1814;top:15004;width:719;height:827" coordorigin="1814,15004" coordsize="719,827" path="m2212,15073l2136,15073,2136,15114,2061,15130,1993,15160,1933,15204,1884,15258,1846,15322,1823,15394,1814,15471,1822,15544,1843,15611,1876,15672,1919,15725,1973,15769,2034,15802,2101,15823,2174,15830,2246,15823,2313,15802,2374,15769,2386,15759,2174,15759,2097,15749,2028,15720,1970,15675,1925,15617,1896,15548,1885,15471,1896,15395,1925,15326,1970,15267,2028,15222,2097,15193,2174,15183,2442,15183,2466,15160,2354,15160,2321,15143,2286,15130,2249,15120,2211,15114,2212,15073xm2442,15183l2174,15183,2250,15193,2319,15222,2377,15267,2422,15326,2451,15395,2462,15471,2451,15548,2422,15617,2377,15675,2319,15720,2250,15749,2174,15759,2386,15759,2428,15725,2471,15672,2505,15611,2526,15544,2533,15471,2525,15395,2502,15325,2465,15261,2417,15207,2442,15183xm2181,15405l2175,15405,2145,15411,2121,15427,2105,15451,2099,15480,2105,15510,2121,15534,2145,15550,2175,15556,2204,15550,2228,15534,2244,15510,2250,15480,2250,15470,2248,15460,2244,15451,2273,15407,2193,15407,2187,15406,2181,15405xm2348,15295l2193,15407,2273,15407,2348,15295xm2413,15108l2354,15160,2466,15160,2468,15159,2413,15108xm2256,15004l2087,15004,2087,15073,2256,15073,2256,15004xe" filled="true" fillcolor="#fdb714" stroked="false">
              <v:path arrowok="t"/>
              <v:fill type="solid"/>
            </v:shape>
            <w10:wrap type="none"/>
          </v:group>
        </w:pict>
      </w:r>
      <w:r>
        <w:rPr>
          <w:color w:val="FFFFFF"/>
          <w:shd w:fill="FDB714" w:color="auto" w:val="clear"/>
        </w:rPr>
        <w:t> </w:t>
        <w:tab/>
        <w:t>18</w:t>
        <w:tab/>
      </w:r>
    </w:p>
    <w:p>
      <w:pPr>
        <w:spacing w:before="116"/>
        <w:ind w:left="115" w:right="0" w:firstLine="0"/>
        <w:jc w:val="left"/>
        <w:rPr>
          <w:rFonts w:ascii="Myriad Pro" w:hAnsi="Myriad Pro"/>
          <w:sz w:val="16"/>
        </w:rPr>
      </w:pPr>
      <w:r>
        <w:rPr/>
        <w:br w:type="column"/>
      </w:r>
      <w:r>
        <w:rPr>
          <w:rFonts w:ascii="Myriad Pro" w:hAnsi="Myriad Pro"/>
          <w:color w:val="6D6E71"/>
          <w:sz w:val="16"/>
        </w:rPr>
        <w:t>Module 7 - LÉGIFÉRER POUR LES DROITS LIÉS AU HANDICAP</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502" w:right="374" w:firstLine="0"/>
        <w:jc w:val="left"/>
        <w:rPr>
          <w:rFonts w:ascii="Myriad Pro"/>
          <w:sz w:val="16"/>
        </w:rPr>
      </w:pPr>
      <w:r>
        <w:rPr>
          <w:rFonts w:ascii="Myriad Pro"/>
          <w:color w:val="FDB714"/>
          <w:sz w:val="16"/>
        </w:rPr>
        <w:t>TOOLKIT ON DISABILITY FOR  AFRICA</w:t>
      </w:r>
    </w:p>
    <w:p>
      <w:pPr>
        <w:pStyle w:val="BodyText"/>
        <w:rPr>
          <w:rFonts w:ascii="Myriad Pro"/>
          <w:sz w:val="16"/>
        </w:rPr>
      </w:pPr>
    </w:p>
    <w:p>
      <w:pPr>
        <w:pStyle w:val="BodyText"/>
        <w:rPr>
          <w:rFonts w:ascii="Myriad Pro"/>
          <w:sz w:val="16"/>
        </w:rPr>
      </w:pPr>
    </w:p>
    <w:p>
      <w:pPr>
        <w:pStyle w:val="BodyText"/>
        <w:rPr>
          <w:rFonts w:ascii="Myriad Pro"/>
          <w:sz w:val="16"/>
        </w:rPr>
      </w:pPr>
    </w:p>
    <w:p>
      <w:pPr>
        <w:pStyle w:val="BodyText"/>
        <w:spacing w:before="7"/>
        <w:rPr>
          <w:rFonts w:ascii="Myriad Pro"/>
          <w:sz w:val="18"/>
        </w:rPr>
      </w:pPr>
    </w:p>
    <w:p>
      <w:pPr>
        <w:pStyle w:val="Heading3"/>
        <w:spacing w:line="320" w:lineRule="exact"/>
        <w:ind w:left="133" w:right="2945"/>
        <w:rPr>
          <w:b/>
        </w:rPr>
      </w:pPr>
      <w:bookmarkStart w:name="_TOC_250001" w:id="14"/>
      <w:bookmarkEnd w:id="14"/>
      <w:r>
        <w:rPr>
          <w:b/>
          <w:color w:val="231F20"/>
        </w:rPr>
        <w:t>Fiche de cours du formateur – Légiférer pour les droits relatifs au handicap, Session 2</w:t>
      </w:r>
    </w:p>
    <w:p>
      <w:pPr>
        <w:pStyle w:val="BodyText"/>
        <w:spacing w:before="7"/>
        <w:rPr>
          <w:b/>
          <w:sz w:val="10"/>
        </w:rPr>
      </w:pPr>
    </w:p>
    <w:tbl>
      <w:tblPr>
        <w:tblW w:w="0" w:type="auto"/>
        <w:jc w:val="left"/>
        <w:tblInd w:w="118" w:type="dxa"/>
        <w:tblBorders>
          <w:top w:val="single" w:sz="4" w:space="0" w:color="FDB714"/>
          <w:left w:val="single" w:sz="4" w:space="0" w:color="FDB714"/>
          <w:bottom w:val="single" w:sz="4" w:space="0" w:color="FDB714"/>
          <w:right w:val="single" w:sz="4" w:space="0" w:color="FDB714"/>
          <w:insideH w:val="single" w:sz="4" w:space="0" w:color="FDB714"/>
          <w:insideV w:val="single" w:sz="4" w:space="0" w:color="FDB714"/>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FDB714"/>
              <w:left w:val="nil"/>
              <w:right w:val="single" w:sz="8" w:space="0" w:color="FDB714"/>
            </w:tcBorders>
          </w:tcPr>
          <w:p>
            <w:pPr/>
          </w:p>
        </w:tc>
        <w:tc>
          <w:tcPr>
            <w:tcW w:w="1389" w:type="dxa"/>
            <w:tcBorders>
              <w:top w:val="single" w:sz="12" w:space="0" w:color="FDB714"/>
              <w:left w:val="single" w:sz="8" w:space="0" w:color="FDB714"/>
              <w:right w:val="single" w:sz="8" w:space="0" w:color="FDB714"/>
            </w:tcBorders>
            <w:shd w:val="clear" w:color="auto" w:fill="FFF5E4"/>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FDB714"/>
              <w:left w:val="single" w:sz="8" w:space="0" w:color="FDB714"/>
              <w:right w:val="nil"/>
            </w:tcBorders>
            <w:shd w:val="clear" w:color="auto" w:fill="FFF5E4"/>
          </w:tcPr>
          <w:p>
            <w:pPr>
              <w:pStyle w:val="TableParagraph"/>
              <w:spacing w:before="58"/>
              <w:ind w:right="102"/>
              <w:rPr>
                <w:sz w:val="20"/>
              </w:rPr>
            </w:pPr>
            <w:r>
              <w:rPr>
                <w:color w:val="231F20"/>
                <w:sz w:val="20"/>
              </w:rPr>
              <w:t>Consulter le résumé et les principaux enseignements.</w:t>
            </w:r>
          </w:p>
        </w:tc>
      </w:tr>
      <w:tr>
        <w:trPr>
          <w:trHeight w:val="1003" w:hRule="exact"/>
        </w:trPr>
        <w:tc>
          <w:tcPr>
            <w:tcW w:w="1134" w:type="dxa"/>
            <w:tcBorders>
              <w:left w:val="nil"/>
              <w:right w:val="single" w:sz="8" w:space="0" w:color="FDB714"/>
            </w:tcBorders>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Objectifs</w:t>
            </w:r>
          </w:p>
        </w:tc>
        <w:tc>
          <w:tcPr>
            <w:tcW w:w="5357" w:type="dxa"/>
            <w:tcBorders>
              <w:left w:val="single" w:sz="8" w:space="0" w:color="FDB714"/>
              <w:right w:val="nil"/>
            </w:tcBorders>
            <w:shd w:val="clear" w:color="auto" w:fill="FFF5E4"/>
          </w:tcPr>
          <w:p>
            <w:pPr>
              <w:pStyle w:val="TableParagraph"/>
              <w:spacing w:line="220" w:lineRule="exact" w:before="49"/>
              <w:ind w:right="226"/>
              <w:rPr>
                <w:sz w:val="20"/>
              </w:rPr>
            </w:pPr>
            <w:r>
              <w:rPr>
                <w:color w:val="231F20"/>
                <w:sz w:val="20"/>
              </w:rPr>
              <w:t>À la fin de cette session, les participants auront réfléchi à la manière de s'assurer de la participation pleine et effective des personnes handicapées et de leurs organisations représentatives à la réforme de la loi.</w:t>
            </w:r>
          </w:p>
        </w:tc>
      </w:tr>
      <w:tr>
        <w:trPr>
          <w:trHeight w:val="977"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9"/>
              <w:rPr>
                <w:b/>
                <w:sz w:val="20"/>
              </w:rPr>
            </w:pPr>
            <w:r>
              <w:rPr>
                <w:b/>
                <w:color w:val="231F20"/>
                <w:sz w:val="20"/>
              </w:rPr>
              <w:t>Organisation de la classe</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Petits îlots pour travail en petits groupes.</w:t>
            </w:r>
          </w:p>
        </w:tc>
      </w:tr>
      <w:tr>
        <w:trPr>
          <w:trHeight w:val="996"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Activité</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1 h. – Travail en groupes sur l’activité d’apprentissage 2.F.</w:t>
            </w:r>
          </w:p>
          <w:p>
            <w:pPr>
              <w:pStyle w:val="TableParagraph"/>
              <w:spacing w:before="36"/>
              <w:ind w:right="102"/>
              <w:rPr>
                <w:sz w:val="20"/>
              </w:rPr>
            </w:pPr>
            <w:r>
              <w:rPr>
                <w:color w:val="231F20"/>
                <w:sz w:val="20"/>
              </w:rPr>
              <w:t>30 min. – Retour d’expérience et discussion en classe entière</w:t>
            </w:r>
          </w:p>
        </w:tc>
      </w:tr>
      <w:tr>
        <w:trPr>
          <w:trHeight w:val="1077"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before="27"/>
              <w:ind w:right="415"/>
              <w:rPr>
                <w:b/>
                <w:sz w:val="20"/>
              </w:rPr>
            </w:pPr>
            <w:r>
              <w:rPr>
                <w:b/>
                <w:color w:val="231F20"/>
                <w:sz w:val="20"/>
              </w:rPr>
              <w:t>Durée</w:t>
            </w:r>
          </w:p>
        </w:tc>
        <w:tc>
          <w:tcPr>
            <w:tcW w:w="5357" w:type="dxa"/>
            <w:tcBorders>
              <w:left w:val="single" w:sz="8" w:space="0" w:color="FDB714"/>
              <w:right w:val="nil"/>
            </w:tcBorders>
            <w:shd w:val="clear" w:color="auto" w:fill="FFF5E4"/>
          </w:tcPr>
          <w:p>
            <w:pPr>
              <w:pStyle w:val="TableParagraph"/>
              <w:spacing w:before="34"/>
              <w:ind w:right="102"/>
              <w:rPr>
                <w:sz w:val="20"/>
              </w:rPr>
            </w:pPr>
            <w:r>
              <w:rPr>
                <w:color w:val="231F20"/>
                <w:sz w:val="20"/>
              </w:rPr>
              <w:t>90 minutes</w:t>
            </w:r>
          </w:p>
        </w:tc>
      </w:tr>
      <w:tr>
        <w:trPr>
          <w:trHeight w:val="2380" w:hRule="exact"/>
        </w:trPr>
        <w:tc>
          <w:tcPr>
            <w:tcW w:w="1134" w:type="dxa"/>
            <w:tcBorders>
              <w:left w:val="nil"/>
              <w:right w:val="single" w:sz="8" w:space="0" w:color="FDB714"/>
            </w:tcBorders>
            <w:shd w:val="clear" w:color="auto" w:fill="FFF5E4"/>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9"/>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FDB714"/>
              <w:right w:val="nil"/>
            </w:tcBorders>
            <w:shd w:val="clear" w:color="auto" w:fill="FFF5E4"/>
          </w:tcPr>
          <w:p>
            <w:pPr>
              <w:pStyle w:val="TableParagraph"/>
              <w:spacing w:line="220" w:lineRule="exact" w:before="49"/>
              <w:ind w:right="127"/>
              <w:rPr>
                <w:sz w:val="20"/>
              </w:rPr>
            </w:pPr>
            <w:r>
              <w:rPr>
                <w:color w:val="231F20"/>
                <w:sz w:val="20"/>
              </w:rPr>
              <w:t>Travail en petits groupes pour préparer un plan en faveur de la participation pleine et effective des personnes handicapées dans le développement d’une loi, suivi de présentations en classe entière.</w:t>
            </w:r>
          </w:p>
          <w:p>
            <w:pPr>
              <w:pStyle w:val="TableParagraph"/>
              <w:spacing w:line="220" w:lineRule="exact" w:before="56"/>
              <w:ind w:right="102"/>
              <w:rPr>
                <w:sz w:val="20"/>
              </w:rPr>
            </w:pPr>
            <w:r>
              <w:rPr>
                <w:color w:val="231F20"/>
                <w:sz w:val="20"/>
              </w:rPr>
              <w:t>Si vous avez un exemple concret de pays ayant lancé un processus d’élaboration d’une nouvelle loi, vous pouvez vous en inspirer pour cet exercice afin de le rendre plus réaliste et de donner plus d'informations, mais ne surchargez pas les participants : discutez que ce qui pourrait être réalisé est plus important que les données fournies.</w:t>
            </w:r>
          </w:p>
        </w:tc>
      </w:tr>
      <w:tr>
        <w:trPr>
          <w:trHeight w:val="977" w:hRule="exact"/>
        </w:trPr>
        <w:tc>
          <w:tcPr>
            <w:tcW w:w="1134" w:type="dxa"/>
            <w:tcBorders>
              <w:left w:val="nil"/>
              <w:right w:val="single" w:sz="8" w:space="0" w:color="FDB714"/>
            </w:tcBorders>
          </w:tcPr>
          <w:p>
            <w:pPr/>
          </w:p>
        </w:tc>
        <w:tc>
          <w:tcPr>
            <w:tcW w:w="1389" w:type="dxa"/>
            <w:tcBorders>
              <w:left w:val="single" w:sz="8" w:space="0" w:color="FDB714"/>
              <w:right w:val="single" w:sz="8" w:space="0" w:color="FDB714"/>
            </w:tcBorders>
            <w:shd w:val="clear" w:color="auto" w:fill="FFF5E4"/>
          </w:tcPr>
          <w:p>
            <w:pPr>
              <w:pStyle w:val="TableParagraph"/>
              <w:spacing w:line="220" w:lineRule="exact" w:before="49"/>
              <w:ind w:right="415"/>
              <w:rPr>
                <w:b/>
                <w:sz w:val="20"/>
              </w:rPr>
            </w:pPr>
            <w:r>
              <w:rPr>
                <w:b/>
                <w:color w:val="231F20"/>
                <w:sz w:val="20"/>
              </w:rPr>
              <w:t>Fiches de travail</w:t>
            </w:r>
          </w:p>
        </w:tc>
        <w:tc>
          <w:tcPr>
            <w:tcW w:w="5357" w:type="dxa"/>
            <w:tcBorders>
              <w:left w:val="single" w:sz="8" w:space="0" w:color="FDB714"/>
              <w:right w:val="nil"/>
            </w:tcBorders>
            <w:shd w:val="clear" w:color="auto" w:fill="FFF5E4"/>
          </w:tcPr>
          <w:p>
            <w:pPr>
              <w:pStyle w:val="TableParagraph"/>
              <w:spacing w:line="220" w:lineRule="exact" w:before="49"/>
              <w:ind w:right="102"/>
              <w:rPr>
                <w:sz w:val="20"/>
              </w:rPr>
            </w:pPr>
            <w:r>
              <w:rPr>
                <w:color w:val="231F20"/>
                <w:sz w:val="20"/>
              </w:rPr>
              <w:t>Activité d’apprentissage 2.F : Participation et inclusion pleines et effectives dans la réforme de la loi</w:t>
            </w:r>
          </w:p>
        </w:tc>
      </w:tr>
      <w:tr>
        <w:trPr>
          <w:trHeight w:val="1020" w:hRule="exact"/>
        </w:trPr>
        <w:tc>
          <w:tcPr>
            <w:tcW w:w="1134" w:type="dxa"/>
            <w:tcBorders>
              <w:left w:val="nil"/>
              <w:bottom w:val="single" w:sz="12" w:space="0" w:color="FDB714"/>
              <w:right w:val="single" w:sz="8" w:space="0" w:color="FDB714"/>
            </w:tcBorders>
          </w:tcPr>
          <w:p>
            <w:pPr/>
          </w:p>
        </w:tc>
        <w:tc>
          <w:tcPr>
            <w:tcW w:w="1389" w:type="dxa"/>
            <w:tcBorders>
              <w:left w:val="single" w:sz="8" w:space="0" w:color="FDB714"/>
              <w:bottom w:val="single" w:sz="12" w:space="0" w:color="FDB714"/>
              <w:right w:val="single" w:sz="8" w:space="0" w:color="FDB714"/>
            </w:tcBorders>
            <w:shd w:val="clear" w:color="auto" w:fill="FFF5E4"/>
          </w:tcPr>
          <w:p>
            <w:pPr>
              <w:pStyle w:val="TableParagraph"/>
              <w:spacing w:before="27"/>
              <w:ind w:right="415"/>
              <w:rPr>
                <w:b/>
                <w:sz w:val="20"/>
              </w:rPr>
            </w:pPr>
            <w:r>
              <w:rPr>
                <w:b/>
                <w:color w:val="231F20"/>
                <w:sz w:val="20"/>
              </w:rPr>
              <w:t>Supports</w:t>
            </w:r>
          </w:p>
        </w:tc>
        <w:tc>
          <w:tcPr>
            <w:tcW w:w="5357" w:type="dxa"/>
            <w:tcBorders>
              <w:left w:val="single" w:sz="8" w:space="0" w:color="FDB714"/>
              <w:bottom w:val="single" w:sz="12" w:space="0" w:color="FDB714"/>
              <w:right w:val="nil"/>
            </w:tcBorders>
            <w:shd w:val="clear" w:color="auto" w:fill="FFF5E4"/>
          </w:tcPr>
          <w:p>
            <w:pPr>
              <w:pStyle w:val="TableParagraph"/>
              <w:spacing w:before="34"/>
              <w:ind w:right="102"/>
              <w:rPr>
                <w:sz w:val="20"/>
              </w:rPr>
            </w:pPr>
            <w:r>
              <w:rPr>
                <w:color w:val="231F20"/>
                <w:sz w:val="20"/>
              </w:rPr>
              <w:t>Support : Modèle de diagramme de Gantt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after="0"/>
        <w:sectPr>
          <w:pgSz w:w="11910" w:h="16840"/>
          <w:pgMar w:top="360" w:bottom="280" w:left="1000" w:right="0"/>
        </w:sectPr>
      </w:pPr>
    </w:p>
    <w:p>
      <w:pPr>
        <w:spacing w:before="101"/>
        <w:ind w:left="4808" w:right="-17" w:firstLine="0"/>
        <w:jc w:val="left"/>
        <w:rPr>
          <w:rFonts w:ascii="Myriad Pro"/>
          <w:sz w:val="16"/>
        </w:rPr>
      </w:pPr>
      <w:r>
        <w:rPr/>
        <w:pict>
          <v:group style="position:absolute;margin-left:0pt;margin-top:0pt;width:595.3pt;height:841.9pt;mso-position-horizontal-relative:page;mso-position-vertical-relative:page;z-index:-66304" coordorigin="0,0" coordsize="11906,16838">
            <v:rect style="position:absolute;left:0;top:0;width:9241;height:16838" filled="true" fillcolor="#fff5e4" stroked="false">
              <v:fill type="solid"/>
            </v:rect>
            <v:shape style="position:absolute;left:9243;top:0;width:2663;height:16838" type="#_x0000_t75" stroked="false">
              <v:imagedata r:id="rId25" o:title=""/>
            </v:shape>
            <v:shape style="position:absolute;left:11509;top:0;width:397;height:16838" coordorigin="11509,0" coordsize="397,16838" path="m11906,16465l11509,16465,11509,16838,11906,16838,11906,16465m11906,0l11509,0,11509,16142,11906,16142,11906,0e" filled="true" fillcolor="#fdb714" stroked="false">
              <v:path arrowok="t"/>
              <v:fill type="solid"/>
            </v:shape>
            <v:shape style="position:absolute;left:1149;top:3315;width:822;height:822" coordorigin="1149,3315" coordsize="822,822" path="m1560,3315l1486,3321,1416,3341,1352,3371,1295,3411,1246,3461,1205,3518,1175,3582,1156,3652,1149,3726,1156,3800,1175,3869,1205,3933,1246,3990,1295,4040,1352,4081,1416,4111,1486,4130,1560,4137,1634,4130,1703,4111,1767,4081,1825,4040,1874,3990,1915,3933,1945,3869,1964,3800,1971,3726,1964,3652,1945,3582,1915,3518,1874,3461,1825,3411,1767,3371,1703,3341,1634,3321,1560,3315xe" filled="true" fillcolor="#fdb714" stroked="false">
              <v:path arrowok="t"/>
              <v:fill type="solid"/>
            </v:shape>
            <v:shape style="position:absolute;left:1212;top:3377;width:697;height:697" coordorigin="1212,3377" coordsize="697,697" path="m1560,3377l1490,3384,1424,3405,1365,3437,1314,3479,1271,3531,1239,3590,1219,3656,1212,3726,1219,3796,1239,3861,1271,3920,1314,3972,1365,4015,1424,4047,1490,4067,1560,4074,1630,4067,1695,4047,1755,4015,1756,4014,1560,4014,1483,4003,1414,3974,1356,3929,1311,3871,1282,3802,1272,3726,1282,3649,1311,3580,1356,3522,1414,3477,1483,3448,1560,3438,1756,3438,1755,3437,1695,3405,1630,3384,1560,3377xm1756,3438l1560,3438,1636,3448,1705,3477,1764,3522,1809,3580,1838,3649,1848,3726,1838,3802,1809,3871,1764,3929,1705,3974,1636,4003,1560,4014,1756,4014,1806,3972,1849,3920,1881,3861,1901,3796,1908,3726,1901,3656,1881,3590,1849,3531,1806,3479,1756,3438xm1560,3499l1488,3510,1426,3543,1377,3592,1345,3654,1333,3726,1345,3797,1377,3860,1426,3909,1488,3941,1560,3953,1632,3941,1694,3909,1713,3890,1560,3890,1496,3877,1444,3842,1409,3790,1396,3726,1409,3662,1444,3610,1496,3575,1560,3562,1713,3562,1694,3543,1632,3510,1560,3499xm1713,3562l1560,3562,1624,3575,1676,3610,1711,3662,1724,3726,1711,3790,1676,3842,1624,3877,1560,3890,1713,3890,1743,3860,1775,3797,1787,3726,1775,3654,1743,3592,1713,3562xm1560,3632l1523,3640,1494,3660,1474,3689,1466,3726,1474,3762,1494,3792,1523,3812,1560,3819,1596,3812,1626,3792,1646,3762,1653,3726,1646,3689,1626,3660,1596,3640,1560,3632xe" filled="true" fillcolor="#ffffff" stroked="false">
              <v:path arrowok="t"/>
              <v:fill type="solid"/>
            </v:shape>
            <v:shape style="position:absolute;left:1146;top:4321;width:822;height:822" type="#_x0000_t75" stroked="false">
              <v:imagedata r:id="rId32" o:title=""/>
            </v:shape>
            <v:shape style="position:absolute;left:1143;top:6294;width:815;height:937" coordorigin="1143,6294" coordsize="815,937" path="m1594,6372l1508,6372,1508,6418,1433,6433,1365,6461,1303,6500,1249,6550,1205,6608,1172,6674,1151,6746,1143,6823,1150,6896,1169,6965,1199,7028,1239,7085,1288,7134,1345,7175,1408,7205,1477,7224,1551,7230,1624,7224,1693,7205,1756,7175,1792,7149,1551,7149,1476,7141,1407,7116,1346,7078,1296,7027,1257,6967,1233,6898,1224,6823,1233,6749,1233,6748,1257,6679,1296,6619,1346,6568,1407,6530,1476,6505,1551,6497,1855,6497,1882,6471,1755,6471,1718,6451,1678,6436,1637,6425,1593,6418,1594,6372xm1855,6497l1551,6497,1625,6505,1694,6530,1755,6568,1805,6619,1844,6679,1868,6748,1869,6751,1877,6823,1868,6898,1844,6967,1805,7027,1755,7078,1694,7116,1625,7141,1551,7149,1792,7149,1813,7134,1862,7085,1902,7028,1932,6965,1951,6896,1958,6823,1949,6737,1922,6657,1881,6585,1827,6524,1855,6497xm1559,6748l1552,6748,1519,6755,1491,6773,1473,6800,1466,6833,1473,6867,1491,6894,1519,6912,1552,6919,1585,6912,1612,6894,1630,6867,1637,6833,1637,6822,1635,6810,1630,6800,1663,6751,1573,6751,1566,6749,1559,6748xm1748,6623l1573,6751,1663,6751,1748,6623xm1822,6411l1755,6471,1882,6471,1884,6469,1822,6411xm1644,6294l1453,6294,1453,6372,1644,6372,1644,6294xe" filled="true" fillcolor="#fdb714" stroked="false">
              <v:path arrowok="t"/>
              <v:fill type="solid"/>
            </v:shape>
            <v:shape style="position:absolute;left:1145;top:7379;width:822;height:822" coordorigin="1145,7379" coordsize="822,822" path="m1556,7379l1482,7385,1412,7404,1348,7435,1291,7475,1241,7525,1201,7582,1170,7646,1151,7716,1145,7790,1151,7863,1170,7933,1201,7997,1241,8054,1291,8104,1348,8144,1412,8175,1482,8194,1556,8200,1629,8194,1699,8175,1763,8144,1820,8104,1870,8054,1910,7997,1941,7933,1960,7863,1966,7790,1960,7716,1941,7646,1910,7582,1870,7525,1820,7475,1763,7435,1699,7404,1629,7385,1556,7379xe" filled="true" fillcolor="#fdb714" stroked="false">
              <v:path arrowok="t"/>
              <v:fill type="solid"/>
            </v:shape>
            <v:shape style="position:absolute;left:1245;top:7444;width:654;height:587" coordorigin="1245,7444" coordsize="654,587" path="m1684,7444l1653,7462,1650,7465,1650,7466,1647,7469,1561,7568,1545,7588,1535,7599,1529,7604,1526,7606,1513,7608,1509,7609,1479,7617,1449,7626,1419,7638,1391,7651,1375,7659,1373,7664,1362,7674,1346,7689,1329,7708,1313,7728,1300,7745,1284,7768,1265,7797,1251,7826,1245,7849,1245,7862,1247,7874,1250,7886,1256,7897,1262,7906,1272,7917,1283,7920,1275,7935,1265,7956,1257,7978,1253,7997,1256,8010,1262,8021,1271,8028,1283,8031,1300,8027,1318,8016,1351,7991,1357,7987,1367,7975,1423,7975,1432,7973,1464,7959,1501,7945,1547,7939,1775,7939,1764,7934,1387,7934,1382,7928,1379,7922,1387,7909,1406,7896,1427,7885,1441,7879,1444,7877,1304,7877,1291,7874,1290,7856,1295,7844,1315,7806,1348,7760,1383,7719,1411,7694,1414,7692,1416,7692,1425,7687,1448,7677,1462,7671,1474,7668,1538,7668,1539,7666,1539,7666,1542,7663,1581,7618,1584,7615,1583,7615,1586,7612,1650,7537,1654,7533,1656,7530,1660,7526,1688,7494,1698,7493,1767,7493,1750,7472,1718,7451,1684,7444xm1775,7939l1547,7939,1575,7939,1600,7940,1624,7942,1652,7945,1675,7948,1688,7951,1701,7956,1721,7966,1819,8013,1838,8021,1851,7972,1836,7967,1811,7956,1781,7942,1775,7939xm1423,7975l1367,7975,1371,7976,1388,7979,1405,7979,1423,7975xm1557,7891l1521,7893,1494,7897,1470,7906,1433,7920,1429,7923,1408,7932,1412,7934,1764,7934,1754,7929,1702,7907,1685,7904,1641,7897,1624,7895,1609,7893,1591,7892,1573,7892,1557,7891xm1472,7672l1469,7675,1454,7692,1429,7720,1408,7745,1386,7770,1343,7821,1333,7835,1320,7853,1310,7870,1304,7877,1444,7877,1463,7868,1483,7857,1375,7857,1384,7846,1394,7834,1404,7823,1414,7812,1445,7775,1446,7774,1473,7743,1477,7739,1478,7737,1485,7730,1485,7730,1489,7724,1490,7723,1495,7718,1494,7718,1499,7713,1500,7712,1502,7709,1533,7673,1472,7673,1472,7672xm1767,7493l1698,7493,1715,7506,1724,7513,1726,7516,1732,7527,1663,7607,1635,7638,1620,7655,1608,7670,1543,7745,1541,7747,1540,7748,1535,7753,1535,7754,1529,7761,1527,7764,1518,7772,1517,7775,1508,7784,1507,7786,1497,7793,1494,7796,1488,7799,1433,7829,1398,7847,1382,7856,1375,7857,1483,7857,1485,7857,1507,7845,1526,7831,1534,7826,1538,7823,1547,7813,1548,7811,1555,7803,1556,7801,1559,7798,1570,7786,1583,7770,1595,7757,1605,7745,1611,7739,1616,7733,1624,7723,1626,7722,1644,7700,1648,7697,1649,7695,1651,7691,1727,7691,1685,7653,1704,7632,1707,7628,1707,7628,1713,7621,1713,7620,1718,7615,1742,7588,1748,7580,1757,7570,1766,7559,1773,7551,1779,7538,1779,7524,1776,7510,1770,7497,1767,7493xm1727,7691l1651,7691,1657,7692,1657,7693,1665,7701,1666,7701,1670,7705,1747,7776,1886,7818,1899,7770,1771,7731,1727,7691xm1485,7730l1485,7730,1485,7730,1485,7730xm1538,7668l1474,7668,1472,7673,1533,7673,1537,7669,1538,7668xm1584,7615l1583,7615,1584,7615,1584,7615xe" filled="true" fillcolor="#ffffff" stroked="false">
              <v:path arrowok="t"/>
              <v:fill type="solid"/>
            </v:shape>
            <v:shape style="position:absolute;left:1139;top:9718;width:841;height:841" coordorigin="1139,9718" coordsize="841,841" path="m1559,9718l1484,9725,1413,9745,1347,9776,1288,9817,1238,9868,1196,9927,1165,9992,1146,10063,1139,10139,1146,10214,1165,10286,1196,10351,1238,10410,1288,10460,1347,10502,1413,10533,1484,10552,1559,10559,1635,10552,1706,10533,1771,10502,1830,10460,1881,10410,1922,10351,1953,10286,1973,10214,1980,10139,1973,10063,1953,9992,1922,9927,1881,9868,1830,9817,1771,9776,1706,9745,1635,9725,1559,9718xe" filled="true" fillcolor="#fdb714" stroked="false">
              <v:path arrowok="t"/>
              <v:fill type="solid"/>
            </v:shape>
            <v:shape style="position:absolute;left:1275;top:9834;width:522;height:311" coordorigin="1275,9834" coordsize="522,311" path="m1764,9921l1620,9921,1621,9925,1618,9926,1597,9941,1580,9952,1567,9961,1554,9969,1542,9976,1528,9984,1516,9990,1504,9997,1490,10004,1456,10020,1446,10025,1434,10030,1410,10039,1398,10044,1386,10048,1374,10052,1361,10055,1346,10059,1333,10062,1321,10064,1296,10070,1293,10072,1279,10085,1276,10093,1275,10101,1275,10109,1279,10122,1286,10134,1297,10142,1310,10145,1331,10143,1354,10139,1376,10133,1405,10125,1413,10122,1421,10119,1447,10110,1478,10098,1507,10084,1533,10072,1605,10031,1618,10022,1630,10015,1673,9986,1739,9986,1748,9962,1764,9921xm1739,9986l1673,9986,1678,9989,1681,9994,1685,9999,1708,10025,1711,10029,1716,10036,1719,10038,1729,10012,1739,9986xm1797,9834l1766,9839,1596,9866,1584,9869,1576,9870,1577,9874,1595,9893,1599,9898,1616,9918,1619,9921,1620,9921,1764,9921,1767,9912,1782,9876,1788,9859,1794,9843,1797,9834xe" filled="true" fillcolor="#ffffff" stroked="false">
              <v:path arrowok="t"/>
              <v:fill type="solid"/>
            </v:shape>
            <v:shape style="position:absolute;left:1645;top:10057;width:127;height:368" type="#_x0000_t75" stroked="false">
              <v:imagedata r:id="rId27" o:title=""/>
            </v:shape>
            <v:shape style="position:absolute;left:1475;top:10139;width:127;height:286" type="#_x0000_t75" stroked="false">
              <v:imagedata r:id="rId28" o:title=""/>
            </v:shape>
            <v:shape style="position:absolute;left:1306;top:10221;width:127;height:205" type="#_x0000_t75" stroked="false">
              <v:imagedata r:id="rId29" o:title=""/>
            </v:shape>
            <v:shape style="position:absolute;left:1147;top:10726;width:822;height:822" coordorigin="1147,10726" coordsize="822,822" path="m1558,10726l1484,10732,1415,10752,1351,10782,1294,10822,1244,10872,1203,10929,1173,10993,1154,11063,1147,11137,1154,11211,1173,11280,1203,11344,1244,11401,1294,11451,1351,11492,1415,11522,1484,11541,1558,11548,1632,11541,1702,11522,1766,11492,1823,11451,1873,11401,1913,11344,1943,11280,1963,11211,1969,11137,1963,11063,1943,10993,1913,10929,1873,10872,1823,10822,1766,10782,1702,10752,1632,10732,1558,10726xe" filled="true" fillcolor="#fdb714" stroked="false">
              <v:path arrowok="t"/>
              <v:fill type="solid"/>
            </v:shape>
            <v:line style="position:absolute" from="1454,10972" to="1672,10972" stroked="true" strokeweight="1.827pt" strokecolor="#ffffff"/>
            <v:line style="position:absolute" from="1454,11151" to="1672,11151" stroked="true" strokeweight="1.824pt" strokecolor="#ffffff"/>
            <v:line style="position:absolute" from="1454,11062" to="1672,11062" stroked="true" strokeweight="1.823pt" strokecolor="#ffffff"/>
            <v:line style="position:absolute" from="1454,11241" to="1672,11241" stroked="true" strokeweight="1.846pt" strokecolor="#ffffff"/>
            <v:shape style="position:absolute;left:1353;top:10855;width:403;height:518" coordorigin="1353,10855" coordsize="403,518" path="m1683,10855l1425,10855,1410,10856,1397,10861,1384,10867,1374,10876,1365,10887,1358,10899,1354,10912,1353,10927,1353,11300,1354,11315,1358,11328,1365,11341,1374,11351,1374,11351,1384,11360,1397,11367,1410,11371,1425,11372,1683,11372,1698,11371,1711,11367,1723,11360,1734,11351,1743,11341,1746,11334,1415,11334,1407,11330,1401,11324,1401,11324,1395,11318,1391,11310,1391,10918,1395,10909,1407,10897,1415,10894,1746,10894,1743,10887,1734,10876,1734,10876,1723,10867,1711,10861,1698,10856,1683,10855xm1746,10894l1692,10894,1701,10897,1707,10903,1707,10903,1713,10909,1716,10918,1716,11310,1713,11318,1701,11330,1692,11334,1746,11334,1749,11328,1754,11315,1755,11300,1755,10927,1754,10912,1749,10899,1746,10894xm1401,11324l1401,11324,1401,11324,1401,11324xe" filled="true" fillcolor="#ffffff" stroked="false">
              <v:path arrowok="t"/>
              <v:fill type="solid"/>
            </v:shape>
            <v:shape style="position:absolute;left:-19;top:16526;width:684;height:312" coordorigin="-19,16526" coordsize="684,312" path="m1236,11370l1323,11370,1323,11313,1323,11310,1331,11306,1339,11297,1343,11292,1348,11284,1351,11276,1359,11254,1362,11237,1369,11216,1389,11182,1415,11142,1422,11133,1428,11122,1431,11109,1427,11097,1415,11089,1404,11091,1394,11097,1385,11105,1373,11117,1361,11130,1349,11143,1335,11154,1329,11158,1320,11163,1309,11162,1309,11143,1318,11128,1328,11119,1333,11113,1333,11059,1317,11064,1298,11076,1280,11090,1264,11102,1240,11119,1225,11131,1219,11146,1217,11168,1217,11197,1217,11241,1217,11284,1218,11309,1236,11370xm1882,11370l1795,11370,1795,11313,1794,11310,1786,11306,1778,11297,1774,11292,1769,11284,1766,11276,1758,11254,1755,11237,1748,11216,1729,11182,1702,11142,1696,11133,1689,11122,1686,11109,1691,11097,1702,11089,1713,11091,1724,11097,1733,11105,1745,11117,1757,11130,1769,11143,1782,11154,1788,11158,1797,11163,1808,11162,1808,11143,1800,11128,1789,11119,1784,11113,1784,11059,1801,11064,1819,11076,1837,11090,1853,11102,1877,11119,1892,11131,1899,11146,1900,11168,1900,11197,1901,11241,1900,11284,1900,11309,1882,11370xe" filled="false" stroked="true" strokeweight=".966pt" strokecolor="#fdb714">
              <v:path arrowok="t"/>
            </v:shape>
            <v:shape style="position:absolute;left:1217;top:11059;width:215;height:312" coordorigin="1217,11059" coordsize="215,312" path="m1333,11059l1317,11064,1298,11076,1264,11102,1240,11119,1225,11131,1219,11146,1217,11168,1217,11284,1218,11309,1236,11370,1323,11370,1323,11313,1323,11310,1331,11306,1343,11292,1348,11284,1351,11276,1359,11254,1362,11237,1369,11216,1389,11182,1402,11163,1320,11163,1309,11162,1309,11154,1309,11142,1318,11128,1328,11119,1333,11113,1333,11059xm1415,11089l1404,11091,1394,11097,1385,11105,1373,11117,1361,11130,1349,11143,1335,11154,1329,11158,1320,11163,1402,11163,1415,11142,1422,11133,1428,11122,1431,11109,1427,11097,1415,11089xe" filled="true" fillcolor="#ffffff" stroked="false">
              <v:path arrowok="t"/>
              <v:fill type="solid"/>
            </v:shape>
            <v:shape style="position:absolute;left:1686;top:11059;width:215;height:312" coordorigin="1686,11059" coordsize="215,312" path="m1702,11089l1691,11097,1686,11109,1689,11122,1696,11133,1703,11143,1729,11182,1748,11216,1755,11237,1758,11254,1766,11276,1769,11284,1774,11292,1786,11306,1794,11310,1795,11313,1795,11370,1882,11370,1900,11309,1900,11284,1900,11168,1900,11163,1797,11163,1788,11158,1782,11154,1769,11143,1757,11130,1745,11117,1733,11105,1724,11097,1713,11091,1702,11089xm1784,11059l1784,11113,1789,11119,1800,11128,1808,11142,1808,11154,1808,11162,1797,11163,1900,11163,1899,11146,1892,11131,1877,11119,1853,11102,1819,11076,1801,11064,1784,11059xe" filled="true" fillcolor="#ffffff" stroked="false">
              <v:path arrowok="t"/>
              <v:fill type="solid"/>
            </v:shape>
            <v:shape style="position:absolute;left:1144;top:5293;width:822;height:822" type="#_x0000_t75" stroked="false">
              <v:imagedata r:id="rId33" o:title=""/>
            </v:shape>
            <v:shape style="position:absolute;left:1291;top:5343;width:310;height:287" type="#_x0000_t75" stroked="false">
              <v:imagedata r:id="rId34" o:title=""/>
            </v:shape>
            <v:shape style="position:absolute;left:1147;top:2319;width:822;height:822" coordorigin="1147,2319" coordsize="822,822" path="m1558,2319l1484,2325,1415,2344,1351,2375,1294,2415,1244,2465,1203,2522,1173,2586,1154,2656,1147,2730,1154,2804,1173,2873,1203,2937,1244,2994,1294,3044,1351,3084,1415,3115,1484,3134,1558,3141,1632,3134,1702,3115,1766,3084,1823,3044,1873,2994,1913,2937,1943,2873,1963,2804,1969,2730,1963,2656,1943,2586,1913,2522,1873,2465,1823,2415,1766,2375,1702,2344,1632,2325,1558,2319xe" filled="true" fillcolor="#fdb714" stroked="false">
              <v:path arrowok="t"/>
              <v:fill type="solid"/>
            </v:shape>
            <v:shape style="position:absolute;left:1259;top:2430;width:599;height:556" coordorigin="1259,2430" coordsize="599,556" path="m1678,2430l1660,2431,1643,2435,1627,2441,1612,2447,1600,2453,1589,2460,1579,2468,1569,2477,1564,2482,1556,2491,1552,2495,1545,2505,1533,2527,1523,2550,1518,2575,1516,2602,1517,2625,1520,2635,1517,2641,1505,2653,1264,2894,1260,2895,1259,2903,1259,2946,1276,2961,1284,2968,1299,2985,1386,2985,1394,2979,1409,2965,1424,2950,1430,2941,1302,2941,1302,2901,1301,2901,1302,2897,1306,2897,1398,2804,1458,2744,1496,2706,1516,2688,1834,2688,1842,2672,1850,2653,1855,2634,1857,2614,1857,2600,1737,2600,1712,2597,1703,2591,1694,2582,1689,2571,1686,2558,1696,2531,1720,2517,1836,2517,1825,2500,1811,2483,1796,2469,1779,2457,1760,2446,1740,2438,1721,2433,1701,2431,1678,2430xm1516,2728l1332,2912,1317,2928,1309,2936,1302,2941,1430,2941,1430,2900,1473,2900,1473,2857,1516,2857,1516,2815,1600,2815,1609,2808,1625,2792,1640,2776,1648,2768,1720,2768,1735,2766,1774,2748,1795,2732,1516,2732,1516,2728xm1302,2901l1301,2901,1302,2901,1302,2901xm1306,2897l1302,2897,1302,2901,1306,2897xm1720,2768l1648,2768,1660,2769,1668,2770,1677,2771,1694,2772,1720,2768xm1800,2728l1516,2728,1516,2732,1795,2732,1800,2728xm1834,2688l1516,2688,1516,2728,1516,2728,1800,2728,1807,2722,1833,2690,1834,2688xm1836,2517l1720,2517,1747,2519,1768,2541,1771,2566,1759,2588,1737,2600,1857,2600,1857,2586,1854,2563,1847,2541,1838,2519,1836,2517xe" filled="true" fillcolor="#ffffff" stroked="false">
              <v:path arrowok="t"/>
              <v:fill type="solid"/>
            </v:shape>
            <w10:wrap type="none"/>
          </v:group>
        </w:pict>
      </w:r>
      <w:r>
        <w:rPr>
          <w:rFonts w:ascii="Myriad Pro"/>
          <w:color w:val="6D6E71"/>
          <w:sz w:val="16"/>
        </w:rPr>
        <w:t>Module 7 - LEGISLATING FOR DISABILITY</w:t>
      </w:r>
      <w:r>
        <w:rPr>
          <w:rFonts w:ascii="Myriad Pro"/>
          <w:color w:val="6D6E71"/>
          <w:spacing w:val="-10"/>
          <w:sz w:val="16"/>
        </w:rPr>
        <w:t> </w:t>
      </w:r>
      <w:r>
        <w:rPr>
          <w:rFonts w:ascii="Myriad Pro"/>
          <w:color w:val="6D6E71"/>
          <w:sz w:val="16"/>
        </w:rPr>
        <w:t>RIGHTS</w:t>
      </w:r>
    </w:p>
    <w:p>
      <w:pPr>
        <w:pStyle w:val="Heading4"/>
        <w:tabs>
          <w:tab w:pos="907" w:val="left" w:leader="none"/>
        </w:tabs>
        <w:spacing w:before="59"/>
        <w:ind w:left="0"/>
        <w:jc w:val="right"/>
      </w:pPr>
      <w:r>
        <w:rPr/>
        <w:br w:type="column"/>
      </w:r>
      <w:r>
        <w:rPr>
          <w:color w:val="FFFFFF"/>
          <w:spacing w:val="21"/>
          <w:shd w:fill="FDB714" w:color="auto" w:val="clear"/>
        </w:rPr>
        <w:t> </w:t>
      </w:r>
      <w:r>
        <w:rPr>
          <w:color w:val="FFFFFF"/>
          <w:shd w:fill="FDB714" w:color="auto" w:val="clear"/>
        </w:rPr>
        <w:t>19</w:t>
        <w:tab/>
      </w:r>
    </w:p>
    <w:p>
      <w:pPr>
        <w:spacing w:after="0"/>
        <w:jc w:val="right"/>
        <w:sectPr>
          <w:type w:val="continuous"/>
          <w:pgSz w:w="11910" w:h="16840"/>
          <w:pgMar w:top="1600" w:bottom="280" w:left="1000" w:right="0"/>
          <w:cols w:num="2" w:equalWidth="0">
            <w:col w:w="8015" w:space="40"/>
            <w:col w:w="2855"/>
          </w:cols>
        </w:sectPr>
      </w:pPr>
    </w:p>
    <w:p>
      <w:pPr>
        <w:spacing w:before="57"/>
        <w:ind w:left="1252" w:right="281" w:firstLine="0"/>
        <w:jc w:val="left"/>
        <w:rPr>
          <w:rFonts w:ascii="Myriad Pro" w:hAnsi="Myriad Pro"/>
          <w:sz w:val="16"/>
        </w:rPr>
      </w:pPr>
      <w:r>
        <w:rPr>
          <w:rFonts w:ascii="Myriad Pro" w:hAnsi="Myriad Pro"/>
          <w:color w:val="FDB714"/>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32.7pt;mso-position-horizontal-relative:page;mso-position-vertical-relative:paragraph;z-index:3160;mso-wrap-distance-left:0;mso-wrap-distance-right:0" type="#_x0000_t202" filled="true" fillcolor="#231f20" stroked="false">
            <v:textbox inset="0,0,0,0">
              <w:txbxContent>
                <w:p>
                  <w:pPr>
                    <w:spacing w:line="254" w:lineRule="auto" w:before="32"/>
                    <w:ind w:left="2775" w:right="0" w:hanging="2502"/>
                    <w:jc w:val="left"/>
                    <w:rPr>
                      <w:rFonts w:ascii="Myriad Pro" w:hAnsi="Myriad Pro"/>
                      <w:b/>
                      <w:sz w:val="22"/>
                    </w:rPr>
                  </w:pPr>
                  <w:r>
                    <w:rPr>
                      <w:rFonts w:ascii="Myriad Pro" w:hAnsi="Myriad Pro"/>
                      <w:b/>
                      <w:color w:val="FFFFFF"/>
                      <w:sz w:val="22"/>
                    </w:rPr>
                    <w:t>Activité d’apprentissage 2.F. : Participation et inclusion pleines et effectives dans la réforme de la loi</w:t>
                  </w:r>
                </w:p>
              </w:txbxContent>
            </v:textbox>
            <v:fill type="solid"/>
            <w10:wrap type="topAndBottom"/>
          </v:shape>
        </w:pict>
      </w:r>
    </w:p>
    <w:p>
      <w:pPr>
        <w:pStyle w:val="BodyText"/>
        <w:spacing w:before="4"/>
        <w:rPr>
          <w:rFonts w:ascii="Myriad Pro"/>
          <w:sz w:val="9"/>
        </w:rPr>
      </w:pPr>
    </w:p>
    <w:p>
      <w:pPr>
        <w:pStyle w:val="Heading6"/>
        <w:spacing w:line="256" w:lineRule="auto"/>
      </w:pPr>
      <w:r>
        <w:rPr>
          <w:i/>
          <w:color w:val="231F20"/>
          <w:spacing w:val="-5"/>
        </w:rPr>
        <w:t>Objectif </w:t>
      </w:r>
      <w:r>
        <w:rPr>
          <w:i/>
          <w:color w:val="231F20"/>
        </w:rPr>
        <w:t>: </w:t>
      </w:r>
      <w:r>
        <w:rPr>
          <w:i/>
          <w:color w:val="231F20"/>
          <w:spacing w:val="-4"/>
        </w:rPr>
        <w:t>réfléchir </w:t>
      </w:r>
      <w:r>
        <w:rPr>
          <w:i/>
          <w:color w:val="231F20"/>
        </w:rPr>
        <w:t>à </w:t>
      </w:r>
      <w:r>
        <w:rPr>
          <w:i/>
          <w:color w:val="231F20"/>
          <w:spacing w:val="-3"/>
        </w:rPr>
        <w:t>la </w:t>
      </w:r>
      <w:r>
        <w:rPr>
          <w:i/>
          <w:color w:val="231F20"/>
          <w:spacing w:val="-5"/>
        </w:rPr>
        <w:t>manière </w:t>
      </w:r>
      <w:r>
        <w:rPr>
          <w:i/>
          <w:color w:val="231F20"/>
          <w:spacing w:val="-3"/>
        </w:rPr>
        <w:t>de </w:t>
      </w:r>
      <w:r>
        <w:rPr>
          <w:i/>
          <w:color w:val="231F20"/>
          <w:spacing w:val="-5"/>
        </w:rPr>
        <w:t>s'assurer </w:t>
      </w:r>
      <w:r>
        <w:rPr>
          <w:i/>
          <w:color w:val="231F20"/>
          <w:spacing w:val="-3"/>
        </w:rPr>
        <w:t>de la </w:t>
      </w:r>
      <w:r>
        <w:rPr>
          <w:i/>
          <w:color w:val="231F20"/>
          <w:spacing w:val="-4"/>
        </w:rPr>
        <w:t>participation </w:t>
      </w:r>
      <w:r>
        <w:rPr>
          <w:i/>
          <w:color w:val="231F20"/>
          <w:spacing w:val="-5"/>
        </w:rPr>
        <w:t>pleine </w:t>
      </w:r>
      <w:r>
        <w:rPr>
          <w:i/>
          <w:color w:val="231F20"/>
          <w:spacing w:val="-3"/>
        </w:rPr>
        <w:t>et </w:t>
      </w:r>
      <w:r>
        <w:rPr>
          <w:i/>
          <w:color w:val="231F20"/>
          <w:spacing w:val="-4"/>
        </w:rPr>
        <w:t>effective </w:t>
      </w:r>
      <w:r>
        <w:rPr>
          <w:i/>
          <w:color w:val="231F20"/>
          <w:spacing w:val="-5"/>
        </w:rPr>
        <w:t>des </w:t>
      </w:r>
      <w:r>
        <w:rPr>
          <w:color w:val="231F20"/>
          <w:spacing w:val="-5"/>
        </w:rPr>
        <w:t>personnes handicapées </w:t>
      </w:r>
      <w:r>
        <w:rPr>
          <w:color w:val="231F20"/>
          <w:spacing w:val="-3"/>
        </w:rPr>
        <w:t>et de </w:t>
      </w:r>
      <w:r>
        <w:rPr>
          <w:color w:val="231F20"/>
          <w:spacing w:val="-4"/>
        </w:rPr>
        <w:t>leurs </w:t>
      </w:r>
      <w:r>
        <w:rPr>
          <w:color w:val="231F20"/>
          <w:spacing w:val="-5"/>
        </w:rPr>
        <w:t>organisations représentatives </w:t>
      </w:r>
      <w:r>
        <w:rPr>
          <w:color w:val="231F20"/>
        </w:rPr>
        <w:t>à </w:t>
      </w:r>
      <w:r>
        <w:rPr>
          <w:color w:val="231F20"/>
          <w:spacing w:val="-3"/>
        </w:rPr>
        <w:t>la </w:t>
      </w:r>
      <w:r>
        <w:rPr>
          <w:color w:val="231F20"/>
          <w:spacing w:val="-5"/>
        </w:rPr>
        <w:t>réforme </w:t>
      </w:r>
      <w:r>
        <w:rPr>
          <w:color w:val="231F20"/>
          <w:spacing w:val="-3"/>
        </w:rPr>
        <w:t>de la </w:t>
      </w:r>
      <w:r>
        <w:rPr>
          <w:color w:val="231F20"/>
          <w:spacing w:val="-5"/>
        </w:rPr>
        <w:t>loi.</w:t>
      </w:r>
    </w:p>
    <w:p>
      <w:pPr>
        <w:pStyle w:val="BodyText"/>
        <w:spacing w:line="266" w:lineRule="auto" w:before="123"/>
        <w:ind w:left="1251" w:right="222"/>
        <w:rPr>
          <w:b w:val="0"/>
        </w:rPr>
      </w:pPr>
      <w:r>
        <w:rPr>
          <w:b w:val="0"/>
          <w:color w:val="231F20"/>
        </w:rPr>
        <w:t>Scénario : un gouvernement a décidé de promulguer une loi contre la discrimination en raison du handicap en général, qui interdise toute discrimination fondée sur le handicap, mais qui fournisse aussi une réglementation détaillée pour des domaines spécifiques de la vie publique et de la sphère privée. Dans ce pays, il s’agit de la première loi spécifique sur la discrimination fondée sur le handicap ; auparavant, des mentions spécifiques concernant les personnes handicapées avaient été intégrées à la législation concernant l'éducation et la famille. Pour se conformer aux principes et exigences de la CDPH visant à assurer une participation pleine et effective des personnes handicapées et de leurs organisations représentatives, il a été demandé à votre équipe d'élaborer une stratégie permettant de garantir l’inclusion des personnes handicapées lors de la rédaction de la nouvelle loi et vous devez aussi envisager d’inclure les OPH. En plus de ce dossier, vous devez illustrer comment :</w:t>
      </w:r>
    </w:p>
    <w:p>
      <w:pPr>
        <w:pStyle w:val="BodyText"/>
        <w:spacing w:line="264" w:lineRule="auto" w:before="19"/>
        <w:ind w:left="1931" w:right="349" w:hanging="341"/>
        <w:rPr>
          <w:b w:val="0"/>
        </w:rPr>
      </w:pPr>
      <w:r>
        <w:rPr>
          <w:rFonts w:ascii="Arial" w:hAnsi="Arial"/>
          <w:color w:val="FDB714"/>
          <w:sz w:val="26"/>
        </w:rPr>
        <w:t>► </w:t>
      </w:r>
      <w:r>
        <w:rPr>
          <w:b w:val="0"/>
          <w:color w:val="231F20"/>
        </w:rPr>
        <w:t>consulter les OPH pour l'élaboration de la loi nationale et tous les plans d'action associés ;</w:t>
      </w:r>
    </w:p>
    <w:p>
      <w:pPr>
        <w:pStyle w:val="BodyText"/>
        <w:spacing w:line="264" w:lineRule="auto" w:before="21"/>
        <w:ind w:left="1931" w:right="117" w:hanging="341"/>
        <w:rPr>
          <w:b w:val="0"/>
        </w:rPr>
      </w:pPr>
      <w:r>
        <w:rPr>
          <w:rFonts w:ascii="Arial" w:hAnsi="Arial"/>
          <w:color w:val="FDB714"/>
          <w:sz w:val="26"/>
        </w:rPr>
        <w:t>► </w:t>
      </w:r>
      <w:r>
        <w:rPr>
          <w:b w:val="0"/>
          <w:color w:val="231F20"/>
        </w:rPr>
        <w:t>vous assurer que les ministères et agences gouvernementales disposent d’expertise interne en matière de handicap et d’un interlocuteur désigné pour les questions relatives au handicap ;</w:t>
      </w:r>
    </w:p>
    <w:p>
      <w:pPr>
        <w:pStyle w:val="BodyText"/>
        <w:spacing w:before="22"/>
        <w:ind w:left="1591" w:right="281"/>
        <w:rPr>
          <w:b w:val="0"/>
        </w:rPr>
      </w:pPr>
      <w:r>
        <w:rPr>
          <w:rFonts w:ascii="Arial" w:hAnsi="Arial"/>
          <w:color w:val="FDB714"/>
          <w:sz w:val="26"/>
        </w:rPr>
        <w:t>► </w:t>
      </w:r>
      <w:r>
        <w:rPr>
          <w:b w:val="0"/>
          <w:color w:val="231F20"/>
        </w:rPr>
        <w:t>impliquer les OPH dans la formation des commissions parlementaires ;</w:t>
      </w:r>
    </w:p>
    <w:p>
      <w:pPr>
        <w:pStyle w:val="BodyText"/>
        <w:spacing w:before="47"/>
        <w:ind w:left="1591" w:right="281"/>
        <w:rPr>
          <w:b w:val="0"/>
        </w:rPr>
      </w:pPr>
      <w:r>
        <w:rPr>
          <w:rFonts w:ascii="Arial" w:hAnsi="Arial"/>
          <w:color w:val="FDB714"/>
          <w:sz w:val="26"/>
        </w:rPr>
        <w:t>► </w:t>
      </w:r>
      <w:r>
        <w:rPr>
          <w:b w:val="0"/>
          <w:color w:val="231F20"/>
        </w:rPr>
        <w:t>consulter les OPH pour toutes les procédures de rapport nationales.</w:t>
      </w:r>
    </w:p>
    <w:p>
      <w:pPr>
        <w:pStyle w:val="BodyText"/>
        <w:spacing w:line="266" w:lineRule="auto" w:before="142"/>
        <w:ind w:left="1251" w:right="27"/>
        <w:rPr>
          <w:b w:val="0"/>
        </w:rPr>
      </w:pPr>
      <w:r>
        <w:rPr>
          <w:b w:val="0"/>
          <w:color w:val="231F20"/>
        </w:rPr>
        <w:t>Le calendrier de promulgation de la nouvelle loi est prévu sur deux ans. (Si des données vous manquent, élaborez des hypothèses en fonction de l’expérience acquise dans votre propre pays.)</w:t>
      </w:r>
    </w:p>
    <w:p>
      <w:pPr>
        <w:pStyle w:val="BodyText"/>
        <w:spacing w:line="266" w:lineRule="auto" w:before="114"/>
        <w:ind w:left="1251" w:right="27"/>
        <w:rPr>
          <w:b w:val="0"/>
        </w:rPr>
      </w:pPr>
      <w:r>
        <w:rPr>
          <w:b w:val="0"/>
          <w:color w:val="231F20"/>
        </w:rPr>
        <w:t>Créez un diagramme de Gantt soulignant les activités clés et identifiez les sponsors ou coordinateurs responsables de chacune d’elles. Indiquez aussi ce qui sera fait ou quel sera le résultat de chaque activité.</w:t>
      </w:r>
    </w:p>
    <w:p>
      <w:pPr>
        <w:pStyle w:val="BodyText"/>
        <w:spacing w:before="114"/>
        <w:ind w:left="1251" w:right="281"/>
        <w:rPr>
          <w:b w:val="0"/>
        </w:rPr>
      </w:pPr>
      <w:r>
        <w:rPr>
          <w:b w:val="0"/>
          <w:color w:val="231F20"/>
        </w:rPr>
        <w:t>Préparez une présentation de synthèse de vos idées. Utilisez les titres suivants :</w:t>
      </w:r>
    </w:p>
    <w:p>
      <w:pPr>
        <w:pStyle w:val="BodyText"/>
        <w:spacing w:before="7" w:after="1"/>
        <w:rPr>
          <w:b w:val="0"/>
          <w:sz w:val="11"/>
        </w:rPr>
      </w:pPr>
    </w:p>
    <w:tbl>
      <w:tblPr>
        <w:tblW w:w="0" w:type="auto"/>
        <w:jc w:val="left"/>
        <w:tblInd w:w="1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7"/>
        <w:gridCol w:w="1162"/>
        <w:gridCol w:w="1531"/>
        <w:gridCol w:w="1247"/>
        <w:gridCol w:w="2693"/>
      </w:tblGrid>
      <w:tr>
        <w:trPr>
          <w:trHeight w:val="349" w:hRule="exact"/>
        </w:trPr>
        <w:tc>
          <w:tcPr>
            <w:tcW w:w="1247" w:type="dxa"/>
            <w:tcBorders>
              <w:right w:val="single" w:sz="4" w:space="0" w:color="FFFFFF"/>
            </w:tcBorders>
            <w:shd w:val="clear" w:color="auto" w:fill="FDB714"/>
          </w:tcPr>
          <w:p>
            <w:pPr>
              <w:pStyle w:val="TableParagraph"/>
              <w:spacing w:before="32"/>
              <w:ind w:left="235"/>
              <w:rPr>
                <w:b/>
                <w:sz w:val="20"/>
              </w:rPr>
            </w:pPr>
            <w:r>
              <w:rPr>
                <w:b/>
                <w:color w:val="FFFFFF"/>
                <w:sz w:val="20"/>
              </w:rPr>
              <w:t>Activités</w:t>
            </w:r>
          </w:p>
        </w:tc>
        <w:tc>
          <w:tcPr>
            <w:tcW w:w="1162" w:type="dxa"/>
            <w:tcBorders>
              <w:left w:val="single" w:sz="4" w:space="0" w:color="FFFFFF"/>
              <w:right w:val="single" w:sz="4" w:space="0" w:color="FFFFFF"/>
            </w:tcBorders>
            <w:shd w:val="clear" w:color="auto" w:fill="FDB714"/>
          </w:tcPr>
          <w:p>
            <w:pPr>
              <w:pStyle w:val="TableParagraph"/>
              <w:spacing w:before="32"/>
              <w:ind w:left="206"/>
              <w:rPr>
                <w:b/>
                <w:sz w:val="20"/>
              </w:rPr>
            </w:pPr>
            <w:r>
              <w:rPr>
                <w:b/>
                <w:color w:val="FFFFFF"/>
                <w:sz w:val="20"/>
              </w:rPr>
              <w:t>Sponsor</w:t>
            </w:r>
          </w:p>
        </w:tc>
        <w:tc>
          <w:tcPr>
            <w:tcW w:w="1531" w:type="dxa"/>
            <w:tcBorders>
              <w:left w:val="single" w:sz="4" w:space="0" w:color="FFFFFF"/>
              <w:right w:val="single" w:sz="4" w:space="0" w:color="FFFFFF"/>
            </w:tcBorders>
            <w:shd w:val="clear" w:color="auto" w:fill="FDB714"/>
          </w:tcPr>
          <w:p>
            <w:pPr>
              <w:pStyle w:val="TableParagraph"/>
              <w:spacing w:before="32"/>
              <w:ind w:left="175"/>
              <w:rPr>
                <w:b/>
                <w:sz w:val="20"/>
              </w:rPr>
            </w:pPr>
            <w:r>
              <w:rPr>
                <w:b/>
                <w:color w:val="FFFFFF"/>
                <w:sz w:val="20"/>
              </w:rPr>
              <w:t>Réalisations*</w:t>
            </w:r>
          </w:p>
        </w:tc>
        <w:tc>
          <w:tcPr>
            <w:tcW w:w="1247" w:type="dxa"/>
            <w:tcBorders>
              <w:left w:val="single" w:sz="4" w:space="0" w:color="FFFFFF"/>
              <w:right w:val="single" w:sz="4" w:space="0" w:color="FFFFFF"/>
            </w:tcBorders>
            <w:shd w:val="clear" w:color="auto" w:fill="FDB714"/>
          </w:tcPr>
          <w:p>
            <w:pPr>
              <w:pStyle w:val="TableParagraph"/>
              <w:spacing w:before="32"/>
              <w:ind w:left="208"/>
              <w:rPr>
                <w:b/>
                <w:sz w:val="20"/>
              </w:rPr>
            </w:pPr>
            <w:r>
              <w:rPr>
                <w:b/>
                <w:color w:val="FFFFFF"/>
                <w:sz w:val="20"/>
              </w:rPr>
              <w:t>Résultats</w:t>
            </w:r>
          </w:p>
        </w:tc>
        <w:tc>
          <w:tcPr>
            <w:tcW w:w="2693" w:type="dxa"/>
            <w:tcBorders>
              <w:left w:val="single" w:sz="4" w:space="0" w:color="FFFFFF"/>
            </w:tcBorders>
            <w:shd w:val="clear" w:color="auto" w:fill="FDB714"/>
          </w:tcPr>
          <w:p>
            <w:pPr>
              <w:pStyle w:val="TableParagraph"/>
              <w:spacing w:before="32"/>
              <w:ind w:left="108"/>
              <w:rPr>
                <w:b/>
                <w:sz w:val="20"/>
              </w:rPr>
            </w:pPr>
            <w:r>
              <w:rPr>
                <w:b/>
                <w:color w:val="FFFFFF"/>
                <w:sz w:val="20"/>
              </w:rPr>
              <w:t>Risques/obstacles possibles</w:t>
            </w:r>
          </w:p>
        </w:tc>
      </w:tr>
    </w:tbl>
    <w:p>
      <w:pPr>
        <w:pStyle w:val="BodyText"/>
        <w:spacing w:line="266" w:lineRule="auto" w:before="117"/>
        <w:ind w:left="1251" w:right="117"/>
        <w:rPr>
          <w:b w:val="0"/>
        </w:rPr>
      </w:pPr>
      <w:r>
        <w:rPr>
          <w:b w:val="0"/>
          <w:color w:val="231F20"/>
        </w:rPr>
        <w:t>Utilisez un tableau blanc pour détailler votre diagramme de Gantt, la gamme d'activités et la synthèse de votre discussion.</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44"/>
        <w:ind w:left="1251" w:right="27" w:hanging="8"/>
        <w:rPr>
          <w:b w:val="0"/>
        </w:rPr>
      </w:pPr>
      <w:r>
        <w:rPr>
          <w:b w:val="0"/>
          <w:color w:val="231F20"/>
        </w:rPr>
        <w:t>Vous avez 60 minutes pour préparer une proposition complète, mais seulement 5 minutes pour en partager le résumé en classe entière.</w:t>
      </w:r>
    </w:p>
    <w:p>
      <w:pPr>
        <w:pStyle w:val="BodyText"/>
        <w:rPr>
          <w:b w:val="0"/>
          <w:sz w:val="20"/>
        </w:rPr>
      </w:pPr>
    </w:p>
    <w:p>
      <w:pPr>
        <w:pStyle w:val="BodyText"/>
        <w:spacing w:before="8"/>
        <w:rPr>
          <w:b w:val="0"/>
          <w:sz w:val="20"/>
        </w:rPr>
      </w:pPr>
    </w:p>
    <w:p>
      <w:pPr>
        <w:spacing w:after="0"/>
        <w:rPr>
          <w:sz w:val="20"/>
        </w:rPr>
        <w:sectPr>
          <w:pgSz w:w="11910" w:h="16840"/>
          <w:pgMar w:top="360" w:bottom="280" w:left="1640" w:right="1020"/>
        </w:sectPr>
      </w:pPr>
    </w:p>
    <w:p>
      <w:pPr>
        <w:pStyle w:val="Heading4"/>
        <w:tabs>
          <w:tab w:pos="699" w:val="left" w:leader="none"/>
          <w:tab w:pos="1022" w:val="left" w:leader="none"/>
        </w:tabs>
      </w:pPr>
      <w:r>
        <w:rPr/>
        <w:pict>
          <v:group style="position:absolute;margin-left:0pt;margin-top:0pt;width:595.3pt;height:841.9pt;mso-position-horizontal-relative:page;mso-position-vertical-relative:page;z-index:-66256" coordorigin="0,0" coordsize="11906,16838">
            <v:rect style="position:absolute;left:2665;top:0;width:9241;height:16838" filled="true" fillcolor="#fff5e4" stroked="false">
              <v:fill type="solid"/>
            </v:rect>
            <v:shape style="position:absolute;left:0;top:0;width:2663;height:16838" type="#_x0000_t75" stroked="false">
              <v:imagedata r:id="rId24" o:title=""/>
            </v:shape>
            <v:rect style="position:absolute;left:0;top:0;width:397;height:16838" filled="true" fillcolor="#fdb714" stroked="false">
              <v:fill type="solid"/>
            </v:rect>
            <v:line style="position:absolute" from="2891,12874" to="10772,12874" stroked="true" strokeweight=".35pt" strokecolor="#231f20"/>
            <v:line style="position:absolute" from="2891,13321" to="10772,13321" stroked="true" strokeweight=".35pt" strokecolor="#231f20"/>
            <v:line style="position:absolute" from="2891,13767" to="10772,13767" stroked="true" strokeweight=".35pt" strokecolor="#231f20"/>
            <v:line style="position:absolute" from="2891,14214" to="10772,14214" stroked="true" strokeweight=".35pt" strokecolor="#231f20"/>
            <v:line style="position:absolute" from="2891,14661" to="10772,14661" stroked="true" strokeweight=".35pt" strokecolor="#231f20"/>
            <v:line style="position:absolute" from="2891,15651" to="10772,15651" stroked="true" strokeweight="1pt" strokecolor="#fdb714"/>
            <v:shape style="position:absolute;left:1778;top:1267;width:827;height:822" coordorigin="1778,1267" coordsize="827,822" path="m1887,1293l1886,1293,1873,1296,1859,1301,1846,1308,1836,1314,1826,1321,1817,1330,1809,1339,1801,1349,1787,1376,1780,1402,1778,1431,1778,1902,1778,1924,1778,1957,1782,1987,1793,2016,1806,2037,1824,2056,1845,2071,1870,2082,1899,2087,1935,2089,2444,2088,2459,2087,2474,2085,2489,2080,2523,2061,2551,2033,2563,2009,1957,2009,1931,2008,1908,2003,1887,1991,1869,1971,1861,1950,1858,1927,1858,1902,1857,1540,1857,1501,1857,1481,1857,1454,1860,1431,1864,1420,1869,1409,1875,1401,1881,1393,1888,1387,1898,1381,1909,1375,1920,1372,1931,1370,1950,1369,2246,1369,2257,1369,2266,1360,2286,1341,2319,1308,2322,1305,2324,1303,2329,1297,2332,1295,2333,1294,1889,1294,1887,1293xm2576,1531l2564,1541,2542,1563,2502,1604,2500,1606,2497,1608,2496,1612,2496,1925,2493,1951,2484,1972,2470,1988,2453,2000,2441,2005,2430,2007,2417,2008,1988,2008,1957,2009,2563,2009,2569,1997,2576,1956,2576,1902,2576,1735,2576,1633,2576,1612,2577,1563,2576,1531xm2013,1842l2011,1846,2011,1846,2011,1846,2008,1860,2013,1859,2017,1859,2018,1858,2010,1858,2011,1852,2013,1847,2013,1842xm2063,1667l2053,1701,2036,1759,2020,1815,2013,1842,2013,1847,2011,1852,2010,1858,2021,1856,2201,1804,2179,1781,2132,1735,2085,1688,2063,1667xm2021,1856l2010,1858,2018,1858,2021,1856xm2389,1343l2382,1349,2371,1360,2351,1380,2084,1646,2094,1659,2116,1681,2152,1715,2189,1752,2210,1774,2223,1784,2248,1759,2514,1495,2524,1487,2528,1481,2506,1458,2460,1412,2413,1366,2389,1343xm2481,1267l2468,1270,2457,1275,2449,1282,2442,1290,2426,1306,2417,1315,2412,1321,2550,1459,2558,1452,2566,1444,2574,1436,2581,1428,2588,1421,2595,1413,2601,1403,2604,1390,2602,1377,2596,1367,2589,1359,2581,1352,2550,1321,2527,1298,2519,1291,2512,1283,2504,1276,2494,1270,2481,1267xm2246,1369l1950,1369,1968,1369,1980,1370,2127,1370,2215,1370,2246,1369xm1890,1292l1889,1292,1889,1294,2333,1294,2333,1293,1898,1293,1890,1292xm2167,1291l1908,1291,1898,1293,2333,1293,2333,1291,2167,1291xe" filled="true" fillcolor="#fdb714" stroked="false">
              <v:path arrowok="t"/>
              <v:fill type="solid"/>
            </v:shape>
            <v:shape style="position:absolute;left:1821;top:14871;width:719;height:827" coordorigin="1821,14871" coordsize="719,827" path="m2218,14940l2142,14940,2142,14981,2067,14997,1999,15027,1940,15071,1890,15125,1853,15189,1829,15261,1821,15338,1828,15410,1849,15478,1882,15539,1926,15592,1979,15636,2040,15669,2107,15690,2180,15697,2252,15690,2320,15669,2381,15636,2393,15626,2180,15626,2103,15616,2035,15587,1976,15542,1931,15483,1902,15414,1892,15338,1902,15261,1931,15193,1976,15134,2035,15089,2103,15060,2180,15050,2449,15050,2472,15027,2360,15027,2327,15010,2292,14997,2256,14987,2218,14981,2218,14940xm2449,15050l2180,15050,2256,15060,2325,15089,2384,15134,2429,15193,2458,15261,2468,15338,2458,15414,2429,15483,2384,15542,2325,15587,2256,15616,2180,15626,2393,15626,2434,15592,2478,15539,2511,15478,2532,15410,2539,15338,2531,15262,2508,15191,2472,15128,2424,15074,2449,15050xm2187,15272l2181,15272,2152,15278,2128,15294,2112,15318,2106,15347,2112,15376,2128,15400,2152,15416,2181,15422,2210,15416,2234,15400,2250,15376,2256,15347,2256,15337,2254,15327,2250,15318,2279,15274,2200,15274,2194,15273,2187,15272xm2354,15162l2200,15274,2279,15274,2354,15162xm2419,14975l2360,15027,2472,15027,2474,15025,2419,14975xm2262,14871l2093,14871,2093,14940,2262,14940,2262,14871xe" filled="true" fillcolor="#fdb714" stroked="false">
              <v:path arrowok="t"/>
              <v:fill type="solid"/>
            </v:shape>
            <w10:wrap type="none"/>
          </v:group>
        </w:pict>
      </w:r>
      <w:r>
        <w:rPr>
          <w:color w:val="FFFFFF"/>
          <w:shd w:fill="FDB714" w:color="auto" w:val="clear"/>
        </w:rPr>
        <w:t> </w:t>
        <w:tab/>
        <w:t>20</w:t>
        <w:tab/>
      </w:r>
    </w:p>
    <w:p>
      <w:pPr>
        <w:spacing w:before="117"/>
        <w:ind w:left="115" w:right="0" w:firstLine="0"/>
        <w:jc w:val="left"/>
        <w:rPr>
          <w:rFonts w:ascii="Myriad Pro" w:hAnsi="Myriad Pro"/>
          <w:sz w:val="16"/>
        </w:rPr>
      </w:pPr>
      <w:r>
        <w:rPr/>
        <w:br w:type="column"/>
      </w:r>
      <w:r>
        <w:rPr>
          <w:rFonts w:ascii="Myriad Pro" w:hAnsi="Myriad Pro"/>
          <w:color w:val="6D6E71"/>
          <w:sz w:val="16"/>
        </w:rPr>
        <w:t>Module 7 - LÉGIFÉRER POUR LES DROITS LIÉS AU HANDICAP</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pStyle w:val="BodyText"/>
        <w:rPr>
          <w:rFonts w:ascii="Myriad Pro"/>
          <w:sz w:val="20"/>
        </w:rPr>
      </w:pPr>
    </w:p>
    <w:p>
      <w:pPr>
        <w:pStyle w:val="BodyText"/>
        <w:spacing w:before="9"/>
        <w:rPr>
          <w:rFonts w:ascii="Myriad Pro"/>
          <w:sz w:val="27"/>
        </w:rPr>
      </w:pPr>
    </w:p>
    <w:p>
      <w:pPr>
        <w:spacing w:after="0"/>
        <w:rPr>
          <w:rFonts w:ascii="Myriad Pro"/>
          <w:sz w:val="27"/>
        </w:rPr>
        <w:sectPr>
          <w:pgSz w:w="16840" w:h="11910" w:orient="landscape"/>
          <w:pgMar w:top="0" w:bottom="0" w:left="860" w:right="840"/>
        </w:sectPr>
      </w:pPr>
    </w:p>
    <w:p>
      <w:pPr>
        <w:spacing w:line="770" w:lineRule="exact" w:before="0"/>
        <w:ind w:left="192" w:right="-18" w:firstLine="0"/>
        <w:jc w:val="left"/>
        <w:rPr>
          <w:b/>
          <w:sz w:val="64"/>
        </w:rPr>
      </w:pPr>
      <w:r>
        <w:rPr/>
        <w:pict>
          <v:shape style="position:absolute;margin-left:386.362pt;margin-top:17.991598pt;width:109.15pt;height:16.75pt;mso-position-horizontal-relative:page;mso-position-vertical-relative:paragraph;z-index:3232" type="#_x0000_t202" filled="false" stroked="false">
            <v:textbox inset="0,0,0,0">
              <w:txbxContent>
                <w:p>
                  <w:pPr>
                    <w:spacing w:before="25"/>
                    <w:ind w:left="100" w:right="0" w:firstLine="0"/>
                    <w:jc w:val="left"/>
                    <w:rPr>
                      <w:rFonts w:ascii="Myriad Pro" w:hAnsi="Myriad Pro"/>
                      <w:b/>
                      <w:sz w:val="18"/>
                    </w:rPr>
                  </w:pPr>
                  <w:r>
                    <w:rPr>
                      <w:rFonts w:ascii="Myriad Pro" w:hAnsi="Myriad Pro"/>
                      <w:b/>
                      <w:color w:val="231F20"/>
                      <w:sz w:val="18"/>
                    </w:rPr>
                    <w:t>Point fort 1 de la période</w:t>
                  </w:r>
                </w:p>
              </w:txbxContent>
            </v:textbox>
            <w10:wrap type="none"/>
          </v:shape>
        </w:pict>
      </w:r>
      <w:r>
        <w:rPr>
          <w:b/>
          <w:color w:val="25408F"/>
          <w:sz w:val="64"/>
        </w:rPr>
        <w:t>Planificateur de</w:t>
      </w:r>
      <w:r>
        <w:rPr>
          <w:b/>
          <w:color w:val="25408F"/>
          <w:spacing w:val="-27"/>
          <w:sz w:val="64"/>
        </w:rPr>
        <w:t> </w:t>
      </w:r>
      <w:r>
        <w:rPr>
          <w:b/>
          <w:color w:val="25408F"/>
          <w:sz w:val="64"/>
        </w:rPr>
        <w:t>projet</w:t>
      </w:r>
    </w:p>
    <w:p>
      <w:pPr>
        <w:pStyle w:val="BodyText"/>
        <w:rPr>
          <w:b/>
          <w:sz w:val="20"/>
        </w:rPr>
      </w:pPr>
      <w:r>
        <w:rPr/>
        <w:br w:type="column"/>
      </w:r>
      <w:r>
        <w:rPr>
          <w:b/>
          <w:sz w:val="20"/>
        </w:rPr>
      </w:r>
    </w:p>
    <w:p>
      <w:pPr>
        <w:tabs>
          <w:tab w:pos="1104" w:val="left" w:leader="none"/>
          <w:tab w:pos="2084" w:val="left" w:leader="none"/>
          <w:tab w:pos="3643" w:val="left" w:leader="none"/>
        </w:tabs>
        <w:spacing w:before="155"/>
        <w:ind w:left="192" w:right="0" w:firstLine="0"/>
        <w:jc w:val="left"/>
        <w:rPr>
          <w:rFonts w:ascii="Myriad Pro" w:hAnsi="Myriad Pro"/>
          <w:sz w:val="20"/>
        </w:rPr>
      </w:pPr>
      <w:r>
        <w:rPr>
          <w:rFonts w:ascii="Myriad Pro" w:hAnsi="Myriad Pro"/>
          <w:color w:val="231F20"/>
          <w:sz w:val="20"/>
        </w:rPr>
        <w:t>Plan</w:t>
        <w:tab/>
      </w:r>
      <w:r>
        <w:rPr>
          <w:rFonts w:ascii="Myriad Pro" w:hAnsi="Myriad Pro"/>
          <w:color w:val="231F20"/>
          <w:spacing w:val="-4"/>
          <w:sz w:val="20"/>
        </w:rPr>
        <w:t>Réel</w:t>
        <w:tab/>
      </w:r>
      <w:r>
        <w:rPr>
          <w:rFonts w:ascii="Myriad Pro" w:hAnsi="Myriad Pro"/>
          <w:color w:val="231F20"/>
          <w:sz w:val="20"/>
        </w:rPr>
        <w:t>%</w:t>
      </w:r>
      <w:r>
        <w:rPr>
          <w:rFonts w:ascii="Myriad Pro" w:hAnsi="Myriad Pro"/>
          <w:color w:val="231F20"/>
          <w:spacing w:val="-1"/>
          <w:sz w:val="20"/>
        </w:rPr>
        <w:t> </w:t>
      </w:r>
      <w:r>
        <w:rPr>
          <w:rFonts w:ascii="Myriad Pro" w:hAnsi="Myriad Pro"/>
          <w:color w:val="231F20"/>
          <w:sz w:val="20"/>
        </w:rPr>
        <w:t>terminé</w:t>
        <w:tab/>
        <w:t>Réel (au-delà du</w:t>
      </w:r>
      <w:r>
        <w:rPr>
          <w:rFonts w:ascii="Myriad Pro" w:hAnsi="Myriad Pro"/>
          <w:color w:val="231F20"/>
          <w:spacing w:val="3"/>
          <w:sz w:val="20"/>
        </w:rPr>
        <w:t> </w:t>
      </w:r>
      <w:r>
        <w:rPr>
          <w:rFonts w:ascii="Myriad Pro" w:hAnsi="Myriad Pro"/>
          <w:color w:val="231F20"/>
          <w:sz w:val="20"/>
        </w:rPr>
        <w:t>plan)</w:t>
      </w:r>
    </w:p>
    <w:p>
      <w:pPr>
        <w:spacing w:after="0"/>
        <w:jc w:val="left"/>
        <w:rPr>
          <w:rFonts w:ascii="Myriad Pro" w:hAnsi="Myriad Pro"/>
          <w:sz w:val="20"/>
        </w:rPr>
        <w:sectPr>
          <w:type w:val="continuous"/>
          <w:pgSz w:w="16840" w:h="11910" w:orient="landscape"/>
          <w:pgMar w:top="1600" w:bottom="280" w:left="860" w:right="840"/>
          <w:cols w:num="2" w:equalWidth="0">
            <w:col w:w="6330" w:space="3232"/>
            <w:col w:w="5578"/>
          </w:cols>
        </w:sectPr>
      </w:pPr>
    </w:p>
    <w:p>
      <w:pPr>
        <w:pStyle w:val="BodyText"/>
        <w:spacing w:before="3"/>
        <w:rPr>
          <w:rFonts w:ascii="Myriad Pro"/>
          <w:sz w:val="17"/>
        </w:rPr>
      </w:pPr>
    </w:p>
    <w:p>
      <w:pPr>
        <w:spacing w:after="0"/>
        <w:rPr>
          <w:rFonts w:ascii="Myriad Pro"/>
          <w:sz w:val="17"/>
        </w:rPr>
        <w:sectPr>
          <w:type w:val="continuous"/>
          <w:pgSz w:w="16840" w:h="11910" w:orient="landscape"/>
          <w:pgMar w:top="1600" w:bottom="280" w:left="860" w:right="840"/>
        </w:sectPr>
      </w:pPr>
    </w:p>
    <w:p>
      <w:pPr>
        <w:pStyle w:val="BodyText"/>
        <w:spacing w:before="2"/>
        <w:rPr>
          <w:rFonts w:ascii="Myriad Pro"/>
          <w:sz w:val="27"/>
        </w:rPr>
      </w:pPr>
    </w:p>
    <w:p>
      <w:pPr>
        <w:spacing w:before="0"/>
        <w:ind w:left="192" w:right="-17" w:firstLine="0"/>
        <w:jc w:val="left"/>
        <w:rPr>
          <w:rFonts w:ascii="Myriad Pro" w:hAnsi="Myriad Pro"/>
          <w:sz w:val="20"/>
        </w:rPr>
      </w:pPr>
      <w:r>
        <w:rPr>
          <w:rFonts w:ascii="Myriad Pro" w:hAnsi="Myriad Pro"/>
          <w:color w:val="231F20"/>
          <w:sz w:val="20"/>
        </w:rPr>
        <w:t>ACTIVITÉ</w:t>
      </w:r>
    </w:p>
    <w:p>
      <w:pPr>
        <w:spacing w:line="180" w:lineRule="exact" w:before="83"/>
        <w:ind w:left="359" w:right="-19" w:hanging="168"/>
        <w:jc w:val="left"/>
        <w:rPr>
          <w:rFonts w:ascii="Myriad Pro" w:hAnsi="Myriad Pro"/>
          <w:sz w:val="16"/>
        </w:rPr>
      </w:pPr>
      <w:r>
        <w:rPr/>
        <w:br w:type="column"/>
      </w:r>
      <w:r>
        <w:rPr>
          <w:rFonts w:ascii="Myriad Pro" w:hAnsi="Myriad Pro"/>
          <w:color w:val="231F20"/>
          <w:sz w:val="16"/>
        </w:rPr>
        <w:t>DÉBUT DU PLAN</w:t>
      </w:r>
    </w:p>
    <w:p>
      <w:pPr>
        <w:spacing w:line="180" w:lineRule="exact" w:before="83"/>
        <w:ind w:left="349" w:right="-19" w:hanging="167"/>
        <w:jc w:val="left"/>
        <w:rPr>
          <w:rFonts w:ascii="Myriad Pro" w:hAnsi="Myriad Pro"/>
          <w:sz w:val="16"/>
        </w:rPr>
      </w:pPr>
      <w:r>
        <w:rPr/>
        <w:br w:type="column"/>
      </w:r>
      <w:r>
        <w:rPr>
          <w:rFonts w:ascii="Myriad Pro" w:hAnsi="Myriad Pro"/>
          <w:color w:val="231F20"/>
          <w:sz w:val="16"/>
        </w:rPr>
        <w:t>DURÉE DU PLAN</w:t>
      </w:r>
    </w:p>
    <w:p>
      <w:pPr>
        <w:spacing w:line="180" w:lineRule="exact" w:before="83"/>
        <w:ind w:left="260" w:right="-20" w:hanging="68"/>
        <w:jc w:val="left"/>
        <w:rPr>
          <w:rFonts w:ascii="Myriad Pro" w:hAnsi="Myriad Pro"/>
          <w:sz w:val="16"/>
        </w:rPr>
      </w:pPr>
      <w:r>
        <w:rPr/>
        <w:br w:type="column"/>
      </w:r>
      <w:r>
        <w:rPr>
          <w:rFonts w:ascii="Myriad Pro" w:hAnsi="Myriad Pro"/>
          <w:color w:val="231F20"/>
          <w:sz w:val="16"/>
        </w:rPr>
        <w:t>DÉBUT RÉEL</w:t>
      </w:r>
    </w:p>
    <w:p>
      <w:pPr>
        <w:spacing w:line="180" w:lineRule="exact" w:before="83"/>
        <w:ind w:left="192" w:right="-20" w:firstLine="9"/>
        <w:jc w:val="left"/>
        <w:rPr>
          <w:rFonts w:ascii="Myriad Pro" w:hAnsi="Myriad Pro"/>
          <w:sz w:val="16"/>
        </w:rPr>
      </w:pPr>
      <w:r>
        <w:rPr/>
        <w:br w:type="column"/>
      </w:r>
      <w:r>
        <w:rPr>
          <w:rFonts w:ascii="Myriad Pro" w:hAnsi="Myriad Pro"/>
          <w:color w:val="231F20"/>
          <w:sz w:val="16"/>
        </w:rPr>
        <w:t>DURÉE RÉELLE</w:t>
      </w:r>
    </w:p>
    <w:p>
      <w:pPr>
        <w:spacing w:line="186" w:lineRule="exact" w:before="75"/>
        <w:ind w:left="192" w:right="0" w:firstLine="0"/>
        <w:jc w:val="left"/>
        <w:rPr>
          <w:rFonts w:ascii="Myriad Pro"/>
          <w:sz w:val="16"/>
        </w:rPr>
      </w:pPr>
      <w:r>
        <w:rPr/>
        <w:br w:type="column"/>
      </w:r>
      <w:r>
        <w:rPr>
          <w:rFonts w:ascii="Myriad Pro"/>
          <w:color w:val="231F20"/>
          <w:sz w:val="16"/>
        </w:rPr>
        <w:t>POURCENTAGE</w:t>
      </w:r>
    </w:p>
    <w:p>
      <w:pPr>
        <w:tabs>
          <w:tab w:pos="1450" w:val="left" w:leader="none"/>
        </w:tabs>
        <w:spacing w:line="186" w:lineRule="exact" w:before="0"/>
        <w:ind w:left="429" w:right="0" w:firstLine="0"/>
        <w:jc w:val="left"/>
        <w:rPr>
          <w:rFonts w:ascii="Myriad Pro" w:hAnsi="Myriad Pro"/>
          <w:sz w:val="16"/>
        </w:rPr>
      </w:pPr>
      <w:r>
        <w:rPr>
          <w:rFonts w:ascii="Myriad Pro" w:hAnsi="Myriad Pro"/>
          <w:color w:val="231F20"/>
          <w:sz w:val="16"/>
        </w:rPr>
        <w:t>RÉALISÉ</w:t>
        <w:tab/>
        <w:t>PÉRIODES</w:t>
      </w:r>
    </w:p>
    <w:p>
      <w:pPr>
        <w:tabs>
          <w:tab w:pos="5195" w:val="left" w:leader="none"/>
        </w:tabs>
        <w:spacing w:before="109"/>
        <w:ind w:left="1426" w:right="0" w:firstLine="0"/>
        <w:jc w:val="left"/>
        <w:rPr>
          <w:rFonts w:ascii="Myriad Pro" w:hAnsi="Myriad Pro"/>
          <w:sz w:val="20"/>
        </w:rPr>
      </w:pPr>
      <w:r>
        <w:rPr>
          <w:rFonts w:ascii="Myriad Pro" w:hAnsi="Myriad Pro"/>
          <w:color w:val="231F20"/>
          <w:sz w:val="16"/>
        </w:rPr>
        <w:t>1</w:t>
      </w:r>
      <w:r>
        <w:rPr>
          <w:rFonts w:ascii="Myriad Pro" w:hAnsi="Myriad Pro"/>
          <w:color w:val="231F20"/>
          <w:position w:val="5"/>
          <w:sz w:val="9"/>
        </w:rPr>
        <w:t>ère</w:t>
      </w:r>
      <w:r>
        <w:rPr>
          <w:rFonts w:ascii="Myriad Pro" w:hAnsi="Myriad Pro"/>
          <w:color w:val="231F20"/>
          <w:spacing w:val="14"/>
          <w:position w:val="5"/>
          <w:sz w:val="9"/>
        </w:rPr>
        <w:t> </w:t>
      </w:r>
      <w:r>
        <w:rPr>
          <w:rFonts w:ascii="Myriad Pro" w:hAnsi="Myriad Pro"/>
          <w:color w:val="231F20"/>
          <w:sz w:val="16"/>
        </w:rPr>
        <w:t>année</w:t>
        <w:tab/>
      </w:r>
      <w:r>
        <w:rPr>
          <w:rFonts w:ascii="Myriad Pro" w:hAnsi="Myriad Pro"/>
          <w:color w:val="231F20"/>
          <w:position w:val="-2"/>
          <w:sz w:val="20"/>
        </w:rPr>
        <w:t>2</w:t>
      </w:r>
      <w:r>
        <w:rPr>
          <w:rFonts w:ascii="Myriad Pro" w:hAnsi="Myriad Pro"/>
          <w:color w:val="231F20"/>
          <w:position w:val="4"/>
          <w:sz w:val="11"/>
        </w:rPr>
        <w:t>e</w:t>
      </w:r>
      <w:r>
        <w:rPr>
          <w:rFonts w:ascii="Myriad Pro" w:hAnsi="Myriad Pro"/>
          <w:color w:val="231F20"/>
          <w:spacing w:val="21"/>
          <w:position w:val="4"/>
          <w:sz w:val="11"/>
        </w:rPr>
        <w:t> </w:t>
      </w:r>
      <w:r>
        <w:rPr>
          <w:rFonts w:ascii="Myriad Pro" w:hAnsi="Myriad Pro"/>
          <w:color w:val="231F20"/>
          <w:position w:val="-2"/>
          <w:sz w:val="20"/>
        </w:rPr>
        <w:t>année</w:t>
      </w:r>
    </w:p>
    <w:p>
      <w:pPr>
        <w:tabs>
          <w:tab w:pos="2064" w:val="left" w:leader="none"/>
          <w:tab w:pos="2376" w:val="left" w:leader="none"/>
          <w:tab w:pos="2688" w:val="left" w:leader="none"/>
          <w:tab w:pos="3000" w:val="left" w:leader="none"/>
          <w:tab w:pos="3312" w:val="left" w:leader="none"/>
          <w:tab w:pos="3623" w:val="left" w:leader="none"/>
          <w:tab w:pos="3935" w:val="left" w:leader="none"/>
          <w:tab w:pos="4247" w:val="left" w:leader="none"/>
        </w:tabs>
        <w:spacing w:before="69"/>
        <w:ind w:left="1753" w:right="0" w:firstLine="0"/>
        <w:jc w:val="left"/>
        <w:rPr>
          <w:rFonts w:ascii="Myriad Pro"/>
          <w:sz w:val="20"/>
        </w:rPr>
      </w:pPr>
      <w:r>
        <w:rPr/>
        <w:pict>
          <v:shape style="position:absolute;margin-left:783.394653pt;margin-top:98.727303pt;width:13pt;height:204.45pt;mso-position-horizontal-relative:page;mso-position-vertical-relative:paragraph;z-index:3256" type="#_x0000_t202" filled="false" stroked="false">
            <v:textbox inset="0,0,0,0" style="layout-flow:vertical">
              <w:txbxContent>
                <w:p>
                  <w:pPr>
                    <w:spacing w:line="251" w:lineRule="exact" w:before="0"/>
                    <w:ind w:left="20" w:right="0" w:firstLine="0"/>
                    <w:jc w:val="left"/>
                    <w:rPr>
                      <w:rFonts w:ascii="Myriad Pro" w:hAnsi="Myriad Pro"/>
                      <w:b/>
                      <w:sz w:val="22"/>
                    </w:rPr>
                  </w:pPr>
                  <w:bookmarkStart w:name="_TOC_250000" w:id="15"/>
                  <w:r>
                    <w:rPr>
                      <w:rFonts w:ascii="Myriad Pro" w:hAnsi="Myriad Pro"/>
                      <w:b/>
                      <w:color w:val="FFFFFF"/>
                      <w:sz w:val="22"/>
                    </w:rPr>
                    <w:t>Suppo</w:t>
                  </w:r>
                  <w:r>
                    <w:rPr>
                      <w:rFonts w:ascii="Myriad Pro" w:hAnsi="Myriad Pro"/>
                      <w:b/>
                      <w:color w:val="FFFFFF"/>
                      <w:spacing w:val="4"/>
                      <w:sz w:val="22"/>
                    </w:rPr>
                    <w:t>r</w:t>
                  </w:r>
                  <w:r>
                    <w:rPr>
                      <w:rFonts w:ascii="Myriad Pro" w:hAnsi="Myriad Pro"/>
                      <w:b/>
                      <w:color w:val="FFFFFF"/>
                      <w:sz w:val="22"/>
                    </w:rPr>
                    <w:t>t : Modèle de diag</w:t>
                  </w:r>
                  <w:r>
                    <w:rPr>
                      <w:rFonts w:ascii="Myriad Pro" w:hAnsi="Myriad Pro"/>
                      <w:b/>
                      <w:color w:val="FFFFFF"/>
                      <w:spacing w:val="-3"/>
                      <w:sz w:val="22"/>
                    </w:rPr>
                    <w:t>r</w:t>
                  </w:r>
                  <w:r>
                    <w:rPr>
                      <w:rFonts w:ascii="Myriad Pro" w:hAnsi="Myriad Pro"/>
                      <w:b/>
                      <w:color w:val="FFFFFF"/>
                      <w:sz w:val="22"/>
                    </w:rPr>
                    <w:t>amme de </w:t>
                  </w:r>
                  <w:r>
                    <w:rPr>
                      <w:rFonts w:ascii="Myriad Pro" w:hAnsi="Myriad Pro"/>
                      <w:b/>
                      <w:color w:val="FFFFFF"/>
                      <w:spacing w:val="1"/>
                      <w:sz w:val="22"/>
                    </w:rPr>
                    <w:t>G</w:t>
                  </w:r>
                  <w:r>
                    <w:rPr>
                      <w:rFonts w:ascii="Myriad Pro" w:hAnsi="Myriad Pro"/>
                      <w:b/>
                      <w:color w:val="FFFFFF"/>
                      <w:sz w:val="22"/>
                    </w:rPr>
                    <w:t>a</w:t>
                  </w:r>
                  <w:r>
                    <w:rPr>
                      <w:rFonts w:ascii="Myriad Pro" w:hAnsi="Myriad Pro"/>
                      <w:b/>
                      <w:color w:val="FFFFFF"/>
                      <w:spacing w:val="-2"/>
                      <w:sz w:val="22"/>
                    </w:rPr>
                    <w:t>n</w:t>
                  </w:r>
                  <w:bookmarkEnd w:id="15"/>
                  <w:r>
                    <w:rPr>
                      <w:rFonts w:ascii="Myriad Pro" w:hAnsi="Myriad Pro"/>
                      <w:b/>
                      <w:color w:val="FFFFFF"/>
                      <w:sz w:val="22"/>
                    </w:rPr>
                    <w:t>tt</w:t>
                  </w:r>
                </w:p>
              </w:txbxContent>
            </v:textbox>
            <w10:wrap type="none"/>
          </v:shape>
        </w:pict>
      </w:r>
      <w:r>
        <w:rPr>
          <w:rFonts w:ascii="Myriad Pro"/>
          <w:color w:val="231F20"/>
          <w:sz w:val="20"/>
        </w:rPr>
        <w:t>1</w:t>
        <w:tab/>
        <w:t>2</w:t>
        <w:tab/>
        <w:t>3</w:t>
        <w:tab/>
        <w:t>4</w:t>
        <w:tab/>
        <w:t>5</w:t>
        <w:tab/>
        <w:t>6</w:t>
        <w:tab/>
        <w:t>7</w:t>
        <w:tab/>
        <w:t>8</w:t>
        <w:tab/>
        <w:t>9    10  11  12  13   14   15  16  17  18  19  20  21  22  23      </w:t>
      </w:r>
      <w:r>
        <w:rPr>
          <w:rFonts w:ascii="Myriad Pro"/>
          <w:color w:val="231F20"/>
          <w:spacing w:val="10"/>
          <w:sz w:val="20"/>
        </w:rPr>
        <w:t> </w:t>
      </w:r>
      <w:r>
        <w:rPr>
          <w:rFonts w:ascii="Myriad Pro"/>
          <w:color w:val="231F20"/>
          <w:sz w:val="20"/>
        </w:rPr>
        <w:t>24</w:t>
      </w:r>
    </w:p>
    <w:p>
      <w:pPr>
        <w:spacing w:after="0"/>
        <w:jc w:val="left"/>
        <w:rPr>
          <w:rFonts w:ascii="Myriad Pro"/>
          <w:sz w:val="20"/>
        </w:rPr>
        <w:sectPr>
          <w:type w:val="continuous"/>
          <w:pgSz w:w="16840" w:h="11910" w:orient="landscape"/>
          <w:pgMar w:top="1600" w:bottom="280" w:left="860" w:right="840"/>
          <w:cols w:num="6" w:equalWidth="0">
            <w:col w:w="938" w:space="615"/>
            <w:col w:w="892" w:space="40"/>
            <w:col w:w="881" w:space="152"/>
            <w:col w:w="648" w:space="264"/>
            <w:col w:w="666" w:space="123"/>
            <w:col w:w="9921"/>
          </w:cols>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5"/>
        <w:gridCol w:w="788"/>
        <w:gridCol w:w="921"/>
        <w:gridCol w:w="921"/>
        <w:gridCol w:w="923"/>
        <w:gridCol w:w="1546"/>
        <w:gridCol w:w="312"/>
        <w:gridCol w:w="7192"/>
      </w:tblGrid>
      <w:tr>
        <w:trPr>
          <w:trHeight w:val="334" w:hRule="exact"/>
        </w:trPr>
        <w:tc>
          <w:tcPr>
            <w:tcW w:w="14259" w:type="dxa"/>
            <w:gridSpan w:val="8"/>
            <w:tcBorders>
              <w:top w:val="single" w:sz="8" w:space="0" w:color="231F20"/>
              <w:bottom w:val="single" w:sz="8" w:space="0" w:color="231F20"/>
            </w:tcBorders>
            <w:shd w:val="clear" w:color="auto" w:fill="A4CE99"/>
          </w:tcPr>
          <w:p>
            <w:pPr>
              <w:pStyle w:val="TableParagraph"/>
              <w:spacing w:before="5"/>
              <w:ind w:left="6687" w:right="6687"/>
              <w:jc w:val="center"/>
              <w:rPr>
                <w:b/>
                <w:sz w:val="22"/>
              </w:rPr>
            </w:pPr>
            <w:r>
              <w:rPr>
                <w:b/>
                <w:color w:val="231F20"/>
                <w:sz w:val="22"/>
              </w:rPr>
              <w:t>Exemple</w:t>
            </w:r>
          </w:p>
        </w:tc>
      </w:tr>
      <w:tr>
        <w:trPr>
          <w:trHeight w:val="313" w:hRule="exact"/>
        </w:trPr>
        <w:tc>
          <w:tcPr>
            <w:tcW w:w="1655" w:type="dxa"/>
            <w:tcBorders>
              <w:top w:val="single" w:sz="8" w:space="0" w:color="231F20"/>
            </w:tcBorders>
            <w:shd w:val="clear" w:color="auto" w:fill="FFF5E4"/>
          </w:tcPr>
          <w:p>
            <w:pPr>
              <w:pStyle w:val="TableParagraph"/>
              <w:spacing w:before="5"/>
              <w:ind w:left="283"/>
              <w:rPr>
                <w:b/>
                <w:sz w:val="22"/>
              </w:rPr>
            </w:pPr>
            <w:r>
              <w:rPr>
                <w:b/>
                <w:color w:val="231F20"/>
                <w:sz w:val="22"/>
              </w:rPr>
              <w:t>Activité : 01</w:t>
            </w:r>
          </w:p>
        </w:tc>
        <w:tc>
          <w:tcPr>
            <w:tcW w:w="788" w:type="dxa"/>
            <w:tcBorders>
              <w:top w:val="single" w:sz="8" w:space="0" w:color="231F20"/>
            </w:tcBorders>
            <w:shd w:val="clear" w:color="auto" w:fill="FFF5E4"/>
          </w:tcPr>
          <w:p>
            <w:pPr>
              <w:pStyle w:val="TableParagraph"/>
              <w:spacing w:before="17"/>
              <w:ind w:left="0" w:right="130"/>
              <w:jc w:val="center"/>
              <w:rPr>
                <w:sz w:val="20"/>
              </w:rPr>
            </w:pPr>
            <w:r>
              <w:rPr>
                <w:color w:val="231F20"/>
                <w:sz w:val="20"/>
              </w:rPr>
              <w:t>1</w:t>
            </w:r>
          </w:p>
        </w:tc>
        <w:tc>
          <w:tcPr>
            <w:tcW w:w="921" w:type="dxa"/>
            <w:tcBorders>
              <w:top w:val="single" w:sz="8" w:space="0" w:color="231F20"/>
            </w:tcBorders>
            <w:shd w:val="clear" w:color="auto" w:fill="FFF5E4"/>
          </w:tcPr>
          <w:p>
            <w:pPr>
              <w:pStyle w:val="TableParagraph"/>
              <w:spacing w:before="17"/>
              <w:ind w:left="0"/>
              <w:jc w:val="center"/>
              <w:rPr>
                <w:sz w:val="20"/>
              </w:rPr>
            </w:pPr>
            <w:r>
              <w:rPr>
                <w:color w:val="231F20"/>
                <w:sz w:val="20"/>
              </w:rPr>
              <w:t>5</w:t>
            </w:r>
          </w:p>
        </w:tc>
        <w:tc>
          <w:tcPr>
            <w:tcW w:w="921" w:type="dxa"/>
            <w:tcBorders>
              <w:top w:val="single" w:sz="8" w:space="0" w:color="231F20"/>
            </w:tcBorders>
            <w:shd w:val="clear" w:color="auto" w:fill="FFF5E4"/>
          </w:tcPr>
          <w:p>
            <w:pPr>
              <w:pStyle w:val="TableParagraph"/>
              <w:spacing w:before="17"/>
              <w:ind w:left="0"/>
              <w:jc w:val="center"/>
              <w:rPr>
                <w:sz w:val="20"/>
              </w:rPr>
            </w:pPr>
            <w:r>
              <w:rPr>
                <w:color w:val="231F20"/>
                <w:sz w:val="20"/>
              </w:rPr>
              <w:t>1</w:t>
            </w:r>
          </w:p>
        </w:tc>
        <w:tc>
          <w:tcPr>
            <w:tcW w:w="923" w:type="dxa"/>
            <w:tcBorders>
              <w:top w:val="single" w:sz="8" w:space="0" w:color="231F20"/>
            </w:tcBorders>
            <w:shd w:val="clear" w:color="auto" w:fill="FFF5E4"/>
          </w:tcPr>
          <w:p>
            <w:pPr>
              <w:pStyle w:val="TableParagraph"/>
              <w:spacing w:before="17"/>
              <w:ind w:left="0"/>
              <w:jc w:val="center"/>
              <w:rPr>
                <w:sz w:val="20"/>
              </w:rPr>
            </w:pPr>
            <w:r>
              <w:rPr>
                <w:color w:val="231F20"/>
                <w:sz w:val="20"/>
              </w:rPr>
              <w:t>4</w:t>
            </w:r>
          </w:p>
        </w:tc>
        <w:tc>
          <w:tcPr>
            <w:tcW w:w="1546" w:type="dxa"/>
            <w:tcBorders>
              <w:top w:val="single" w:sz="8" w:space="0" w:color="231F20"/>
              <w:right w:val="single" w:sz="12" w:space="0" w:color="FDB714"/>
            </w:tcBorders>
            <w:shd w:val="clear" w:color="auto" w:fill="FFF5E4"/>
          </w:tcPr>
          <w:p>
            <w:pPr>
              <w:pStyle w:val="TableParagraph"/>
              <w:spacing w:before="17"/>
              <w:ind w:left="411"/>
              <w:rPr>
                <w:sz w:val="20"/>
              </w:rPr>
            </w:pPr>
            <w:r>
              <w:rPr>
                <w:color w:val="231F20"/>
                <w:sz w:val="20"/>
              </w:rPr>
              <w:t>85%</w:t>
            </w:r>
          </w:p>
        </w:tc>
        <w:tc>
          <w:tcPr>
            <w:tcW w:w="312" w:type="dxa"/>
            <w:tcBorders>
              <w:top w:val="single" w:sz="8" w:space="0" w:color="231F20"/>
              <w:left w:val="single" w:sz="12" w:space="0" w:color="FDB714"/>
              <w:right w:val="single" w:sz="12" w:space="0" w:color="FDB714"/>
            </w:tcBorders>
            <w:shd w:val="clear" w:color="auto" w:fill="6168A6"/>
          </w:tcPr>
          <w:p>
            <w:pPr/>
          </w:p>
        </w:tc>
        <w:tc>
          <w:tcPr>
            <w:tcW w:w="7192" w:type="dxa"/>
            <w:tcBorders>
              <w:top w:val="single" w:sz="8" w:space="0" w:color="231F20"/>
              <w:left w:val="single" w:sz="12" w:space="0" w:color="FDB714"/>
            </w:tcBorders>
          </w:tcPr>
          <w:p>
            <w:pPr/>
          </w:p>
        </w:tc>
      </w:tr>
    </w:tbl>
    <w:p>
      <w:pPr>
        <w:spacing w:after="0"/>
        <w:sectPr>
          <w:type w:val="continuous"/>
          <w:pgSz w:w="16840" w:h="11910" w:orient="landscape"/>
          <w:pgMar w:top="1600" w:bottom="280" w:left="860" w:right="840"/>
        </w:sectPr>
      </w:pPr>
    </w:p>
    <w:p>
      <w:pPr>
        <w:spacing w:line="297" w:lineRule="auto" w:before="37"/>
        <w:ind w:left="395" w:right="4611" w:firstLine="0"/>
        <w:jc w:val="left"/>
        <w:rPr>
          <w:rFonts w:ascii="Myriad Pro" w:hAnsi="Myriad Pro"/>
          <w:sz w:val="20"/>
        </w:rPr>
      </w:pPr>
      <w:r>
        <w:rPr>
          <w:rFonts w:ascii="Myriad Pro" w:hAnsi="Myriad Pro"/>
          <w:color w:val="231F20"/>
          <w:sz w:val="20"/>
        </w:rPr>
        <w:t>Sponsor : Réalisations : Résultats :</w:t>
      </w:r>
    </w:p>
    <w:p>
      <w:pPr>
        <w:spacing w:before="0"/>
        <w:ind w:left="395" w:right="0" w:firstLine="0"/>
        <w:jc w:val="left"/>
        <w:rPr>
          <w:rFonts w:ascii="Myriad Pro"/>
          <w:sz w:val="20"/>
        </w:rPr>
      </w:pPr>
      <w:r>
        <w:rPr>
          <w:rFonts w:ascii="Myriad Pro"/>
          <w:color w:val="231F20"/>
          <w:sz w:val="20"/>
        </w:rPr>
        <w:t>Risques/obstacles possibles :</w:t>
      </w:r>
    </w:p>
    <w:p>
      <w:pPr>
        <w:tabs>
          <w:tab w:pos="1992" w:val="left" w:leader="none"/>
          <w:tab w:pos="2965" w:val="left" w:leader="none"/>
          <w:tab w:pos="3835" w:val="left" w:leader="none"/>
          <w:tab w:pos="4807" w:val="left" w:leader="none"/>
          <w:tab w:pos="5733" w:val="left" w:leader="none"/>
        </w:tabs>
        <w:spacing w:line="304" w:lineRule="auto" w:before="45"/>
        <w:ind w:left="395" w:right="0" w:hanging="1"/>
        <w:jc w:val="left"/>
        <w:rPr>
          <w:rFonts w:ascii="Myriad Pro" w:hAnsi="Myriad Pro"/>
          <w:sz w:val="20"/>
        </w:rPr>
      </w:pPr>
      <w:r>
        <w:rPr>
          <w:rFonts w:ascii="Myriad Pro" w:hAnsi="Myriad Pro"/>
          <w:b/>
          <w:color w:val="231F20"/>
          <w:spacing w:val="-5"/>
          <w:sz w:val="22"/>
        </w:rPr>
        <w:t>Activité</w:t>
      </w:r>
      <w:r>
        <w:rPr>
          <w:rFonts w:ascii="Myriad Pro" w:hAnsi="Myriad Pro"/>
          <w:b/>
          <w:color w:val="231F20"/>
          <w:spacing w:val="-8"/>
          <w:sz w:val="22"/>
        </w:rPr>
        <w:t> </w:t>
      </w:r>
      <w:r>
        <w:rPr>
          <w:rFonts w:ascii="Myriad Pro" w:hAnsi="Myriad Pro"/>
          <w:b/>
          <w:color w:val="231F20"/>
          <w:sz w:val="22"/>
        </w:rPr>
        <w:t>:</w:t>
      </w:r>
      <w:r>
        <w:rPr>
          <w:rFonts w:ascii="Myriad Pro" w:hAnsi="Myriad Pro"/>
          <w:b/>
          <w:color w:val="231F20"/>
          <w:spacing w:val="-8"/>
          <w:sz w:val="22"/>
        </w:rPr>
        <w:t> </w:t>
      </w:r>
      <w:r>
        <w:rPr>
          <w:rFonts w:ascii="Myriad Pro" w:hAnsi="Myriad Pro"/>
          <w:b/>
          <w:color w:val="231F20"/>
          <w:spacing w:val="-3"/>
          <w:sz w:val="22"/>
        </w:rPr>
        <w:t>02</w:t>
        <w:tab/>
      </w:r>
      <w:r>
        <w:rPr>
          <w:rFonts w:ascii="Myriad Pro" w:hAnsi="Myriad Pro"/>
          <w:color w:val="231F20"/>
          <w:position w:val="1"/>
          <w:sz w:val="20"/>
        </w:rPr>
        <w:t>10</w:t>
        <w:tab/>
        <w:t>4</w:t>
        <w:tab/>
        <w:t>11</w:t>
        <w:tab/>
        <w:t>6</w:t>
        <w:tab/>
        <w:t>90% </w:t>
      </w:r>
      <w:r>
        <w:rPr>
          <w:rFonts w:ascii="Myriad Pro" w:hAnsi="Myriad Pro"/>
          <w:color w:val="231F20"/>
          <w:sz w:val="20"/>
        </w:rPr>
        <w:t>Sponsor :</w:t>
      </w:r>
    </w:p>
    <w:p>
      <w:pPr>
        <w:spacing w:line="297" w:lineRule="auto" w:before="0"/>
        <w:ind w:left="395" w:right="4611" w:firstLine="0"/>
        <w:jc w:val="left"/>
        <w:rPr>
          <w:rFonts w:ascii="Myriad Pro" w:hAnsi="Myriad Pro"/>
          <w:sz w:val="20"/>
        </w:rPr>
      </w:pPr>
      <w:r>
        <w:rPr>
          <w:rFonts w:ascii="Myriad Pro" w:hAnsi="Myriad Pro"/>
          <w:color w:val="231F20"/>
          <w:sz w:val="20"/>
        </w:rPr>
        <w:t>Réalisations : Résultats :</w:t>
      </w:r>
    </w:p>
    <w:p>
      <w:pPr>
        <w:spacing w:before="0"/>
        <w:ind w:left="395" w:right="0" w:firstLine="0"/>
        <w:jc w:val="left"/>
        <w:rPr>
          <w:rFonts w:ascii="Myriad Pro"/>
          <w:sz w:val="20"/>
        </w:rPr>
      </w:pPr>
      <w:r>
        <w:rPr>
          <w:rFonts w:ascii="Myriad Pro"/>
          <w:color w:val="231F20"/>
          <w:sz w:val="20"/>
        </w:rPr>
        <w:t>Risques/obstacles possibles :</w:t>
      </w:r>
    </w:p>
    <w:p>
      <w:pPr>
        <w:pStyle w:val="BodyText"/>
        <w:rPr>
          <w:rFonts w:ascii="Myriad Pro"/>
          <w:sz w:val="20"/>
        </w:rPr>
      </w:pPr>
    </w:p>
    <w:p>
      <w:pPr>
        <w:spacing w:line="309" w:lineRule="auto" w:before="144"/>
        <w:ind w:left="395" w:right="4611" w:firstLine="0"/>
        <w:jc w:val="left"/>
        <w:rPr>
          <w:rFonts w:ascii="Myriad Pro" w:hAnsi="Myriad Pro"/>
          <w:sz w:val="20"/>
        </w:rPr>
      </w:pPr>
      <w:r>
        <w:rPr>
          <w:rFonts w:ascii="Myriad Pro" w:hAnsi="Myriad Pro"/>
          <w:b/>
          <w:color w:val="231F20"/>
          <w:sz w:val="20"/>
        </w:rPr>
        <w:t>Activité : </w:t>
      </w:r>
      <w:r>
        <w:rPr>
          <w:rFonts w:ascii="Myriad Pro" w:hAnsi="Myriad Pro"/>
          <w:color w:val="231F20"/>
          <w:sz w:val="20"/>
        </w:rPr>
        <w:t>Sponsor : Réalisations : Résultats :</w:t>
      </w:r>
    </w:p>
    <w:p>
      <w:pPr>
        <w:spacing w:line="228" w:lineRule="exact" w:before="0"/>
        <w:ind w:left="395" w:right="0" w:firstLine="0"/>
        <w:jc w:val="left"/>
        <w:rPr>
          <w:rFonts w:ascii="Myriad Pro"/>
          <w:sz w:val="20"/>
        </w:rPr>
      </w:pPr>
      <w:r>
        <w:rPr>
          <w:rFonts w:ascii="Myriad Pro"/>
          <w:color w:val="231F20"/>
          <w:sz w:val="20"/>
        </w:rPr>
        <w:t>Risques/obstacles possibles :</w:t>
      </w:r>
    </w:p>
    <w:p>
      <w:pPr>
        <w:spacing w:line="309" w:lineRule="auto" w:before="50"/>
        <w:ind w:left="395" w:right="4611" w:firstLine="0"/>
        <w:jc w:val="left"/>
        <w:rPr>
          <w:rFonts w:ascii="Myriad Pro" w:hAnsi="Myriad Pro"/>
          <w:sz w:val="20"/>
        </w:rPr>
      </w:pPr>
      <w:r>
        <w:rPr>
          <w:rFonts w:ascii="Myriad Pro" w:hAnsi="Myriad Pro"/>
          <w:b/>
          <w:color w:val="231F20"/>
          <w:sz w:val="20"/>
        </w:rPr>
        <w:t>Activité : </w:t>
      </w:r>
      <w:r>
        <w:rPr>
          <w:rFonts w:ascii="Myriad Pro" w:hAnsi="Myriad Pro"/>
          <w:color w:val="231F20"/>
          <w:sz w:val="20"/>
        </w:rPr>
        <w:t>Sponsor : Réalisations : Résultats :</w:t>
      </w:r>
    </w:p>
    <w:p>
      <w:pPr>
        <w:spacing w:line="228" w:lineRule="exact" w:before="0"/>
        <w:ind w:left="395" w:right="0" w:firstLine="0"/>
        <w:jc w:val="left"/>
        <w:rPr>
          <w:rFonts w:ascii="Myriad Pro"/>
          <w:sz w:val="20"/>
        </w:rPr>
      </w:pPr>
      <w:r>
        <w:rPr>
          <w:rFonts w:ascii="Myriad Pro"/>
          <w:color w:val="231F20"/>
          <w:sz w:val="20"/>
        </w:rPr>
        <w:t>Risques/obstacles possibles :</w:t>
      </w:r>
    </w:p>
    <w:p>
      <w:pPr>
        <w:spacing w:line="309" w:lineRule="auto" w:before="50"/>
        <w:ind w:left="395" w:right="4611" w:firstLine="0"/>
        <w:jc w:val="left"/>
        <w:rPr>
          <w:rFonts w:ascii="Myriad Pro" w:hAnsi="Myriad Pro"/>
          <w:sz w:val="20"/>
        </w:rPr>
      </w:pPr>
      <w:r>
        <w:rPr>
          <w:rFonts w:ascii="Myriad Pro" w:hAnsi="Myriad Pro"/>
          <w:b/>
          <w:color w:val="231F20"/>
          <w:sz w:val="20"/>
        </w:rPr>
        <w:t>Activité : </w:t>
      </w:r>
      <w:r>
        <w:rPr>
          <w:rFonts w:ascii="Myriad Pro" w:hAnsi="Myriad Pro"/>
          <w:color w:val="231F20"/>
          <w:sz w:val="20"/>
        </w:rPr>
        <w:t>Sponsor : Réalisations : Résultats :</w:t>
      </w:r>
    </w:p>
    <w:p>
      <w:pPr>
        <w:spacing w:line="228" w:lineRule="exact" w:before="0"/>
        <w:ind w:left="395" w:right="0" w:firstLine="0"/>
        <w:jc w:val="left"/>
        <w:rPr>
          <w:rFonts w:ascii="Myriad Pro"/>
          <w:sz w:val="20"/>
        </w:rPr>
      </w:pPr>
      <w:r>
        <w:rPr>
          <w:rFonts w:ascii="Myriad Pro"/>
          <w:color w:val="231F20"/>
          <w:sz w:val="20"/>
        </w:rPr>
        <w:t>Risques/obstacles possibles :</w:t>
      </w:r>
    </w:p>
    <w:p>
      <w:pPr>
        <w:pStyle w:val="BodyText"/>
        <w:rPr>
          <w:rFonts w:ascii="Myriad Pro"/>
        </w:rPr>
      </w:pPr>
      <w:r>
        <w:rPr/>
        <w:br w:type="column"/>
      </w:r>
      <w:r>
        <w:rPr>
          <w:rFonts w:ascii="Myriad Pro"/>
        </w:rPr>
      </w:r>
    </w:p>
    <w:p>
      <w:pPr>
        <w:pStyle w:val="BodyText"/>
        <w:rPr>
          <w:rFonts w:ascii="Myriad Pro"/>
        </w:rPr>
      </w:pPr>
    </w:p>
    <w:p>
      <w:pPr>
        <w:pStyle w:val="BodyText"/>
        <w:rPr>
          <w:rFonts w:ascii="Myriad Pro"/>
        </w:rPr>
      </w:pPr>
    </w:p>
    <w:p>
      <w:pPr>
        <w:pStyle w:val="BodyText"/>
        <w:rPr>
          <w:rFonts w:ascii="Myriad Pro"/>
        </w:rPr>
      </w:pPr>
    </w:p>
    <w:p>
      <w:pPr>
        <w:pStyle w:val="BodyText"/>
        <w:rPr>
          <w:rFonts w:ascii="Myriad Pro"/>
        </w:rPr>
      </w:pPr>
    </w:p>
    <w:p>
      <w:pPr>
        <w:pStyle w:val="BodyText"/>
        <w:rPr>
          <w:rFonts w:ascii="Myriad Pro"/>
        </w:rPr>
      </w:pPr>
    </w:p>
    <w:p>
      <w:pPr>
        <w:pStyle w:val="BodyText"/>
        <w:rPr>
          <w:rFonts w:ascii="Myriad Pro"/>
        </w:rPr>
      </w:pPr>
    </w:p>
    <w:p>
      <w:pPr>
        <w:pStyle w:val="BodyText"/>
        <w:rPr>
          <w:rFonts w:ascii="Myriad Pro"/>
        </w:rPr>
      </w:pPr>
    </w:p>
    <w:p>
      <w:pPr>
        <w:pStyle w:val="BodyText"/>
        <w:rPr>
          <w:rFonts w:ascii="Myriad Pro"/>
        </w:rPr>
      </w:pPr>
    </w:p>
    <w:p>
      <w:pPr>
        <w:pStyle w:val="BodyText"/>
        <w:spacing w:before="3"/>
        <w:rPr>
          <w:rFonts w:ascii="Myriad Pro"/>
          <w:sz w:val="30"/>
        </w:rPr>
      </w:pPr>
    </w:p>
    <w:p>
      <w:pPr>
        <w:pStyle w:val="Heading5"/>
        <w:ind w:left="395"/>
      </w:pPr>
      <w:r>
        <w:rPr>
          <w:color w:val="231F20"/>
        </w:rPr>
        <w:t>Modèle</w:t>
      </w:r>
    </w:p>
    <w:p>
      <w:pPr>
        <w:spacing w:after="0"/>
        <w:sectPr>
          <w:type w:val="continuous"/>
          <w:pgSz w:w="16840" w:h="11910" w:orient="landscape"/>
          <w:pgMar w:top="1600" w:bottom="280" w:left="860" w:right="840"/>
          <w:cols w:num="2" w:equalWidth="0">
            <w:col w:w="6097" w:space="380"/>
            <w:col w:w="8663"/>
          </w:cols>
        </w:sectPr>
      </w:pPr>
    </w:p>
    <w:p>
      <w:pPr>
        <w:rPr>
          <w:sz w:val="2"/>
          <w:szCs w:val="2"/>
        </w:rPr>
      </w:pPr>
      <w:r>
        <w:rPr/>
        <w:pict>
          <v:group style="position:absolute;margin-left:.0pt;margin-top:0pt;width:841.9pt;height:595.3pt;mso-position-horizontal-relative:page;mso-position-vertical-relative:page;z-index:-66232" coordorigin="0,0" coordsize="16838,11906">
            <v:rect style="position:absolute;left:0;top:0;width:16838;height:11509" filled="true" fillcolor="#fff5e4" stroked="false">
              <v:fill type="solid"/>
            </v:rect>
            <v:shape style="position:absolute;left:13616;top:931;width:337;height:355" type="#_x0000_t75" stroked="false">
              <v:imagedata r:id="rId35" o:title=""/>
            </v:shape>
            <v:shape style="position:absolute;left:11105;top:931;width:322;height:355" type="#_x0000_t75" stroked="false">
              <v:imagedata r:id="rId36" o:title=""/>
            </v:shape>
            <v:shape style="position:absolute;left:12369;top:4523;width:337;height:354" type="#_x0000_t75" stroked="false">
              <v:imagedata r:id="rId37" o:title=""/>
            </v:shape>
            <v:shape style="position:absolute;left:10475;top:4526;width:332;height:352" type="#_x0000_t75" stroked="false">
              <v:imagedata r:id="rId38" o:title=""/>
            </v:shape>
            <v:shape style="position:absolute;left:8599;top:2998;width:621;height:354" type="#_x0000_t75" stroked="false">
              <v:imagedata r:id="rId39" o:title=""/>
            </v:shape>
            <v:shape style="position:absolute;left:7727;top:939;width:2183;height:8843" coordorigin="7727,939" coordsize="2183,8843" path="m8039,9448l7727,9448,7727,9782,8039,9782,8039,9448m8039,7921l7727,7921,7727,8256,8039,8256,8039,7921m8039,6395l7727,6395,7727,6729,8039,6729,8039,6395m8039,4533l7727,4533,7727,4868,8039,4868,8039,4533m9910,939l7727,939,7727,1274,9910,1274,9910,939e" filled="true" fillcolor="#ffd88f" stroked="false">
              <v:path arrowok="t"/>
              <v:fill type="solid"/>
            </v:shape>
            <v:shape style="position:absolute;left:10845;top:939;width:1580;height:3929" coordorigin="10845,939" coordsize="1580,3929" path="m11781,4533l10845,4533,10845,4868,11781,4868,11781,4533m12425,939l12113,939,12113,1274,12425,1274,12425,939e" filled="true" fillcolor="#6269a7" stroked="false">
              <v:path arrowok="t"/>
              <v:fill type="solid"/>
            </v:shape>
            <v:rect style="position:absolute;left:7727;top:3028;width:935;height:313" filled="true" fillcolor="#6168a6" stroked="false">
              <v:fill type="solid"/>
            </v:rect>
            <v:shape style="position:absolute;left:8351;top:3028;width:6569;height:5228" coordorigin="8351,3028" coordsize="6569,5228" path="m8663,7921l8351,7921,8351,8256,8663,8256,8663,7921m8663,6395l8351,6395,8351,6729,8663,6729,8663,6395m8663,4533l8351,4533,8351,4868,8663,4868,8663,4533m9286,7921l8974,7921,8974,8256,9286,8256,9286,7921m9286,6395l8974,6395,8974,6729,9286,6729,9286,6395m9286,4533l8974,4533,8974,4868,9286,4868,9286,4533m9910,7921l9598,7921,9598,8256,9910,8256,9910,7921m9910,6395l9598,6395,9598,6729,9910,6729,9910,6395m9910,4533l9598,4533,9598,4868,9910,4868,9910,4533m9910,3028l9598,3028,9598,3341,9910,3341,9910,3028m10534,7921l10222,7921,10222,8256,10534,8256,10534,7921m10534,6395l10222,6395,10222,6729,10534,6729,10534,6395m10534,4533l10222,4533,10222,4868,10534,4868,10534,4533m10534,3028l10222,3028,10222,3341,10534,3341,10534,3028m11157,7921l10845,7921,10845,8256,11157,8256,11157,7921m11157,6395l10845,6395,10845,6729,11157,6729,11157,6395m11157,3028l10845,3028,10845,3341,11157,3341,11157,3028m11781,7921l11469,7921,11469,8256,11781,8256,11781,7921m11781,6395l11469,6395,11469,6729,11781,6729,11781,6395m11781,3028l11469,3028,11469,3341,11781,3341,11781,3028m12425,7921l12113,7921,12113,8256,12425,8256,12425,7921m12425,6395l12113,6395,12113,6729,12425,6729,12425,6395m12425,3028l12113,3028,12113,3341,12425,3341,12425,3028m13049,6395l12737,6395,12737,6729,13049,6729,13049,6395m13049,4533l12737,4533,12737,4868,13049,4868,13049,4533m13049,3028l12737,3028,12737,3341,13049,3341,13049,3028m13672,6395l13361,6395,13361,6729,13672,6729,13672,6395m13672,4533l13361,4533,13361,4868,13672,4868,13672,4533m13672,3028l13361,3028,13361,3341,13672,3341,13672,3028m14296,6395l13984,6395,13984,6729,14296,6729,14296,6395m14296,4533l13984,4533,13984,4868,14296,4868,14296,4533m14296,3028l13984,3028,13984,3341,14296,3341,14296,3028m14920,6395l14608,6395,14608,6729,14920,6729,14920,6395m14920,4533l14608,4533,14608,4868,14920,4868,14920,4533m14920,3028l14608,3028,14608,3341,14920,3341,14920,3028e" filled="true" fillcolor="#dcddde" stroked="false">
              <v:path arrowok="t"/>
              <v:fill type="solid"/>
            </v:shape>
            <v:rect style="position:absolute;left:11781;top:4533;width:644;height:334" filled="true" fillcolor="#fdb714" stroked="false">
              <v:fill type="solid"/>
            </v:rect>
            <v:rect style="position:absolute;left:972;top:6060;width:14259;height:334" filled="true" fillcolor="#abe1fa" stroked="false">
              <v:fill type="solid"/>
            </v:rect>
            <v:shape style="position:absolute;left:8351;top:7921;width:6569;height:1862" coordorigin="8351,7921" coordsize="6569,1862" path="m8663,9448l8351,9448,8351,9782,8663,9782,8663,9448m9286,9448l8974,9448,8974,9782,9286,9782,9286,9448m9910,9448l9598,9448,9598,9782,9910,9782,9910,9448m10534,9448l10222,9448,10222,9782,10534,9782,10534,9448m11157,9448l10845,9448,10845,9782,11157,9782,11157,9448m11781,9448l11469,9448,11469,9782,11781,9782,11781,9448m12425,9448l12113,9448,12113,9782,12425,9782,12425,9448m13049,9448l12737,9448,12737,9782,13049,9782,13049,9448m13049,7921l12737,7921,12737,8256,13049,8256,13049,7921m13672,9448l13361,9448,13361,9782,13672,9782,13672,9448m13672,7921l13361,7921,13361,8256,13672,8256,13672,7921m14296,9448l13984,9448,13984,9782,14296,9782,14296,9448m14296,7921l13984,7921,13984,8256,14296,8256,14296,7921m14920,9448l14608,9448,14608,9782,14920,9782,14920,9448m14920,7921l14608,7921,14608,8256,14920,8256,14920,7921e" filled="true" fillcolor="#d1d3d4" stroked="false">
              <v:path arrowok="t"/>
              <v:fill type="solid"/>
            </v:shape>
            <v:line style="position:absolute" from="972,6060" to="2494,6060" stroked="true" strokeweight="1pt" strokecolor="#231f20"/>
            <v:line style="position:absolute" from="2494,6060" to="3416,6060" stroked="true" strokeweight="1pt" strokecolor="#231f20"/>
            <v:line style="position:absolute" from="3416,6060" to="4337,6060" stroked="true" strokeweight="1pt" strokecolor="#231f20"/>
            <v:line style="position:absolute" from="4337,6060" to="5258,6060" stroked="true" strokeweight="1pt" strokecolor="#231f20"/>
            <v:line style="position:absolute" from="5258,6060" to="6180,6060" stroked="true" strokeweight="1pt" strokecolor="#231f20"/>
            <v:line style="position:absolute" from="6180,6060" to="7370,6060" stroked="true" strokeweight="1pt" strokecolor="#231f20"/>
            <v:line style="position:absolute" from="7370,6060" to="7727,6060" stroked="true" strokeweight="1pt" strokecolor="#231f20"/>
            <v:line style="position:absolute" from="7727,6060" to="8039,6060" stroked="true" strokeweight="1pt" strokecolor="#231f20"/>
            <v:line style="position:absolute" from="8039,6060" to="8351,6060" stroked="true" strokeweight="1pt" strokecolor="#231f20"/>
            <v:line style="position:absolute" from="8351,6060" to="8663,6060" stroked="true" strokeweight="1pt" strokecolor="#231f20"/>
            <v:line style="position:absolute" from="8663,6060" to="8974,6060" stroked="true" strokeweight="1pt" strokecolor="#231f20"/>
            <v:line style="position:absolute" from="8974,6060" to="9286,6060" stroked="true" strokeweight="1pt" strokecolor="#231f20"/>
            <v:line style="position:absolute" from="9286,6060" to="9598,6060" stroked="true" strokeweight="1pt" strokecolor="#231f20"/>
            <v:line style="position:absolute" from="9598,6060" to="9910,6060" stroked="true" strokeweight="1pt" strokecolor="#231f20"/>
            <v:line style="position:absolute" from="9910,6060" to="10222,6060" stroked="true" strokeweight="1pt" strokecolor="#231f20"/>
            <v:line style="position:absolute" from="10222,6060" to="10534,6060" stroked="true" strokeweight="1pt" strokecolor="#231f20"/>
            <v:line style="position:absolute" from="10534,6060" to="10845,6060" stroked="true" strokeweight="1pt" strokecolor="#231f20"/>
            <v:line style="position:absolute" from="10845,6060" to="11157,6060" stroked="true" strokeweight="1pt" strokecolor="#231f20"/>
            <v:line style="position:absolute" from="11157,6060" to="11469,6060" stroked="true" strokeweight="1pt" strokecolor="#231f20"/>
            <v:line style="position:absolute" from="11469,6060" to="11781,6060" stroked="true" strokeweight="1pt" strokecolor="#231f20"/>
            <v:line style="position:absolute" from="11781,6060" to="12113,6060" stroked="true" strokeweight="1pt" strokecolor="#231f20"/>
            <v:line style="position:absolute" from="12113,6060" to="12425,6060" stroked="true" strokeweight="1pt" strokecolor="#231f20"/>
            <v:line style="position:absolute" from="12425,6060" to="12737,6060" stroked="true" strokeweight="1pt" strokecolor="#231f20"/>
            <v:line style="position:absolute" from="12737,6060" to="13049,6060" stroked="true" strokeweight="1pt" strokecolor="#231f20"/>
            <v:line style="position:absolute" from="13049,6060" to="13361,6060" stroked="true" strokeweight="1pt" strokecolor="#231f20"/>
            <v:line style="position:absolute" from="13361,6060" to="13672,6060" stroked="true" strokeweight="1pt" strokecolor="#231f20"/>
            <v:line style="position:absolute" from="13672,6060" to="13984,6060" stroked="true" strokeweight="1pt" strokecolor="#231f20"/>
            <v:line style="position:absolute" from="13984,6060" to="14296,6060" stroked="true" strokeweight="1pt" strokecolor="#231f20"/>
            <v:line style="position:absolute" from="14296,6060" to="14608,6060" stroked="true" strokeweight="1pt" strokecolor="#231f20"/>
            <v:line style="position:absolute" from="14608,6060" to="14920,6060" stroked="true" strokeweight="1pt" strokecolor="#231f20"/>
            <v:line style="position:absolute" from="14920,6060" to="15232,6060" stroked="true" strokeweight="1pt" strokecolor="#231f20"/>
            <v:line style="position:absolute" from="972,6395" to="2494,6395" stroked="true" strokeweight="1pt" strokecolor="#231f20"/>
            <v:line style="position:absolute" from="2494,6395" to="3416,6395" stroked="true" strokeweight="1pt" strokecolor="#231f20"/>
            <v:line style="position:absolute" from="3416,6395" to="4337,6395" stroked="true" strokeweight="1pt" strokecolor="#231f20"/>
            <v:line style="position:absolute" from="4337,6395" to="5258,6395" stroked="true" strokeweight="1pt" strokecolor="#231f20"/>
            <v:line style="position:absolute" from="5258,6395" to="6180,6395" stroked="true" strokeweight="1pt" strokecolor="#231f20"/>
            <v:line style="position:absolute" from="6180,6395" to="7370,6395" stroked="true" strokeweight="1pt" strokecolor="#231f20"/>
            <v:line style="position:absolute" from="7370,6395" to="7727,6395" stroked="true" strokeweight="1pt" strokecolor="#231f20"/>
            <v:line style="position:absolute" from="8039,6395" to="8351,6395" stroked="true" strokeweight="1pt" strokecolor="#231f20"/>
            <v:line style="position:absolute" from="8663,6395" to="8974,6395" stroked="true" strokeweight="1pt" strokecolor="#231f20"/>
            <v:line style="position:absolute" from="9286,6395" to="9598,6395" stroked="true" strokeweight="1pt" strokecolor="#231f20"/>
            <v:line style="position:absolute" from="9910,6395" to="10222,6395" stroked="true" strokeweight="1pt" strokecolor="#231f20"/>
            <v:line style="position:absolute" from="10534,6395" to="10845,6395" stroked="true" strokeweight="1pt" strokecolor="#231f20"/>
            <v:line style="position:absolute" from="11157,6395" to="11469,6395" stroked="true" strokeweight="1pt" strokecolor="#231f20"/>
            <v:line style="position:absolute" from="11781,6395" to="12113,6395" stroked="true" strokeweight="1pt" strokecolor="#231f20"/>
            <v:line style="position:absolute" from="12425,6395" to="12737,6395" stroked="true" strokeweight="1pt" strokecolor="#231f20"/>
            <v:line style="position:absolute" from="13049,6395" to="13361,6395" stroked="true" strokeweight="1pt" strokecolor="#231f20"/>
            <v:line style="position:absolute" from="13672,6395" to="13984,6395" stroked="true" strokeweight="1pt" strokecolor="#231f20"/>
            <v:line style="position:absolute" from="14296,6395" to="14608,6395" stroked="true" strokeweight="1pt" strokecolor="#231f20"/>
            <v:line style="position:absolute" from="14920,6395" to="15232,6395" stroked="true" strokeweight="1pt" strokecolor="#231f20"/>
            <v:line style="position:absolute" from="972,7921" to="2494,7921" stroked="true" strokeweight="1pt" strokecolor="#231f20"/>
            <v:line style="position:absolute" from="2494,7921" to="3416,7921" stroked="true" strokeweight="1pt" strokecolor="#231f20"/>
            <v:line style="position:absolute" from="3416,7921" to="4337,7921" stroked="true" strokeweight="1pt" strokecolor="#231f20"/>
            <v:line style="position:absolute" from="4337,7921" to="5258,7921" stroked="true" strokeweight="1pt" strokecolor="#231f20"/>
            <v:line style="position:absolute" from="5258,7921" to="6180,7921" stroked="true" strokeweight="1pt" strokecolor="#231f20"/>
            <v:line style="position:absolute" from="6180,7921" to="7370,7921" stroked="true" strokeweight="1pt" strokecolor="#231f20"/>
            <v:line style="position:absolute" from="7370,7921" to="7727,7921" stroked="true" strokeweight="1pt" strokecolor="#231f20"/>
            <v:line style="position:absolute" from="8039,7921" to="8351,7921" stroked="true" strokeweight="1pt" strokecolor="#231f20"/>
            <v:line style="position:absolute" from="8663,7921" to="8974,7921" stroked="true" strokeweight="1pt" strokecolor="#231f20"/>
            <v:line style="position:absolute" from="9286,7921" to="9598,7921" stroked="true" strokeweight="1pt" strokecolor="#231f20"/>
            <v:line style="position:absolute" from="9910,7921" to="10222,7921" stroked="true" strokeweight="1pt" strokecolor="#231f20"/>
            <v:line style="position:absolute" from="10534,7921" to="10845,7921" stroked="true" strokeweight="1pt" strokecolor="#231f20"/>
            <v:line style="position:absolute" from="11157,7921" to="11469,7921" stroked="true" strokeweight="1pt" strokecolor="#231f20"/>
            <v:line style="position:absolute" from="11781,7921" to="12113,7921" stroked="true" strokeweight="1pt" strokecolor="#231f20"/>
            <v:line style="position:absolute" from="12425,7921" to="12737,7921" stroked="true" strokeweight="1pt" strokecolor="#231f20"/>
            <v:line style="position:absolute" from="13049,7921" to="13361,7921" stroked="true" strokeweight="1pt" strokecolor="#231f20"/>
            <v:line style="position:absolute" from="13672,7921" to="13984,7921" stroked="true" strokeweight="1pt" strokecolor="#231f20"/>
            <v:line style="position:absolute" from="14296,7921" to="14608,7921" stroked="true" strokeweight="1pt" strokecolor="#231f20"/>
            <v:line style="position:absolute" from="14920,7921" to="15232,7921" stroked="true" strokeweight="1pt" strokecolor="#231f20"/>
            <v:line style="position:absolute" from="972,9448" to="2494,9448" stroked="true" strokeweight="1pt" strokecolor="#231f20"/>
            <v:line style="position:absolute" from="2494,9448" to="3416,9448" stroked="true" strokeweight="1pt" strokecolor="#231f20"/>
            <v:line style="position:absolute" from="3416,9448" to="4337,9448" stroked="true" strokeweight="1pt" strokecolor="#231f20"/>
            <v:line style="position:absolute" from="4337,9448" to="5258,9448" stroked="true" strokeweight="1pt" strokecolor="#231f20"/>
            <v:line style="position:absolute" from="5258,9448" to="6180,9448" stroked="true" strokeweight="1pt" strokecolor="#231f20"/>
            <v:line style="position:absolute" from="6180,9448" to="7370,9448" stroked="true" strokeweight="1pt" strokecolor="#231f20"/>
            <v:line style="position:absolute" from="7370,9448" to="7727,9448" stroked="true" strokeweight="1pt" strokecolor="#231f20"/>
            <v:line style="position:absolute" from="8039,9448" to="8351,9448" stroked="true" strokeweight="1pt" strokecolor="#231f20"/>
            <v:line style="position:absolute" from="8663,9448" to="8974,9448" stroked="true" strokeweight="1pt" strokecolor="#231f20"/>
            <v:line style="position:absolute" from="9286,9448" to="9598,9448" stroked="true" strokeweight="1pt" strokecolor="#231f20"/>
            <v:line style="position:absolute" from="9910,9448" to="10222,9448" stroked="true" strokeweight="1pt" strokecolor="#231f20"/>
            <v:line style="position:absolute" from="10534,9448" to="10845,9448" stroked="true" strokeweight="1pt" strokecolor="#231f20"/>
            <v:line style="position:absolute" from="11157,9448" to="11469,9448" stroked="true" strokeweight="1pt" strokecolor="#231f20"/>
            <v:line style="position:absolute" from="11781,9448" to="12113,9448" stroked="true" strokeweight="1pt" strokecolor="#231f20"/>
            <v:line style="position:absolute" from="12425,9448" to="12737,9448" stroked="true" strokeweight="1pt" strokecolor="#231f20"/>
            <v:line style="position:absolute" from="13049,9448" to="13361,9448" stroked="true" strokeweight="1pt" strokecolor="#231f20"/>
            <v:line style="position:absolute" from="13672,9448" to="13984,9448" stroked="true" strokeweight="1pt" strokecolor="#231f20"/>
            <v:line style="position:absolute" from="14296,9448" to="14608,9448" stroked="true" strokeweight="1pt" strokecolor="#231f20"/>
            <v:line style="position:absolute" from="14920,9448" to="15232,9448" stroked="true" strokeweight="1pt" strokecolor="#231f20"/>
            <v:line style="position:absolute" from="7727,939" to="8039,939" stroked="true" strokeweight="1.5pt" strokecolor="#fdb714"/>
            <v:line style="position:absolute" from="8039,939" to="8351,939" stroked="true" strokeweight="1.5pt" strokecolor="#fdb714"/>
            <v:line style="position:absolute" from="8351,939" to="8663,939" stroked="true" strokeweight="1.5pt" strokecolor="#fdb714"/>
            <v:line style="position:absolute" from="8663,939" to="8974,939" stroked="true" strokeweight="1.5pt" strokecolor="#fdb714"/>
            <v:line style="position:absolute" from="8974,939" to="9286,939" stroked="true" strokeweight="1.5pt" strokecolor="#fdb714"/>
            <v:line style="position:absolute" from="9286,939" to="9598,939" stroked="true" strokeweight="1.5pt" strokecolor="#fdb714"/>
            <v:line style="position:absolute" from="9598,939" to="9910,939" stroked="true" strokeweight="1.5pt" strokecolor="#fdb714"/>
            <v:line style="position:absolute" from="7727,1274" to="8039,1274" stroked="true" strokeweight="1.5pt" strokecolor="#fdb714"/>
            <v:line style="position:absolute" from="8039,1274" to="8351,1274" stroked="true" strokeweight="1.5pt" strokecolor="#fdb714"/>
            <v:line style="position:absolute" from="8351,1274" to="8663,1274" stroked="true" strokeweight="1.5pt" strokecolor="#fdb714"/>
            <v:line style="position:absolute" from="8663,1274" to="8974,1274" stroked="true" strokeweight="1.5pt" strokecolor="#fdb714"/>
            <v:line style="position:absolute" from="8974,1274" to="9286,1274" stroked="true" strokeweight="1.5pt" strokecolor="#fdb714"/>
            <v:line style="position:absolute" from="9286,1274" to="9598,1274" stroked="true" strokeweight="1.5pt" strokecolor="#fdb714"/>
            <v:line style="position:absolute" from="9598,1274" to="9910,1274" stroked="true" strokeweight="1.5pt" strokecolor="#fdb714"/>
            <v:line style="position:absolute" from="972,4533" to="2494,4533" stroked="true" strokeweight="1pt" strokecolor="#231f20"/>
            <v:line style="position:absolute" from="2494,4533" to="3416,4533" stroked="true" strokeweight="1pt" strokecolor="#231f20"/>
            <v:line style="position:absolute" from="3416,4533" to="4337,4533" stroked="true" strokeweight="1pt" strokecolor="#231f20"/>
            <v:line style="position:absolute" from="4337,4533" to="5258,4533" stroked="true" strokeweight="1pt" strokecolor="#231f20"/>
            <v:line style="position:absolute" from="5258,4533" to="6180,4533" stroked="true" strokeweight="1pt" strokecolor="#231f20"/>
            <v:line style="position:absolute" from="6180,4533" to="7370,4533" stroked="true" strokeweight="1pt" strokecolor="#231f20"/>
            <v:line style="position:absolute" from="7370,4533" to="7727,4533" stroked="true" strokeweight="1pt" strokecolor="#231f20"/>
            <v:rect style="position:absolute;left:7727;top:4523;width:312;height:20" filled="true" fillcolor="#231f20" stroked="false">
              <v:fill type="solid"/>
            </v:rect>
            <v:line style="position:absolute" from="8039,4533" to="8351,4533" stroked="true" strokeweight="1pt" strokecolor="#231f20"/>
            <v:line style="position:absolute" from="8663,4533" to="8974,4533" stroked="true" strokeweight="1pt" strokecolor="#231f20"/>
            <v:line style="position:absolute" from="9286,4533" to="9598,4533" stroked="true" strokeweight="1pt" strokecolor="#231f20"/>
            <v:line style="position:absolute" from="9910,4533" to="10222,4533" stroked="true" strokeweight="1pt" strokecolor="#231f20"/>
            <v:line style="position:absolute" from="10534,4533" to="10845,4533" stroked="true" strokeweight="1pt" strokecolor="#231f20"/>
            <v:line style="position:absolute" from="10845,4533" to="11157,4533" stroked="true" strokeweight="1pt" strokecolor="#231f20"/>
            <v:line style="position:absolute" from="11157,4533" to="11469,4533" stroked="true" strokeweight="1pt" strokecolor="#231f20"/>
            <v:line style="position:absolute" from="11469,4533" to="11781,4533" stroked="true" strokeweight="1pt" strokecolor="#231f20"/>
            <v:line style="position:absolute" from="11781,4533" to="12113,4533" stroked="true" strokeweight="1pt" strokecolor="#231f20"/>
            <v:line style="position:absolute" from="12113,4533" to="12425,4533" stroked="true" strokeweight="1pt" strokecolor="#231f20"/>
            <v:line style="position:absolute" from="12425,4533" to="12737,4533" stroked="true" strokeweight="1pt" strokecolor="#231f20"/>
            <v:line style="position:absolute" from="13049,4533" to="13361,4533" stroked="true" strokeweight="1pt" strokecolor="#231f20"/>
            <v:line style="position:absolute" from="13672,4533" to="13984,4533" stroked="true" strokeweight="1pt" strokecolor="#231f20"/>
            <v:line style="position:absolute" from="14296,4533" to="14608,4533" stroked="true" strokeweight="1pt" strokecolor="#231f20"/>
            <v:line style="position:absolute" from="14920,4533" to="15232,4533" stroked="true" strokeweight="1pt" strokecolor="#231f20"/>
            <v:shape style="position:absolute;left:7727;top:4523;width:7193;height:4935" coordorigin="7727,4523" coordsize="7193,4935" path="m8039,9438l7727,9438,7727,9458,8039,9458,8039,9438m8039,7911l7727,7911,7727,7931,8039,7931,8039,7911m8039,6385l7727,6385,7727,6405,8039,6405,8039,6385m8663,9438l8351,9438,8351,9458,8663,9458,8663,9438m8663,7911l8351,7911,8351,7931,8663,7931,8663,7911m8663,6385l8351,6385,8351,6405,8663,6405,8663,6385m8663,4523l8351,4523,8351,4543,8663,4543,8663,4523m9286,9438l8974,9438,8974,9458,9286,9458,9286,9438m9286,7911l8974,7911,8974,7931,9286,7931,9286,7911m9286,6385l8974,6385,8974,6405,9286,6405,9286,6385m9286,4523l8974,4523,8974,4543,9286,4543,9286,4523m9910,9438l9598,9438,9598,9458,9910,9458,9910,9438m9910,7911l9598,7911,9598,7931,9910,7931,9910,7911m9910,6385l9598,6385,9598,6405,9910,6405,9910,6385m9910,4523l9598,4523,9598,4543,9910,4543,9910,4523m10534,9438l10222,9438,10222,9458,10534,9458,10534,9438m10534,7911l10222,7911,10222,7931,10534,7931,10534,7911m10534,6385l10222,6385,10222,6405,10534,6405,10534,6385m10534,4523l10222,4523,10222,4543,10534,4543,10534,4523m11157,9438l10845,9438,10845,9458,11157,9458,11157,9438m11157,7911l10845,7911,10845,7931,11157,7931,11157,7911m11157,6385l10845,6385,10845,6405,11157,6405,11157,6385m11781,9438l11469,9438,11469,9458,11781,9458,11781,9438m11781,7911l11469,7911,11469,7931,11781,7931,11781,7911m11781,6385l11469,6385,11469,6405,11781,6405,11781,6385m12425,9438l12113,9438,12113,9458,12425,9458,12425,9438m12425,7911l12113,7911,12113,7931,12425,7931,12425,7911m12425,6385l12113,6385,12113,6405,12425,6405,12425,6385m13049,9438l12737,9438,12737,9458,13049,9458,13049,9438m13049,7911l12737,7911,12737,7931,13049,7931,13049,7911m13049,6385l12737,6385,12737,6405,13049,6405,13049,6385m13049,4523l12737,4523,12737,4543,13049,4543,13049,4523m13672,9438l13361,9438,13361,9458,13672,9458,13672,9438m13672,7911l13361,7911,13361,7931,13672,7931,13672,7911m13672,6385l13361,6385,13361,6405,13672,6405,13672,6385m13672,4523l13361,4523,13361,4543,13672,4543,13672,4523m14296,9438l13984,9438,13984,9458,14296,9458,14296,9438m14296,7911l13984,7911,13984,7931,14296,7931,14296,7911m14296,6385l13984,6385,13984,6405,14296,6405,14296,6385m14296,4523l13984,4523,13984,4543,14296,4543,14296,4523m14920,9438l14608,9438,14608,9458,14920,9458,14920,9438m14920,7911l14608,7911,14608,7931,14920,7931,14920,7911m14920,6385l14608,6385,14608,6405,14920,6405,14920,6385m14920,4523l14608,4523,14608,4543,14920,4543,14920,4523e" filled="true" fillcolor="#231f20" stroked="false">
              <v:path arrowok="t"/>
              <v:fill type="solid"/>
            </v:shape>
            <v:line style="position:absolute" from="7727,4868" to="7727,4543" stroked="true" strokeweight="1.5pt" strokecolor="#fdb714"/>
            <v:line style="position:absolute" from="8039,4868" to="8039,4543" stroked="true" strokeweight="1.5pt" strokecolor="#fdb714"/>
            <v:line style="position:absolute" from="7727,6729" to="7727,6405" stroked="true" strokeweight="1.5pt" strokecolor="#fdb714"/>
            <v:line style="position:absolute" from="8039,6729" to="8039,6405" stroked="true" strokeweight="1.5pt" strokecolor="#fdb714"/>
            <v:line style="position:absolute" from="7727,8256" to="7727,7931" stroked="true" strokeweight="1.5pt" strokecolor="#fdb714"/>
            <v:line style="position:absolute" from="8039,8256" to="8039,7931" stroked="true" strokeweight="1.5pt" strokecolor="#fdb714"/>
            <v:line style="position:absolute" from="7727,9782" to="7727,9458" stroked="true" strokeweight="1.5pt" strokecolor="#fdb714"/>
            <v:line style="position:absolute" from="8039,9782" to="8039,9458" stroked="true" strokeweight="1.5pt" strokecolor="#fdb714"/>
            <v:line style="position:absolute" from="972,10986" to="2494,10986" stroked="true" strokeweight="1pt" strokecolor="#231f20"/>
            <v:line style="position:absolute" from="2494,10986" to="3416,10986" stroked="true" strokeweight="1pt" strokecolor="#231f20"/>
            <v:line style="position:absolute" from="3416,10986" to="4337,10986" stroked="true" strokeweight="1pt" strokecolor="#231f20"/>
            <v:line style="position:absolute" from="4337,10986" to="5258,10986" stroked="true" strokeweight="1pt" strokecolor="#231f20"/>
            <v:line style="position:absolute" from="5258,10986" to="6180,10986" stroked="true" strokeweight="1pt" strokecolor="#231f20"/>
            <v:line style="position:absolute" from="6180,10986" to="7370,10986" stroked="true" strokeweight="1pt" strokecolor="#231f20"/>
            <v:line style="position:absolute" from="7370,10986" to="7727,10986" stroked="true" strokeweight="1pt" strokecolor="#231f20"/>
            <v:line style="position:absolute" from="7727,10986" to="8039,10986" stroked="true" strokeweight="1pt" strokecolor="#231f20"/>
            <v:line style="position:absolute" from="8039,10986" to="8351,10986" stroked="true" strokeweight="1pt" strokecolor="#231f20"/>
            <v:line style="position:absolute" from="8351,10986" to="8663,10986" stroked="true" strokeweight="1pt" strokecolor="#231f20"/>
            <v:line style="position:absolute" from="8663,10986" to="8974,10986" stroked="true" strokeweight="1pt" strokecolor="#231f20"/>
            <v:line style="position:absolute" from="8974,10986" to="9286,10986" stroked="true" strokeweight="1pt" strokecolor="#231f20"/>
            <v:line style="position:absolute" from="9286,10986" to="9598,10986" stroked="true" strokeweight="1pt" strokecolor="#231f20"/>
            <v:line style="position:absolute" from="9598,10986" to="9910,10986" stroked="true" strokeweight="1pt" strokecolor="#231f20"/>
            <v:line style="position:absolute" from="9910,10986" to="10222,10986" stroked="true" strokeweight="1pt" strokecolor="#231f20"/>
            <v:line style="position:absolute" from="10222,10986" to="10534,10986" stroked="true" strokeweight="1.0pt" strokecolor="#231f20"/>
            <v:line style="position:absolute" from="10534,10986" to="10845,10986" stroked="true" strokeweight="1pt" strokecolor="#231f20"/>
            <v:line style="position:absolute" from="10845,10986" to="11157,10986" stroked="true" strokeweight="1pt" strokecolor="#231f20"/>
            <v:line style="position:absolute" from="11157,10986" to="11469,10986" stroked="true" strokeweight="1pt" strokecolor="#231f20"/>
            <v:line style="position:absolute" from="11469,10986" to="11781,10986" stroked="true" strokeweight="1pt" strokecolor="#231f20"/>
            <v:line style="position:absolute" from="11781,10986" to="12113,10986" stroked="true" strokeweight="1pt" strokecolor="#231f20"/>
            <v:line style="position:absolute" from="12113,10986" to="12425,10986" stroked="true" strokeweight="1pt" strokecolor="#231f20"/>
            <v:line style="position:absolute" from="12425,10986" to="12737,10986" stroked="true" strokeweight="1pt" strokecolor="#231f20"/>
            <v:line style="position:absolute" from="12737,10986" to="13049,10986" stroked="true" strokeweight="1pt" strokecolor="#231f20"/>
            <v:line style="position:absolute" from="13049,10986" to="13361,10986" stroked="true" strokeweight="1pt" strokecolor="#231f20"/>
            <v:line style="position:absolute" from="13361,10986" to="13672,10986" stroked="true" strokeweight="1pt" strokecolor="#231f20"/>
            <v:line style="position:absolute" from="13672,10986" to="13984,10986" stroked="true" strokeweight="1pt" strokecolor="#231f20"/>
            <v:line style="position:absolute" from="13984,10986" to="14296,10986" stroked="true" strokeweight="1pt" strokecolor="#231f20"/>
            <v:line style="position:absolute" from="14296,10986" to="14608,10986" stroked="true" strokeweight="1pt" strokecolor="#231f20"/>
            <v:line style="position:absolute" from="14608,10986" to="14920,10986" stroked="true" strokeweight="1pt" strokecolor="#231f20"/>
            <v:line style="position:absolute" from="14920,10986" to="15232,10986" stroked="true" strokeweight="1pt" strokecolor="#231f20"/>
            <v:line style="position:absolute" from="972,3639" to="2494,3639" stroked="true" strokeweight="1pt" strokecolor="#939598"/>
            <v:line style="position:absolute" from="2494,3639" to="3416,3639" stroked="true" strokeweight="1pt" strokecolor="#939598"/>
            <v:line style="position:absolute" from="3416,3639" to="4337,3639" stroked="true" strokeweight="1pt" strokecolor="#939598"/>
            <v:line style="position:absolute" from="4337,3639" to="5258,3639" stroked="true" strokeweight="1pt" strokecolor="#939598"/>
            <v:line style="position:absolute" from="5258,3639" to="6180,3639" stroked="true" strokeweight="1pt" strokecolor="#939598"/>
            <v:line style="position:absolute" from="6180,3639" to="7370,3639" stroked="true" strokeweight="1pt" strokecolor="#939598"/>
            <v:line style="position:absolute" from="7370,3639" to="7727,3639" stroked="true" strokeweight="1pt" strokecolor="#939598"/>
            <v:line style="position:absolute" from="7727,3639" to="8039,3639" stroked="true" strokeweight="1pt" strokecolor="#939598"/>
            <v:line style="position:absolute" from="8039,3639" to="8351,3639" stroked="true" strokeweight="1pt" strokecolor="#939598"/>
            <v:line style="position:absolute" from="8351,3639" to="8663,3639" stroked="true" strokeweight="1pt" strokecolor="#939598"/>
            <v:line style="position:absolute" from="8663,3639" to="8974,3639" stroked="true" strokeweight="1pt" strokecolor="#939598"/>
            <v:line style="position:absolute" from="8974,3639" to="9286,3639" stroked="true" strokeweight="1pt" strokecolor="#939598"/>
            <v:line style="position:absolute" from="9286,3639" to="9598,3639" stroked="true" strokeweight="1pt" strokecolor="#939598"/>
            <v:line style="position:absolute" from="9598,3639" to="9910,3639" stroked="true" strokeweight="1pt" strokecolor="#939598"/>
            <v:line style="position:absolute" from="9910,3639" to="10222,3639" stroked="true" strokeweight="1pt" strokecolor="#939598"/>
            <v:line style="position:absolute" from="10222,3639" to="10534,3639" stroked="true" strokeweight="1pt" strokecolor="#939598"/>
            <v:line style="position:absolute" from="10534,3639" to="10845,3639" stroked="true" strokeweight="1pt" strokecolor="#939598"/>
            <v:line style="position:absolute" from="10845,3639" to="11157,3639" stroked="true" strokeweight="1pt" strokecolor="#939598"/>
            <v:line style="position:absolute" from="11157,3639" to="11469,3639" stroked="true" strokeweight="1pt" strokecolor="#939598"/>
            <v:line style="position:absolute" from="11469,3639" to="11781,3639" stroked="true" strokeweight="1pt" strokecolor="#939598"/>
            <v:line style="position:absolute" from="11781,3639" to="12113,3639" stroked="true" strokeweight="1pt" strokecolor="#939598"/>
            <v:line style="position:absolute" from="12113,3639" to="12425,3639" stroked="true" strokeweight="1pt" strokecolor="#939598"/>
            <v:line style="position:absolute" from="12425,3639" to="12737,3639" stroked="true" strokeweight="1pt" strokecolor="#939598"/>
            <v:line style="position:absolute" from="12737,3639" to="13049,3639" stroked="true" strokeweight="1pt" strokecolor="#939598"/>
            <v:line style="position:absolute" from="13049,3639" to="13361,3639" stroked="true" strokeweight="1pt" strokecolor="#939598"/>
            <v:line style="position:absolute" from="13361,3639" to="13672,3639" stroked="true" strokeweight="1pt" strokecolor="#939598"/>
            <v:line style="position:absolute" from="13672,3639" to="13984,3639" stroked="true" strokeweight="1pt" strokecolor="#939598"/>
            <v:line style="position:absolute" from="13984,3639" to="14296,3639" stroked="true" strokeweight="1pt" strokecolor="#939598"/>
            <v:line style="position:absolute" from="14296,3639" to="14608,3639" stroked="true" strokeweight="1pt" strokecolor="#939598"/>
            <v:line style="position:absolute" from="14608,3639" to="14920,3639" stroked="true" strokeweight="1pt" strokecolor="#939598"/>
            <v:line style="position:absolute" from="14920,3639" to="15232,3639" stroked="true" strokeweight="1pt" strokecolor="#939598"/>
            <v:line style="position:absolute" from="972,3937" to="2494,3937" stroked="true" strokeweight="1pt" strokecolor="#939598"/>
            <v:line style="position:absolute" from="2494,3937" to="3416,3937" stroked="true" strokeweight="1pt" strokecolor="#939598"/>
            <v:line style="position:absolute" from="3416,3937" to="4337,3937" stroked="true" strokeweight="1pt" strokecolor="#939598"/>
            <v:line style="position:absolute" from="4337,3937" to="5258,3937" stroked="true" strokeweight="1pt" strokecolor="#939598"/>
            <v:line style="position:absolute" from="5258,3937" to="6180,3937" stroked="true" strokeweight="1pt" strokecolor="#939598"/>
            <v:line style="position:absolute" from="6180,3937" to="7370,3937" stroked="true" strokeweight="1pt" strokecolor="#939598"/>
            <v:line style="position:absolute" from="7370,3937" to="7727,3937" stroked="true" strokeweight="1pt" strokecolor="#939598"/>
            <v:line style="position:absolute" from="7727,3937" to="8039,3937" stroked="true" strokeweight="1pt" strokecolor="#939598"/>
            <v:line style="position:absolute" from="8039,3937" to="8351,3937" stroked="true" strokeweight="1pt" strokecolor="#939598"/>
            <v:line style="position:absolute" from="8351,3937" to="8663,3937" stroked="true" strokeweight="1pt" strokecolor="#939598"/>
            <v:line style="position:absolute" from="8663,3937" to="8974,3937" stroked="true" strokeweight="1pt" strokecolor="#939598"/>
            <v:line style="position:absolute" from="8974,3937" to="9286,3937" stroked="true" strokeweight="1pt" strokecolor="#939598"/>
            <v:line style="position:absolute" from="9286,3937" to="9598,3937" stroked="true" strokeweight="1pt" strokecolor="#939598"/>
            <v:line style="position:absolute" from="9598,3937" to="9910,3937" stroked="true" strokeweight="1pt" strokecolor="#939598"/>
            <v:line style="position:absolute" from="9910,3937" to="10222,3937" stroked="true" strokeweight="1pt" strokecolor="#939598"/>
            <v:line style="position:absolute" from="10222,3937" to="10534,3937" stroked="true" strokeweight="1pt" strokecolor="#939598"/>
            <v:line style="position:absolute" from="10534,3937" to="10845,3937" stroked="true" strokeweight="1pt" strokecolor="#939598"/>
            <v:line style="position:absolute" from="10845,3937" to="11157,3937" stroked="true" strokeweight="1pt" strokecolor="#939598"/>
            <v:line style="position:absolute" from="11157,3937" to="11469,3937" stroked="true" strokeweight="1pt" strokecolor="#939598"/>
            <v:line style="position:absolute" from="11469,3937" to="11781,3937" stroked="true" strokeweight="1pt" strokecolor="#939598"/>
            <v:line style="position:absolute" from="11781,3937" to="12113,3937" stroked="true" strokeweight="1pt" strokecolor="#939598"/>
            <v:line style="position:absolute" from="12113,3937" to="12425,3937" stroked="true" strokeweight="1pt" strokecolor="#939598"/>
            <v:line style="position:absolute" from="12425,3937" to="12737,3937" stroked="true" strokeweight="1pt" strokecolor="#939598"/>
            <v:line style="position:absolute" from="12737,3937" to="13049,3937" stroked="true" strokeweight="1pt" strokecolor="#939598"/>
            <v:line style="position:absolute" from="13049,3937" to="13361,3937" stroked="true" strokeweight="1pt" strokecolor="#939598"/>
            <v:line style="position:absolute" from="13361,3937" to="13672,3937" stroked="true" strokeweight="1pt" strokecolor="#939598"/>
            <v:line style="position:absolute" from="13672,3937" to="13984,3937" stroked="true" strokeweight="1pt" strokecolor="#939598"/>
            <v:line style="position:absolute" from="13984,3937" to="14296,3937" stroked="true" strokeweight="1pt" strokecolor="#939598"/>
            <v:line style="position:absolute" from="14296,3937" to="14608,3937" stroked="true" strokeweight="1pt" strokecolor="#939598"/>
            <v:line style="position:absolute" from="14608,3937" to="14920,3937" stroked="true" strokeweight="1pt" strokecolor="#939598"/>
            <v:line style="position:absolute" from="14920,3937" to="15232,3937" stroked="true" strokeweight="1pt" strokecolor="#939598"/>
            <v:line style="position:absolute" from="972,4235" to="2494,4235" stroked="true" strokeweight="1pt" strokecolor="#939598"/>
            <v:line style="position:absolute" from="2494,4235" to="3416,4235" stroked="true" strokeweight="1pt" strokecolor="#939598"/>
            <v:line style="position:absolute" from="3416,4235" to="4337,4235" stroked="true" strokeweight="1pt" strokecolor="#939598"/>
            <v:line style="position:absolute" from="4337,4235" to="5258,4235" stroked="true" strokeweight="1pt" strokecolor="#939598"/>
            <v:line style="position:absolute" from="5258,4235" to="6180,4235" stroked="true" strokeweight="1pt" strokecolor="#939598"/>
            <v:line style="position:absolute" from="6180,4235" to="7370,4235" stroked="true" strokeweight="1pt" strokecolor="#939598"/>
            <v:line style="position:absolute" from="7370,4235" to="7727,4235" stroked="true" strokeweight="1pt" strokecolor="#939598"/>
            <v:line style="position:absolute" from="7727,4235" to="8039,4235" stroked="true" strokeweight="1pt" strokecolor="#939598"/>
            <v:line style="position:absolute" from="8039,4235" to="8351,4235" stroked="true" strokeweight="1pt" strokecolor="#939598"/>
            <v:line style="position:absolute" from="8351,4235" to="8663,4235" stroked="true" strokeweight="1pt" strokecolor="#939598"/>
            <v:line style="position:absolute" from="8663,4235" to="8974,4235" stroked="true" strokeweight="1pt" strokecolor="#939598"/>
            <v:line style="position:absolute" from="8974,4235" to="9286,4235" stroked="true" strokeweight="1pt" strokecolor="#939598"/>
            <v:line style="position:absolute" from="9286,4235" to="9598,4235" stroked="true" strokeweight="1pt" strokecolor="#939598"/>
            <v:line style="position:absolute" from="9598,4235" to="9910,4235" stroked="true" strokeweight="1pt" strokecolor="#939598"/>
            <v:line style="position:absolute" from="9910,4235" to="10222,4235" stroked="true" strokeweight="1pt" strokecolor="#939598"/>
            <v:line style="position:absolute" from="10222,4235" to="10534,4235" stroked="true" strokeweight="1pt" strokecolor="#939598"/>
            <v:line style="position:absolute" from="10534,4235" to="10845,4235" stroked="true" strokeweight="1pt" strokecolor="#939598"/>
            <v:line style="position:absolute" from="10845,4235" to="11157,4235" stroked="true" strokeweight="1pt" strokecolor="#939598"/>
            <v:line style="position:absolute" from="11157,4235" to="11469,4235" stroked="true" strokeweight="1pt" strokecolor="#939598"/>
            <v:line style="position:absolute" from="11469,4235" to="11781,4235" stroked="true" strokeweight="1pt" strokecolor="#939598"/>
            <v:line style="position:absolute" from="11781,4235" to="12113,4235" stroked="true" strokeweight="1pt" strokecolor="#939598"/>
            <v:line style="position:absolute" from="12113,4235" to="12425,4235" stroked="true" strokeweight="1pt" strokecolor="#939598"/>
            <v:line style="position:absolute" from="12425,4235" to="12737,4235" stroked="true" strokeweight="1pt" strokecolor="#939598"/>
            <v:line style="position:absolute" from="12737,4235" to="13049,4235" stroked="true" strokeweight="1pt" strokecolor="#939598"/>
            <v:line style="position:absolute" from="13049,4235" to="13361,4235" stroked="true" strokeweight="1pt" strokecolor="#939598"/>
            <v:line style="position:absolute" from="13361,4235" to="13672,4235" stroked="true" strokeweight="1pt" strokecolor="#939598"/>
            <v:line style="position:absolute" from="13672,4235" to="13984,4235" stroked="true" strokeweight="1pt" strokecolor="#939598"/>
            <v:line style="position:absolute" from="13984,4235" to="14296,4235" stroked="true" strokeweight="1pt" strokecolor="#939598"/>
            <v:line style="position:absolute" from="14296,4235" to="14608,4235" stroked="true" strokeweight="1pt" strokecolor="#939598"/>
            <v:line style="position:absolute" from="14608,4235" to="14920,4235" stroked="true" strokeweight="1pt" strokecolor="#939598"/>
            <v:line style="position:absolute" from="14920,4235" to="15232,4235" stroked="true" strokeweight="1pt" strokecolor="#939598"/>
            <v:line style="position:absolute" from="972,5166" to="2494,5166" stroked="true" strokeweight="1pt" strokecolor="#939598"/>
            <v:line style="position:absolute" from="2494,5166" to="3416,5166" stroked="true" strokeweight="1pt" strokecolor="#939598"/>
            <v:line style="position:absolute" from="3416,5166" to="4337,5166" stroked="true" strokeweight="1pt" strokecolor="#939598"/>
            <v:line style="position:absolute" from="4337,5166" to="5258,5166" stroked="true" strokeweight="1pt" strokecolor="#939598"/>
            <v:line style="position:absolute" from="5258,5166" to="6180,5166" stroked="true" strokeweight="1pt" strokecolor="#939598"/>
            <v:line style="position:absolute" from="6180,5166" to="7370,5166" stroked="true" strokeweight="1pt" strokecolor="#939598"/>
            <v:line style="position:absolute" from="7370,5166" to="7727,5166" stroked="true" strokeweight="1pt" strokecolor="#939598"/>
            <v:line style="position:absolute" from="7727,5166" to="8039,5166" stroked="true" strokeweight="1pt" strokecolor="#939598"/>
            <v:line style="position:absolute" from="8039,5166" to="8351,5166" stroked="true" strokeweight="1pt" strokecolor="#939598"/>
            <v:line style="position:absolute" from="8351,5166" to="8663,5166" stroked="true" strokeweight="1pt" strokecolor="#939598"/>
            <v:line style="position:absolute" from="8663,5166" to="8974,5166" stroked="true" strokeweight="1pt" strokecolor="#939598"/>
            <v:line style="position:absolute" from="8974,5166" to="9286,5166" stroked="true" strokeweight="1pt" strokecolor="#939598"/>
            <v:line style="position:absolute" from="9286,5166" to="9598,5166" stroked="true" strokeweight="1pt" strokecolor="#939598"/>
            <v:line style="position:absolute" from="9598,5166" to="9910,5166" stroked="true" strokeweight="1pt" strokecolor="#939598"/>
            <v:line style="position:absolute" from="9910,5166" to="10222,5166" stroked="true" strokeweight="1pt" strokecolor="#939598"/>
            <v:line style="position:absolute" from="10222,5166" to="10534,5166" stroked="true" strokeweight="1pt" strokecolor="#939598"/>
            <v:line style="position:absolute" from="10534,5166" to="10845,5166" stroked="true" strokeweight="1pt" strokecolor="#939598"/>
            <v:line style="position:absolute" from="10845,5166" to="11157,5166" stroked="true" strokeweight="1pt" strokecolor="#939598"/>
            <v:line style="position:absolute" from="11157,5166" to="11469,5166" stroked="true" strokeweight="1pt" strokecolor="#939598"/>
            <v:line style="position:absolute" from="11469,5166" to="11781,5166" stroked="true" strokeweight="1pt" strokecolor="#939598"/>
            <v:line style="position:absolute" from="11781,5166" to="12113,5166" stroked="true" strokeweight="1pt" strokecolor="#939598"/>
            <v:line style="position:absolute" from="12113,5166" to="12425,5166" stroked="true" strokeweight="1pt" strokecolor="#939598"/>
            <v:line style="position:absolute" from="12425,5166" to="12737,5166" stroked="true" strokeweight="1pt" strokecolor="#939598"/>
            <v:line style="position:absolute" from="12737,5166" to="13049,5166" stroked="true" strokeweight="1pt" strokecolor="#939598"/>
            <v:line style="position:absolute" from="13049,5166" to="13361,5166" stroked="true" strokeweight="1pt" strokecolor="#939598"/>
            <v:line style="position:absolute" from="13361,5166" to="13672,5166" stroked="true" strokeweight="1pt" strokecolor="#939598"/>
            <v:line style="position:absolute" from="13672,5166" to="13984,5166" stroked="true" strokeweight="1pt" strokecolor="#939598"/>
            <v:line style="position:absolute" from="13984,5166" to="14296,5166" stroked="true" strokeweight="1pt" strokecolor="#939598"/>
            <v:line style="position:absolute" from="14296,5166" to="14608,5166" stroked="true" strokeweight="1pt" strokecolor="#939598"/>
            <v:line style="position:absolute" from="14608,5166" to="14920,5166" stroked="true" strokeweight="1pt" strokecolor="#939598"/>
            <v:line style="position:absolute" from="14920,5166" to="15232,5166" stroked="true" strokeweight="1pt" strokecolor="#939598"/>
            <v:line style="position:absolute" from="972,5464" to="2494,5464" stroked="true" strokeweight="1pt" strokecolor="#939598"/>
            <v:line style="position:absolute" from="2494,5464" to="3416,5464" stroked="true" strokeweight="1pt" strokecolor="#939598"/>
            <v:line style="position:absolute" from="3416,5464" to="4337,5464" stroked="true" strokeweight="1pt" strokecolor="#939598"/>
            <v:line style="position:absolute" from="4337,5464" to="5258,5464" stroked="true" strokeweight="1pt" strokecolor="#939598"/>
            <v:line style="position:absolute" from="5258,5464" to="6180,5464" stroked="true" strokeweight="1pt" strokecolor="#939598"/>
            <v:line style="position:absolute" from="6180,5464" to="7370,5464" stroked="true" strokeweight="1pt" strokecolor="#939598"/>
            <v:line style="position:absolute" from="7370,5464" to="7727,5464" stroked="true" strokeweight="1pt" strokecolor="#939598"/>
            <v:line style="position:absolute" from="7727,5464" to="8039,5464" stroked="true" strokeweight="1pt" strokecolor="#939598"/>
            <v:line style="position:absolute" from="8039,5464" to="8351,5464" stroked="true" strokeweight="1pt" strokecolor="#939598"/>
            <v:line style="position:absolute" from="8351,5464" to="8663,5464" stroked="true" strokeweight="1pt" strokecolor="#939598"/>
            <v:line style="position:absolute" from="8663,5464" to="8974,5464" stroked="true" strokeweight="1pt" strokecolor="#939598"/>
            <v:line style="position:absolute" from="8974,5464" to="9286,5464" stroked="true" strokeweight="1pt" strokecolor="#939598"/>
            <v:line style="position:absolute" from="9286,5464" to="9598,5464" stroked="true" strokeweight="1pt" strokecolor="#939598"/>
            <v:line style="position:absolute" from="9598,5464" to="9910,5464" stroked="true" strokeweight="1pt" strokecolor="#939598"/>
            <v:line style="position:absolute" from="9910,5464" to="10222,5464" stroked="true" strokeweight="1pt" strokecolor="#939598"/>
            <v:line style="position:absolute" from="10222,5464" to="10534,5464" stroked="true" strokeweight="1pt" strokecolor="#939598"/>
            <v:line style="position:absolute" from="10534,5464" to="10845,5464" stroked="true" strokeweight="1pt" strokecolor="#939598"/>
            <v:line style="position:absolute" from="10845,5464" to="11157,5464" stroked="true" strokeweight="1pt" strokecolor="#939598"/>
            <v:line style="position:absolute" from="11157,5464" to="11469,5464" stroked="true" strokeweight="1pt" strokecolor="#939598"/>
            <v:line style="position:absolute" from="11469,5464" to="11781,5464" stroked="true" strokeweight="1pt" strokecolor="#939598"/>
            <v:line style="position:absolute" from="11781,5464" to="12113,5464" stroked="true" strokeweight="1pt" strokecolor="#939598"/>
            <v:line style="position:absolute" from="12113,5464" to="12425,5464" stroked="true" strokeweight="1pt" strokecolor="#939598"/>
            <v:line style="position:absolute" from="12425,5464" to="12737,5464" stroked="true" strokeweight="1pt" strokecolor="#939598"/>
            <v:line style="position:absolute" from="12737,5464" to="13049,5464" stroked="true" strokeweight="1pt" strokecolor="#939598"/>
            <v:line style="position:absolute" from="13049,5464" to="13361,5464" stroked="true" strokeweight="1pt" strokecolor="#939598"/>
            <v:line style="position:absolute" from="13361,5464" to="13672,5464" stroked="true" strokeweight="1pt" strokecolor="#939598"/>
            <v:line style="position:absolute" from="13672,5464" to="13984,5464" stroked="true" strokeweight="1pt" strokecolor="#939598"/>
            <v:line style="position:absolute" from="13984,5464" to="14296,5464" stroked="true" strokeweight="1pt" strokecolor="#939598"/>
            <v:line style="position:absolute" from="14296,5464" to="14608,5464" stroked="true" strokeweight="1pt" strokecolor="#939598"/>
            <v:line style="position:absolute" from="14608,5464" to="14920,5464" stroked="true" strokeweight="1pt" strokecolor="#939598"/>
            <v:line style="position:absolute" from="14920,5464" to="15232,5464" stroked="true" strokeweight="1pt" strokecolor="#939598"/>
            <v:line style="position:absolute" from="972,5762" to="2494,5762" stroked="true" strokeweight="1pt" strokecolor="#939598"/>
            <v:line style="position:absolute" from="2494,5762" to="3416,5762" stroked="true" strokeweight="1pt" strokecolor="#939598"/>
            <v:line style="position:absolute" from="3416,5762" to="4337,5762" stroked="true" strokeweight="1pt" strokecolor="#939598"/>
            <v:line style="position:absolute" from="4337,5762" to="5258,5762" stroked="true" strokeweight="1pt" strokecolor="#939598"/>
            <v:line style="position:absolute" from="5258,5762" to="6180,5762" stroked="true" strokeweight="1pt" strokecolor="#939598"/>
            <v:line style="position:absolute" from="6180,5762" to="7370,5762" stroked="true" strokeweight="1pt" strokecolor="#939598"/>
            <v:line style="position:absolute" from="7370,5762" to="7727,5762" stroked="true" strokeweight="1pt" strokecolor="#939598"/>
            <v:line style="position:absolute" from="7727,5762" to="8039,5762" stroked="true" strokeweight="1pt" strokecolor="#939598"/>
            <v:line style="position:absolute" from="8039,5762" to="8351,5762" stroked="true" strokeweight="1pt" strokecolor="#939598"/>
            <v:line style="position:absolute" from="8351,5762" to="8663,5762" stroked="true" strokeweight="1pt" strokecolor="#939598"/>
            <v:line style="position:absolute" from="8663,5762" to="8974,5762" stroked="true" strokeweight="1pt" strokecolor="#939598"/>
            <v:line style="position:absolute" from="8974,5762" to="9286,5762" stroked="true" strokeweight="1pt" strokecolor="#939598"/>
            <v:line style="position:absolute" from="9286,5762" to="9598,5762" stroked="true" strokeweight="1pt" strokecolor="#939598"/>
            <v:line style="position:absolute" from="9598,5762" to="9910,5762" stroked="true" strokeweight="1pt" strokecolor="#939598"/>
            <v:line style="position:absolute" from="9910,5762" to="10222,5762" stroked="true" strokeweight="1pt" strokecolor="#939598"/>
            <v:line style="position:absolute" from="10222,5762" to="10534,5762" stroked="true" strokeweight="1pt" strokecolor="#939598"/>
            <v:line style="position:absolute" from="10534,5762" to="10845,5762" stroked="true" strokeweight="1pt" strokecolor="#939598"/>
            <v:line style="position:absolute" from="10845,5762" to="11157,5762" stroked="true" strokeweight="1pt" strokecolor="#939598"/>
            <v:line style="position:absolute" from="11157,5762" to="11469,5762" stroked="true" strokeweight="1pt" strokecolor="#939598"/>
            <v:line style="position:absolute" from="11469,5762" to="11781,5762" stroked="true" strokeweight="1pt" strokecolor="#939598"/>
            <v:line style="position:absolute" from="11781,5762" to="12113,5762" stroked="true" strokeweight="1pt" strokecolor="#939598"/>
            <v:line style="position:absolute" from="12113,5762" to="12425,5762" stroked="true" strokeweight="1pt" strokecolor="#939598"/>
            <v:line style="position:absolute" from="12425,5762" to="12737,5762" stroked="true" strokeweight="1pt" strokecolor="#939598"/>
            <v:line style="position:absolute" from="12737,5762" to="13049,5762" stroked="true" strokeweight="1pt" strokecolor="#939598"/>
            <v:line style="position:absolute" from="13049,5762" to="13361,5762" stroked="true" strokeweight="1pt" strokecolor="#939598"/>
            <v:line style="position:absolute" from="13361,5762" to="13672,5762" stroked="true" strokeweight="1pt" strokecolor="#939598"/>
            <v:line style="position:absolute" from="13672,5762" to="13984,5762" stroked="true" strokeweight="1pt" strokecolor="#939598"/>
            <v:line style="position:absolute" from="13984,5762" to="14296,5762" stroked="true" strokeweight="1pt" strokecolor="#939598"/>
            <v:line style="position:absolute" from="14296,5762" to="14608,5762" stroked="true" strokeweight="1pt" strokecolor="#939598"/>
            <v:line style="position:absolute" from="14608,5762" to="14920,5762" stroked="true" strokeweight="1pt" strokecolor="#939598"/>
            <v:line style="position:absolute" from="14920,5762" to="15232,5762" stroked="true" strokeweight="1pt" strokecolor="#939598"/>
            <v:line style="position:absolute" from="972,7027" to="2494,7027" stroked="true" strokeweight="1pt" strokecolor="#939598"/>
            <v:line style="position:absolute" from="2494,7027" to="3416,7027" stroked="true" strokeweight="1pt" strokecolor="#939598"/>
            <v:line style="position:absolute" from="3416,7027" to="4337,7027" stroked="true" strokeweight="1pt" strokecolor="#939598"/>
            <v:line style="position:absolute" from="4337,7027" to="5258,7027" stroked="true" strokeweight="1pt" strokecolor="#939598"/>
            <v:line style="position:absolute" from="5258,7027" to="6180,7027" stroked="true" strokeweight="1pt" strokecolor="#939598"/>
            <v:line style="position:absolute" from="6180,7027" to="7370,7027" stroked="true" strokeweight="1pt" strokecolor="#939598"/>
            <v:line style="position:absolute" from="7370,7027" to="7727,7027" stroked="true" strokeweight="1pt" strokecolor="#939598"/>
            <v:line style="position:absolute" from="7727,7027" to="8039,7027" stroked="true" strokeweight="1pt" strokecolor="#939598"/>
            <v:line style="position:absolute" from="8039,7027" to="8351,7027" stroked="true" strokeweight="1pt" strokecolor="#939598"/>
            <v:line style="position:absolute" from="8351,7027" to="8663,7027" stroked="true" strokeweight="1pt" strokecolor="#939598"/>
            <v:line style="position:absolute" from="8663,7027" to="8974,7027" stroked="true" strokeweight="1pt" strokecolor="#939598"/>
            <v:line style="position:absolute" from="8974,7027" to="9286,7027" stroked="true" strokeweight="1pt" strokecolor="#939598"/>
            <v:line style="position:absolute" from="9286,7027" to="9598,7027" stroked="true" strokeweight="1pt" strokecolor="#939598"/>
            <v:line style="position:absolute" from="9598,7027" to="9910,7027" stroked="true" strokeweight="1pt" strokecolor="#939598"/>
            <v:line style="position:absolute" from="9910,7027" to="10222,7027" stroked="true" strokeweight="1pt" strokecolor="#939598"/>
            <v:line style="position:absolute" from="10222,7027" to="10534,7027" stroked="true" strokeweight="1pt" strokecolor="#939598"/>
            <v:line style="position:absolute" from="10534,7027" to="10845,7027" stroked="true" strokeweight="1pt" strokecolor="#939598"/>
            <v:line style="position:absolute" from="10845,7027" to="11157,7027" stroked="true" strokeweight="1pt" strokecolor="#939598"/>
            <v:line style="position:absolute" from="11157,7027" to="11469,7027" stroked="true" strokeweight="1pt" strokecolor="#939598"/>
            <v:line style="position:absolute" from="11469,7027" to="11781,7027" stroked="true" strokeweight="1pt" strokecolor="#939598"/>
            <v:line style="position:absolute" from="11781,7027" to="12113,7027" stroked="true" strokeweight="1pt" strokecolor="#939598"/>
            <v:line style="position:absolute" from="12113,7027" to="12425,7027" stroked="true" strokeweight="1pt" strokecolor="#939598"/>
            <v:line style="position:absolute" from="12425,7027" to="12737,7027" stroked="true" strokeweight="1pt" strokecolor="#939598"/>
            <v:line style="position:absolute" from="12737,7027" to="13049,7027" stroked="true" strokeweight="1pt" strokecolor="#939598"/>
            <v:line style="position:absolute" from="13049,7027" to="13361,7027" stroked="true" strokeweight="1pt" strokecolor="#939598"/>
            <v:line style="position:absolute" from="13361,7027" to="13672,7027" stroked="true" strokeweight="1pt" strokecolor="#939598"/>
            <v:line style="position:absolute" from="13672,7027" to="13984,7027" stroked="true" strokeweight="1pt" strokecolor="#939598"/>
            <v:line style="position:absolute" from="13984,7027" to="14296,7027" stroked="true" strokeweight="1pt" strokecolor="#939598"/>
            <v:line style="position:absolute" from="14296,7027" to="14608,7027" stroked="true" strokeweight="1pt" strokecolor="#939598"/>
            <v:line style="position:absolute" from="14608,7027" to="14920,7027" stroked="true" strokeweight="1pt" strokecolor="#939598"/>
            <v:line style="position:absolute" from="14920,7027" to="15232,7027" stroked="true" strokeweight="1pt" strokecolor="#939598"/>
            <v:line style="position:absolute" from="972,7623" to="2494,7623" stroked="true" strokeweight="1pt" strokecolor="#939598"/>
            <v:line style="position:absolute" from="2494,7623" to="3416,7623" stroked="true" strokeweight="1pt" strokecolor="#939598"/>
            <v:line style="position:absolute" from="3416,7623" to="4337,7623" stroked="true" strokeweight="1pt" strokecolor="#939598"/>
            <v:line style="position:absolute" from="4337,7623" to="5258,7623" stroked="true" strokeweight="1pt" strokecolor="#939598"/>
            <v:line style="position:absolute" from="5258,7623" to="6180,7623" stroked="true" strokeweight="1pt" strokecolor="#939598"/>
            <v:line style="position:absolute" from="6180,7623" to="7370,7623" stroked="true" strokeweight="1pt" strokecolor="#939598"/>
            <v:line style="position:absolute" from="7370,7623" to="7727,7623" stroked="true" strokeweight="1pt" strokecolor="#939598"/>
            <v:line style="position:absolute" from="7727,7623" to="8039,7623" stroked="true" strokeweight="1pt" strokecolor="#939598"/>
            <v:line style="position:absolute" from="8039,7623" to="8351,7623" stroked="true" strokeweight="1pt" strokecolor="#939598"/>
            <v:line style="position:absolute" from="8351,7623" to="8663,7623" stroked="true" strokeweight="1pt" strokecolor="#939598"/>
            <v:line style="position:absolute" from="8663,7623" to="8974,7623" stroked="true" strokeweight="1pt" strokecolor="#939598"/>
            <v:line style="position:absolute" from="8974,7623" to="9286,7623" stroked="true" strokeweight="1pt" strokecolor="#939598"/>
            <v:line style="position:absolute" from="9286,7623" to="9598,7623" stroked="true" strokeweight="1pt" strokecolor="#939598"/>
            <v:line style="position:absolute" from="9598,7623" to="9910,7623" stroked="true" strokeweight="1pt" strokecolor="#939598"/>
            <v:line style="position:absolute" from="9910,7623" to="10222,7623" stroked="true" strokeweight="1pt" strokecolor="#939598"/>
            <v:line style="position:absolute" from="10222,7623" to="10534,7623" stroked="true" strokeweight="1pt" strokecolor="#939598"/>
            <v:line style="position:absolute" from="10534,7623" to="10845,7623" stroked="true" strokeweight="1pt" strokecolor="#939598"/>
            <v:line style="position:absolute" from="10845,7623" to="11157,7623" stroked="true" strokeweight="1pt" strokecolor="#939598"/>
            <v:line style="position:absolute" from="11157,7623" to="11469,7623" stroked="true" strokeweight="1pt" strokecolor="#939598"/>
            <v:line style="position:absolute" from="11469,7623" to="11781,7623" stroked="true" strokeweight="1pt" strokecolor="#939598"/>
            <v:line style="position:absolute" from="11781,7623" to="12113,7623" stroked="true" strokeweight="1pt" strokecolor="#939598"/>
            <v:line style="position:absolute" from="12113,7623" to="12425,7623" stroked="true" strokeweight="1pt" strokecolor="#939598"/>
            <v:line style="position:absolute" from="12425,7623" to="12737,7623" stroked="true" strokeweight="1pt" strokecolor="#939598"/>
            <v:line style="position:absolute" from="12737,7623" to="13049,7623" stroked="true" strokeweight="1pt" strokecolor="#939598"/>
            <v:line style="position:absolute" from="13049,7623" to="13361,7623" stroked="true" strokeweight="1pt" strokecolor="#939598"/>
            <v:line style="position:absolute" from="13361,7623" to="13672,7623" stroked="true" strokeweight="1pt" strokecolor="#939598"/>
            <v:line style="position:absolute" from="13672,7623" to="13984,7623" stroked="true" strokeweight="1pt" strokecolor="#939598"/>
            <v:line style="position:absolute" from="13984,7623" to="14296,7623" stroked="true" strokeweight="1pt" strokecolor="#939598"/>
            <v:line style="position:absolute" from="14296,7623" to="14608,7623" stroked="true" strokeweight="1pt" strokecolor="#939598"/>
            <v:line style="position:absolute" from="14608,7623" to="14920,7623" stroked="true" strokeweight="1pt" strokecolor="#939598"/>
            <v:line style="position:absolute" from="14920,7623" to="15232,7623" stroked="true" strokeweight="1pt" strokecolor="#939598"/>
            <v:line style="position:absolute" from="972,8554" to="2494,8554" stroked="true" strokeweight="1pt" strokecolor="#939598"/>
            <v:line style="position:absolute" from="2494,8554" to="3416,8554" stroked="true" strokeweight="1pt" strokecolor="#939598"/>
            <v:line style="position:absolute" from="3416,8554" to="4337,8554" stroked="true" strokeweight="1pt" strokecolor="#939598"/>
            <v:line style="position:absolute" from="4337,8554" to="5258,8554" stroked="true" strokeweight="1pt" strokecolor="#939598"/>
            <v:line style="position:absolute" from="5258,8554" to="6180,8554" stroked="true" strokeweight="1pt" strokecolor="#939598"/>
            <v:line style="position:absolute" from="6180,8554" to="7370,8554" stroked="true" strokeweight="1pt" strokecolor="#939598"/>
            <v:line style="position:absolute" from="7370,8554" to="7727,8554" stroked="true" strokeweight="1pt" strokecolor="#939598"/>
            <v:line style="position:absolute" from="7727,8554" to="8039,8554" stroked="true" strokeweight="1pt" strokecolor="#939598"/>
            <v:line style="position:absolute" from="8039,8554" to="8351,8554" stroked="true" strokeweight="1pt" strokecolor="#939598"/>
            <v:line style="position:absolute" from="8351,8554" to="8663,8554" stroked="true" strokeweight="1pt" strokecolor="#939598"/>
            <v:line style="position:absolute" from="8663,8554" to="8974,8554" stroked="true" strokeweight="1pt" strokecolor="#939598"/>
            <v:line style="position:absolute" from="8974,8554" to="9286,8554" stroked="true" strokeweight="1pt" strokecolor="#939598"/>
            <v:line style="position:absolute" from="9286,8554" to="9598,8554" stroked="true" strokeweight="1pt" strokecolor="#939598"/>
            <v:line style="position:absolute" from="9598,8554" to="9910,8554" stroked="true" strokeweight="1pt" strokecolor="#939598"/>
            <v:line style="position:absolute" from="9910,8554" to="10222,8554" stroked="true" strokeweight="1pt" strokecolor="#939598"/>
            <v:line style="position:absolute" from="10222,8554" to="10534,8554" stroked="true" strokeweight="1pt" strokecolor="#939598"/>
            <v:line style="position:absolute" from="10534,8554" to="10845,8554" stroked="true" strokeweight="1pt" strokecolor="#939598"/>
            <v:line style="position:absolute" from="10845,8554" to="11157,8554" stroked="true" strokeweight="1pt" strokecolor="#939598"/>
            <v:line style="position:absolute" from="11157,8554" to="11469,8554" stroked="true" strokeweight="1pt" strokecolor="#939598"/>
            <v:line style="position:absolute" from="11469,8554" to="11781,8554" stroked="true" strokeweight="1pt" strokecolor="#939598"/>
            <v:line style="position:absolute" from="11781,8554" to="12113,8554" stroked="true" strokeweight="1pt" strokecolor="#939598"/>
            <v:line style="position:absolute" from="12113,8554" to="12425,8554" stroked="true" strokeweight="1pt" strokecolor="#939598"/>
            <v:line style="position:absolute" from="12425,8554" to="12737,8554" stroked="true" strokeweight="1pt" strokecolor="#939598"/>
            <v:line style="position:absolute" from="12737,8554" to="13049,8554" stroked="true" strokeweight="1pt" strokecolor="#939598"/>
            <v:line style="position:absolute" from="13049,8554" to="13361,8554" stroked="true" strokeweight="1pt" strokecolor="#939598"/>
            <v:line style="position:absolute" from="13361,8554" to="13672,8554" stroked="true" strokeweight="1pt" strokecolor="#939598"/>
            <v:line style="position:absolute" from="13672,8554" to="13984,8554" stroked="true" strokeweight="1pt" strokecolor="#939598"/>
            <v:line style="position:absolute" from="13984,8554" to="14296,8554" stroked="true" strokeweight="1pt" strokecolor="#939598"/>
            <v:line style="position:absolute" from="14296,8554" to="14608,8554" stroked="true" strokeweight="1pt" strokecolor="#939598"/>
            <v:line style="position:absolute" from="14608,8554" to="14920,8554" stroked="true" strokeweight="1pt" strokecolor="#939598"/>
            <v:line style="position:absolute" from="14920,8554" to="15232,8554" stroked="true" strokeweight="1pt" strokecolor="#939598"/>
            <v:line style="position:absolute" from="972,9150" to="2494,9150" stroked="true" strokeweight="1pt" strokecolor="#939598"/>
            <v:line style="position:absolute" from="2494,9150" to="3416,9150" stroked="true" strokeweight="1pt" strokecolor="#939598"/>
            <v:line style="position:absolute" from="3416,9150" to="4337,9150" stroked="true" strokeweight="1pt" strokecolor="#939598"/>
            <v:line style="position:absolute" from="4337,9150" to="5258,9150" stroked="true" strokeweight="1pt" strokecolor="#939598"/>
            <v:line style="position:absolute" from="5258,9150" to="6180,9150" stroked="true" strokeweight="1pt" strokecolor="#939598"/>
            <v:line style="position:absolute" from="6180,9150" to="7370,9150" stroked="true" strokeweight="1pt" strokecolor="#939598"/>
            <v:line style="position:absolute" from="7370,9150" to="7727,9150" stroked="true" strokeweight="1pt" strokecolor="#939598"/>
            <v:line style="position:absolute" from="7727,9150" to="8039,9150" stroked="true" strokeweight="1pt" strokecolor="#939598"/>
            <v:line style="position:absolute" from="8039,9150" to="8351,9150" stroked="true" strokeweight="1pt" strokecolor="#939598"/>
            <v:line style="position:absolute" from="8351,9150" to="8663,9150" stroked="true" strokeweight="1pt" strokecolor="#939598"/>
            <v:line style="position:absolute" from="8663,9150" to="8974,9150" stroked="true" strokeweight="1pt" strokecolor="#939598"/>
            <v:line style="position:absolute" from="8974,9150" to="9286,9150" stroked="true" strokeweight="1pt" strokecolor="#939598"/>
            <v:line style="position:absolute" from="9286,9150" to="9598,9150" stroked="true" strokeweight="1pt" strokecolor="#939598"/>
            <v:line style="position:absolute" from="9598,9150" to="9910,9150" stroked="true" strokeweight="1pt" strokecolor="#939598"/>
            <v:line style="position:absolute" from="9910,9150" to="10222,9150" stroked="true" strokeweight="1pt" strokecolor="#939598"/>
            <v:line style="position:absolute" from="10222,9150" to="10534,9150" stroked="true" strokeweight="1pt" strokecolor="#939598"/>
            <v:line style="position:absolute" from="10534,9150" to="10845,9150" stroked="true" strokeweight="1pt" strokecolor="#939598"/>
            <v:line style="position:absolute" from="10845,9150" to="11157,9150" stroked="true" strokeweight="1pt" strokecolor="#939598"/>
            <v:line style="position:absolute" from="11157,9150" to="11469,9150" stroked="true" strokeweight="1pt" strokecolor="#939598"/>
            <v:line style="position:absolute" from="11469,9150" to="11781,9150" stroked="true" strokeweight="1pt" strokecolor="#939598"/>
            <v:line style="position:absolute" from="11781,9150" to="12113,9150" stroked="true" strokeweight="1pt" strokecolor="#939598"/>
            <v:line style="position:absolute" from="12113,9150" to="12425,9150" stroked="true" strokeweight="1pt" strokecolor="#939598"/>
            <v:line style="position:absolute" from="12425,9150" to="12737,9150" stroked="true" strokeweight="1pt" strokecolor="#939598"/>
            <v:line style="position:absolute" from="12737,9150" to="13049,9150" stroked="true" strokeweight="1pt" strokecolor="#939598"/>
            <v:line style="position:absolute" from="13049,9150" to="13361,9150" stroked="true" strokeweight="1pt" strokecolor="#939598"/>
            <v:line style="position:absolute" from="13361,9150" to="13672,9150" stroked="true" strokeweight="1pt" strokecolor="#939598"/>
            <v:line style="position:absolute" from="13672,9150" to="13984,9150" stroked="true" strokeweight="1pt" strokecolor="#939598"/>
            <v:line style="position:absolute" from="13984,9150" to="14296,9150" stroked="true" strokeweight="1pt" strokecolor="#939598"/>
            <v:line style="position:absolute" from="14296,9150" to="14608,9150" stroked="true" strokeweight="1pt" strokecolor="#939598"/>
            <v:line style="position:absolute" from="14608,9150" to="14920,9150" stroked="true" strokeweight="1pt" strokecolor="#939598"/>
            <v:line style="position:absolute" from="14920,9150" to="15232,9150" stroked="true" strokeweight="1pt" strokecolor="#939598"/>
            <v:line style="position:absolute" from="972,7325" to="2494,7325" stroked="true" strokeweight="1pt" strokecolor="#939598"/>
            <v:line style="position:absolute" from="2494,7325" to="3416,7325" stroked="true" strokeweight="1pt" strokecolor="#939598"/>
            <v:line style="position:absolute" from="3416,7325" to="4337,7325" stroked="true" strokeweight="1pt" strokecolor="#939598"/>
            <v:line style="position:absolute" from="4337,7325" to="5258,7325" stroked="true" strokeweight="1pt" strokecolor="#939598"/>
            <v:line style="position:absolute" from="5258,7325" to="6180,7325" stroked="true" strokeweight="1pt" strokecolor="#939598"/>
            <v:line style="position:absolute" from="6180,7325" to="7370,7325" stroked="true" strokeweight="1pt" strokecolor="#939598"/>
            <v:line style="position:absolute" from="7370,7325" to="7727,7325" stroked="true" strokeweight="1pt" strokecolor="#939598"/>
            <v:line style="position:absolute" from="7727,7325" to="8039,7325" stroked="true" strokeweight="1pt" strokecolor="#939598"/>
            <v:line style="position:absolute" from="8039,7325" to="8351,7325" stroked="true" strokeweight="1pt" strokecolor="#939598"/>
            <v:line style="position:absolute" from="8351,7325" to="8663,7325" stroked="true" strokeweight="1pt" strokecolor="#939598"/>
            <v:line style="position:absolute" from="8663,7325" to="8974,7325" stroked="true" strokeweight="1pt" strokecolor="#939598"/>
            <v:line style="position:absolute" from="8974,7325" to="9286,7325" stroked="true" strokeweight="1pt" strokecolor="#939598"/>
            <v:line style="position:absolute" from="9286,7325" to="9598,7325" stroked="true" strokeweight="1pt" strokecolor="#939598"/>
            <v:line style="position:absolute" from="9598,7325" to="9910,7325" stroked="true" strokeweight="1pt" strokecolor="#939598"/>
            <v:line style="position:absolute" from="9910,7325" to="10222,7325" stroked="true" strokeweight="1pt" strokecolor="#939598"/>
            <v:line style="position:absolute" from="10222,7325" to="10534,7325" stroked="true" strokeweight="1pt" strokecolor="#939598"/>
            <v:line style="position:absolute" from="10534,7325" to="10845,7325" stroked="true" strokeweight="1pt" strokecolor="#939598"/>
            <v:line style="position:absolute" from="10845,7325" to="11157,7325" stroked="true" strokeweight="1pt" strokecolor="#939598"/>
            <v:line style="position:absolute" from="11157,7325" to="11469,7325" stroked="true" strokeweight="1pt" strokecolor="#939598"/>
            <v:line style="position:absolute" from="11469,7325" to="11781,7325" stroked="true" strokeweight="1pt" strokecolor="#939598"/>
            <v:line style="position:absolute" from="11781,7325" to="12113,7325" stroked="true" strokeweight="1pt" strokecolor="#939598"/>
            <v:line style="position:absolute" from="12113,7325" to="12425,7325" stroked="true" strokeweight="1pt" strokecolor="#939598"/>
            <v:line style="position:absolute" from="12425,7325" to="12737,7325" stroked="true" strokeweight="1pt" strokecolor="#939598"/>
            <v:line style="position:absolute" from="12737,7325" to="13049,7325" stroked="true" strokeweight="1pt" strokecolor="#939598"/>
            <v:line style="position:absolute" from="13049,7325" to="13361,7325" stroked="true" strokeweight="1pt" strokecolor="#939598"/>
            <v:line style="position:absolute" from="13361,7325" to="13672,7325" stroked="true" strokeweight="1pt" strokecolor="#939598"/>
            <v:line style="position:absolute" from="13672,7325" to="13984,7325" stroked="true" strokeweight="1pt" strokecolor="#939598"/>
            <v:line style="position:absolute" from="13984,7325" to="14296,7325" stroked="true" strokeweight="1pt" strokecolor="#939598"/>
            <v:line style="position:absolute" from="14296,7325" to="14608,7325" stroked="true" strokeweight="1pt" strokecolor="#939598"/>
            <v:line style="position:absolute" from="14608,7325" to="14920,7325" stroked="true" strokeweight="1pt" strokecolor="#939598"/>
            <v:line style="position:absolute" from="14920,7325" to="15232,7325" stroked="true" strokeweight="1pt" strokecolor="#939598"/>
            <v:line style="position:absolute" from="972,8852" to="2494,8852" stroked="true" strokeweight="1pt" strokecolor="#939598"/>
            <v:line style="position:absolute" from="2494,8852" to="3416,8852" stroked="true" strokeweight="1pt" strokecolor="#939598"/>
            <v:line style="position:absolute" from="3416,8852" to="4337,8852" stroked="true" strokeweight="1pt" strokecolor="#939598"/>
            <v:line style="position:absolute" from="4337,8852" to="5258,8852" stroked="true" strokeweight="1pt" strokecolor="#939598"/>
            <v:line style="position:absolute" from="5258,8852" to="6180,8852" stroked="true" strokeweight="1pt" strokecolor="#939598"/>
            <v:line style="position:absolute" from="6180,8852" to="7370,8852" stroked="true" strokeweight="1pt" strokecolor="#939598"/>
            <v:line style="position:absolute" from="7370,8852" to="7727,8852" stroked="true" strokeweight="1pt" strokecolor="#939598"/>
            <v:line style="position:absolute" from="7727,8852" to="8039,8852" stroked="true" strokeweight="1pt" strokecolor="#939598"/>
            <v:line style="position:absolute" from="8039,8852" to="8351,8852" stroked="true" strokeweight="1pt" strokecolor="#939598"/>
            <v:line style="position:absolute" from="8351,8852" to="8663,8852" stroked="true" strokeweight="1pt" strokecolor="#939598"/>
            <v:line style="position:absolute" from="8663,8852" to="8974,8852" stroked="true" strokeweight="1pt" strokecolor="#939598"/>
            <v:line style="position:absolute" from="8974,8852" to="9286,8852" stroked="true" strokeweight="1pt" strokecolor="#939598"/>
            <v:line style="position:absolute" from="9286,8852" to="9598,8852" stroked="true" strokeweight="1pt" strokecolor="#939598"/>
            <v:line style="position:absolute" from="9598,8852" to="9910,8852" stroked="true" strokeweight="1pt" strokecolor="#939598"/>
            <v:line style="position:absolute" from="9910,8852" to="10222,8852" stroked="true" strokeweight="1pt" strokecolor="#939598"/>
            <v:line style="position:absolute" from="10222,8852" to="10534,8852" stroked="true" strokeweight="1pt" strokecolor="#939598"/>
            <v:line style="position:absolute" from="10534,8852" to="10845,8852" stroked="true" strokeweight="1pt" strokecolor="#939598"/>
            <v:line style="position:absolute" from="10845,8852" to="11157,8852" stroked="true" strokeweight="1pt" strokecolor="#939598"/>
            <v:line style="position:absolute" from="11157,8852" to="11469,8852" stroked="true" strokeweight="1pt" strokecolor="#939598"/>
            <v:line style="position:absolute" from="11469,8852" to="11781,8852" stroked="true" strokeweight="1pt" strokecolor="#939598"/>
            <v:line style="position:absolute" from="11781,8852" to="12113,8852" stroked="true" strokeweight="1pt" strokecolor="#939598"/>
            <v:line style="position:absolute" from="12113,8852" to="12425,8852" stroked="true" strokeweight="1pt" strokecolor="#939598"/>
            <v:line style="position:absolute" from="12425,8852" to="12737,8852" stroked="true" strokeweight="1pt" strokecolor="#939598"/>
            <v:line style="position:absolute" from="12737,8852" to="13049,8852" stroked="true" strokeweight="1pt" strokecolor="#939598"/>
            <v:line style="position:absolute" from="13049,8852" to="13361,8852" stroked="true" strokeweight="1pt" strokecolor="#939598"/>
            <v:line style="position:absolute" from="13361,8852" to="13672,8852" stroked="true" strokeweight="1pt" strokecolor="#939598"/>
            <v:line style="position:absolute" from="13672,8852" to="13984,8852" stroked="true" strokeweight="1pt" strokecolor="#939598"/>
            <v:line style="position:absolute" from="13984,8852" to="14296,8852" stroked="true" strokeweight="1pt" strokecolor="#939598"/>
            <v:line style="position:absolute" from="14296,8852" to="14608,8852" stroked="true" strokeweight="1pt" strokecolor="#939598"/>
            <v:line style="position:absolute" from="14608,8852" to="14920,8852" stroked="true" strokeweight="1pt" strokecolor="#939598"/>
            <v:line style="position:absolute" from="14920,8852" to="15232,8852" stroked="true" strokeweight="1pt" strokecolor="#939598"/>
            <v:line style="position:absolute" from="972,10080" to="2494,10080" stroked="true" strokeweight="1pt" strokecolor="#939598"/>
            <v:line style="position:absolute" from="2494,10080" to="3416,10080" stroked="true" strokeweight="1pt" strokecolor="#939598"/>
            <v:line style="position:absolute" from="3416,10080" to="4337,10080" stroked="true" strokeweight="1pt" strokecolor="#939598"/>
            <v:line style="position:absolute" from="4337,10080" to="5258,10080" stroked="true" strokeweight="1pt" strokecolor="#939598"/>
            <v:line style="position:absolute" from="5258,10080" to="6180,10080" stroked="true" strokeweight="1pt" strokecolor="#939598"/>
            <v:line style="position:absolute" from="6180,10080" to="7370,10080" stroked="true" strokeweight="1pt" strokecolor="#939598"/>
            <v:line style="position:absolute" from="7370,10080" to="7727,10080" stroked="true" strokeweight="1pt" strokecolor="#939598"/>
            <v:line style="position:absolute" from="7727,10080" to="8039,10080" stroked="true" strokeweight="1pt" strokecolor="#939598"/>
            <v:line style="position:absolute" from="8039,10080" to="8351,10080" stroked="true" strokeweight="1pt" strokecolor="#939598"/>
            <v:line style="position:absolute" from="8351,10080" to="8663,10080" stroked="true" strokeweight="1pt" strokecolor="#939598"/>
            <v:line style="position:absolute" from="8663,10080" to="8974,10080" stroked="true" strokeweight="1pt" strokecolor="#939598"/>
            <v:line style="position:absolute" from="8974,10080" to="9286,10080" stroked="true" strokeweight="1pt" strokecolor="#939598"/>
            <v:line style="position:absolute" from="9286,10080" to="9598,10080" stroked="true" strokeweight="1pt" strokecolor="#939598"/>
            <v:line style="position:absolute" from="9598,10080" to="9910,10080" stroked="true" strokeweight="1pt" strokecolor="#939598"/>
            <v:line style="position:absolute" from="9910,10080" to="10222,10080" stroked="true" strokeweight="1pt" strokecolor="#939598"/>
            <v:line style="position:absolute" from="10222,10080" to="10534,10080" stroked="true" strokeweight="1.0pt" strokecolor="#939598"/>
            <v:line style="position:absolute" from="10534,10080" to="10845,10080" stroked="true" strokeweight="1pt" strokecolor="#939598"/>
            <v:line style="position:absolute" from="10845,10080" to="11157,10080" stroked="true" strokeweight="1pt" strokecolor="#939598"/>
            <v:line style="position:absolute" from="11157,10080" to="11469,10080" stroked="true" strokeweight="1pt" strokecolor="#939598"/>
            <v:line style="position:absolute" from="11469,10080" to="11781,10080" stroked="true" strokeweight="1pt" strokecolor="#939598"/>
            <v:line style="position:absolute" from="11781,10080" to="12113,10080" stroked="true" strokeweight="1pt" strokecolor="#939598"/>
            <v:line style="position:absolute" from="12113,10080" to="12425,10080" stroked="true" strokeweight="1pt" strokecolor="#939598"/>
            <v:line style="position:absolute" from="12425,10080" to="12737,10080" stroked="true" strokeweight="1pt" strokecolor="#939598"/>
            <v:line style="position:absolute" from="12737,10080" to="13049,10080" stroked="true" strokeweight="1pt" strokecolor="#939598"/>
            <v:line style="position:absolute" from="13049,10080" to="13361,10080" stroked="true" strokeweight="1pt" strokecolor="#939598"/>
            <v:line style="position:absolute" from="13361,10080" to="13672,10080" stroked="true" strokeweight="1pt" strokecolor="#939598"/>
            <v:line style="position:absolute" from="13672,10080" to="13984,10080" stroked="true" strokeweight="1pt" strokecolor="#939598"/>
            <v:line style="position:absolute" from="13984,10080" to="14296,10080" stroked="true" strokeweight="1pt" strokecolor="#939598"/>
            <v:line style="position:absolute" from="14296,10080" to="14608,10080" stroked="true" strokeweight="1pt" strokecolor="#939598"/>
            <v:line style="position:absolute" from="14608,10080" to="14920,10080" stroked="true" strokeweight="1pt" strokecolor="#939598"/>
            <v:line style="position:absolute" from="14920,10080" to="15232,10080" stroked="true" strokeweight="1pt" strokecolor="#939598"/>
            <v:line style="position:absolute" from="972,10378" to="2494,10378" stroked="true" strokeweight="1pt" strokecolor="#939598"/>
            <v:line style="position:absolute" from="2494,10378" to="3416,10378" stroked="true" strokeweight="1pt" strokecolor="#939598"/>
            <v:line style="position:absolute" from="3416,10378" to="4337,10378" stroked="true" strokeweight="1pt" strokecolor="#939598"/>
            <v:line style="position:absolute" from="4337,10378" to="5258,10378" stroked="true" strokeweight="1pt" strokecolor="#939598"/>
            <v:line style="position:absolute" from="5258,10378" to="6180,10378" stroked="true" strokeweight="1pt" strokecolor="#939598"/>
            <v:line style="position:absolute" from="6180,10378" to="7370,10378" stroked="true" strokeweight="1pt" strokecolor="#939598"/>
            <v:line style="position:absolute" from="7370,10378" to="7727,10378" stroked="true" strokeweight="1pt" strokecolor="#939598"/>
            <v:line style="position:absolute" from="7727,10378" to="8039,10378" stroked="true" strokeweight="1pt" strokecolor="#939598"/>
            <v:line style="position:absolute" from="8039,10378" to="8351,10378" stroked="true" strokeweight="1pt" strokecolor="#939598"/>
            <v:line style="position:absolute" from="8351,10378" to="8663,10378" stroked="true" strokeweight="1pt" strokecolor="#939598"/>
            <v:line style="position:absolute" from="8663,10378" to="8974,10378" stroked="true" strokeweight="1pt" strokecolor="#939598"/>
            <v:line style="position:absolute" from="8974,10378" to="9286,10378" stroked="true" strokeweight="1pt" strokecolor="#939598"/>
            <v:line style="position:absolute" from="9286,10378" to="9598,10378" stroked="true" strokeweight="1pt" strokecolor="#939598"/>
            <v:line style="position:absolute" from="9598,10378" to="9910,10378" stroked="true" strokeweight="1pt" strokecolor="#939598"/>
            <v:line style="position:absolute" from="9910,10378" to="10222,10378" stroked="true" strokeweight="1pt" strokecolor="#939598"/>
            <v:line style="position:absolute" from="10222,10378" to="10534,10378" stroked="true" strokeweight="1.0pt" strokecolor="#939598"/>
            <v:line style="position:absolute" from="10534,10378" to="10845,10378" stroked="true" strokeweight="1pt" strokecolor="#939598"/>
            <v:line style="position:absolute" from="10845,10378" to="11157,10378" stroked="true" strokeweight="1pt" strokecolor="#939598"/>
            <v:line style="position:absolute" from="11157,10378" to="11469,10378" stroked="true" strokeweight="1pt" strokecolor="#939598"/>
            <v:line style="position:absolute" from="11469,10378" to="11781,10378" stroked="true" strokeweight="1pt" strokecolor="#939598"/>
            <v:line style="position:absolute" from="11781,10378" to="12113,10378" stroked="true" strokeweight="1pt" strokecolor="#939598"/>
            <v:line style="position:absolute" from="12113,10378" to="12425,10378" stroked="true" strokeweight="1pt" strokecolor="#939598"/>
            <v:line style="position:absolute" from="12425,10378" to="12737,10378" stroked="true" strokeweight="1pt" strokecolor="#939598"/>
            <v:line style="position:absolute" from="12737,10378" to="13049,10378" stroked="true" strokeweight="1pt" strokecolor="#939598"/>
            <v:line style="position:absolute" from="13049,10378" to="13361,10378" stroked="true" strokeweight="1pt" strokecolor="#939598"/>
            <v:line style="position:absolute" from="13361,10378" to="13672,10378" stroked="true" strokeweight="1pt" strokecolor="#939598"/>
            <v:line style="position:absolute" from="13672,10378" to="13984,10378" stroked="true" strokeweight="1pt" strokecolor="#939598"/>
            <v:line style="position:absolute" from="13984,10378" to="14296,10378" stroked="true" strokeweight="1pt" strokecolor="#939598"/>
            <v:line style="position:absolute" from="14296,10378" to="14608,10378" stroked="true" strokeweight="1pt" strokecolor="#939598"/>
            <v:line style="position:absolute" from="14608,10378" to="14920,10378" stroked="true" strokeweight="1pt" strokecolor="#939598"/>
            <v:line style="position:absolute" from="14920,10378" to="15232,10378" stroked="true" strokeweight="1pt" strokecolor="#939598"/>
            <v:line style="position:absolute" from="972,10676" to="2494,10676" stroked="true" strokeweight="1pt" strokecolor="#939598"/>
            <v:line style="position:absolute" from="2494,10676" to="3416,10676" stroked="true" strokeweight="1pt" strokecolor="#939598"/>
            <v:line style="position:absolute" from="3416,10676" to="4337,10676" stroked="true" strokeweight="1pt" strokecolor="#939598"/>
            <v:line style="position:absolute" from="4337,10676" to="5258,10676" stroked="true" strokeweight="1pt" strokecolor="#939598"/>
            <v:line style="position:absolute" from="5258,10676" to="6180,10676" stroked="true" strokeweight="1pt" strokecolor="#939598"/>
            <v:line style="position:absolute" from="6180,10676" to="7370,10676" stroked="true" strokeweight="1pt" strokecolor="#939598"/>
            <v:line style="position:absolute" from="7370,10676" to="7727,10676" stroked="true" strokeweight="1pt" strokecolor="#939598"/>
            <v:line style="position:absolute" from="7727,10676" to="8039,10676" stroked="true" strokeweight="1pt" strokecolor="#939598"/>
            <v:line style="position:absolute" from="8039,10676" to="8351,10676" stroked="true" strokeweight="1pt" strokecolor="#939598"/>
            <v:line style="position:absolute" from="8351,10676" to="8663,10676" stroked="true" strokeweight="1pt" strokecolor="#939598"/>
            <v:line style="position:absolute" from="8663,10676" to="8974,10676" stroked="true" strokeweight="1pt" strokecolor="#939598"/>
            <v:line style="position:absolute" from="8974,10676" to="9286,10676" stroked="true" strokeweight="1pt" strokecolor="#939598"/>
            <v:line style="position:absolute" from="9286,10676" to="9598,10676" stroked="true" strokeweight="1pt" strokecolor="#939598"/>
            <v:line style="position:absolute" from="9598,10676" to="9910,10676" stroked="true" strokeweight="1pt" strokecolor="#939598"/>
            <v:line style="position:absolute" from="9910,10676" to="10222,10676" stroked="true" strokeweight="1pt" strokecolor="#939598"/>
            <v:line style="position:absolute" from="10222,10676" to="10534,10676" stroked="true" strokeweight="1.0pt" strokecolor="#939598"/>
            <v:line style="position:absolute" from="10534,10676" to="10845,10676" stroked="true" strokeweight="1pt" strokecolor="#939598"/>
            <v:line style="position:absolute" from="10845,10676" to="11157,10676" stroked="true" strokeweight="1pt" strokecolor="#939598"/>
            <v:line style="position:absolute" from="11157,10676" to="11469,10676" stroked="true" strokeweight="1pt" strokecolor="#939598"/>
            <v:line style="position:absolute" from="11469,10676" to="11781,10676" stroked="true" strokeweight="1pt" strokecolor="#939598"/>
            <v:line style="position:absolute" from="11781,10676" to="12113,10676" stroked="true" strokeweight="1pt" strokecolor="#939598"/>
            <v:line style="position:absolute" from="12113,10676" to="12425,10676" stroked="true" strokeweight="1pt" strokecolor="#939598"/>
            <v:line style="position:absolute" from="12425,10676" to="12737,10676" stroked="true" strokeweight="1pt" strokecolor="#939598"/>
            <v:line style="position:absolute" from="12737,10676" to="13049,10676" stroked="true" strokeweight="1pt" strokecolor="#939598"/>
            <v:line style="position:absolute" from="13049,10676" to="13361,10676" stroked="true" strokeweight="1pt" strokecolor="#939598"/>
            <v:line style="position:absolute" from="13361,10676" to="13672,10676" stroked="true" strokeweight="1pt" strokecolor="#939598"/>
            <v:line style="position:absolute" from="13672,10676" to="13984,10676" stroked="true" strokeweight="1pt" strokecolor="#939598"/>
            <v:line style="position:absolute" from="13984,10676" to="14296,10676" stroked="true" strokeweight="1pt" strokecolor="#939598"/>
            <v:line style="position:absolute" from="14296,10676" to="14608,10676" stroked="true" strokeweight="1pt" strokecolor="#939598"/>
            <v:line style="position:absolute" from="14608,10676" to="14920,10676" stroked="true" strokeweight="1pt" strokecolor="#939598"/>
            <v:line style="position:absolute" from="14920,10676" to="15232,10676" stroked="true" strokeweight="1pt" strokecolor="#939598"/>
            <v:shape style="position:absolute;left:10158;top:928;width:337;height:352" type="#_x0000_t75" stroked="false">
              <v:imagedata r:id="rId40" o:title=""/>
            </v:shape>
            <v:shape style="position:absolute;left:0;top:2433;width:16838;height:9473" coordorigin="0,2433" coordsize="16838,9473" path="m15982,2433l15619,2433,15619,10313,15982,10313,15982,2433m16838,11509l0,11509,0,11905,16838,11905,16838,11509e" filled="true" fillcolor="#fdb714" stroked="false">
              <v:path arrowok="t"/>
              <v:fill type="solid"/>
            </v:shape>
            <v:shape style="position:absolute;left:15391;top:10435;width:822;height:841" coordorigin="15391,10435" coordsize="822,841" path="m15391,10856l15398,10780,15417,10709,15447,10644,15488,10585,15537,10534,15594,10493,15658,10462,15728,10442,15802,10435,15876,10442,15945,10462,16009,10493,16067,10534,16116,10585,16157,10644,16187,10709,16206,10780,16213,10856,16206,10931,16187,11003,16157,11068,16116,11127,16067,11177,16009,11219,15945,11250,15876,11270,15802,11276,15728,11270,15658,11250,15594,11219,15537,11177,15488,11127,15447,11068,15417,11003,15398,10931,15391,10856xe" filled="true" fillcolor="#fdb714" stroked="false">
              <v:path arrowok="t"/>
              <v:fill type="solid"/>
            </v:shape>
            <v:line style="position:absolute" from="15966,10750" to="15966,10972" stroked="true" strokeweight="1.826414pt" strokecolor="#ffffff"/>
            <v:line style="position:absolute" from="15787,10750" to="15787,10972" stroked="true" strokeweight="1.824481pt" strokecolor="#ffffff"/>
            <v:line style="position:absolute" from="15877,10750" to="15877,10972" stroked="true" strokeweight="1.822548pt" strokecolor="#ffffff"/>
            <v:line style="position:absolute" from="15697,10750" to="15697,10973" stroked="true" strokeweight="1.846707pt" strokecolor="#ffffff"/>
            <v:shape style="position:absolute;left:15566;top:10645;width:518;height:412" coordorigin="15566,10645" coordsize="518,412" path="m15566,10984l15566,10719,15568,10704,15572,10690,15578,10678,15587,10667,15587,10667,15598,10658,15610,10651,15624,10647,15638,10645,16012,10645,16026,10647,16040,10651,16052,10658,16063,10667,16071,10678,16078,10691,16082,10704,16084,10719,16084,10984,16082,10998,16078,11012,16071,11025,16063,11036,16063,11036,16052,11045,16045,11048,16045,10710,16041,10701,16029,10689,16021,10685,15629,10685,15621,10689,15615,10695,15615,10695,15609,10701,15605,10710,15605,11048,15598,11045,15587,11036,15578,11025,15572,11012,15568,10998,15566,10984xm15605,11048l15605,10993,15609,11001,15621,11014,15629,11018,16021,11018,16029,11014,16035,11008,16035,11008,16041,11001,16045,10993,16045,11048,16040,11051,16026,11056,16012,11057,15638,11057,15624,11056,15610,11051,15605,11048xm15615,10695l15615,10695,15615,10695,15615,10695xe" filled="true" fillcolor="#ffffff" stroked="false">
              <v:path arrowok="t"/>
              <v:fill type="solid"/>
            </v:shape>
            <v:shape style="position:absolute;left:-20;top:11906;width:708;height:323" coordorigin="-20,11906" coordsize="708,323" path="m15568,10526l15568,10615,15626,10615,15628,10615,15633,10623,15642,10632,15647,10636,15655,10641,15662,10644,15684,10652,15701,10655,15722,10663,15757,10682,15796,10709,15805,10716,15817,10723,15829,10726,15841,10721,15849,10710,15848,10698,15841,10687,15833,10678,15822,10666,15809,10654,15796,10641,15785,10628,15780,10621,15776,10613,15776,10601,15796,10601,15810,10610,15820,10620,15825,10625,15880,10626,15874,10609,15862,10590,15848,10571,15836,10555,15820,10530,15807,10515,15793,10508,15770,10507,15742,10507,15697,10507,15654,10507,15630,10508,15568,10526xm15568,11187l15568,11098,15626,11098,15628,11097,15633,11089,15642,11081,15647,11077,15655,11072,15662,11068,15684,11061,15701,11057,15722,11050,15757,11031,15796,11003,15805,10997,15817,10990,15829,10987,15841,10991,15849,11003,15848,11015,15841,11025,15833,11035,15822,11047,15809,11059,15796,11071,15785,11085,15780,11091,15776,11100,15776,11112,15796,11112,15810,11103,15820,11092,15825,11087,15880,11087,15874,11104,15862,11123,15848,11142,15836,11157,15820,11183,15807,11197,15793,11204,15770,11206,15742,11206,15697,11206,15654,11206,15630,11205,15568,11187xe" filled="false" stroked="true" strokeweight=".977593pt" strokecolor="#fdb714">
              <v:path arrowok="t"/>
            </v:shape>
            <v:shape style="position:absolute;left:15568;top:10507;width:312;height:220" coordorigin="15568,10507" coordsize="312,220" path="m15568,10526l15630,10508,15654,10507,15770,10507,15793,10508,15807,10515,15820,10530,15836,10555,15862,10590,15874,10609,15880,10626,15825,10625,15820,10620,15810,10610,15796,10601,15776,10601,15776,10613,15776,10696,15757,10682,15722,10663,15701,10655,15684,10652,15662,10644,15655,10641,15647,10636,15633,10623,15628,10615,15626,10615,15568,10615,15568,10526xm15776,10696l15776,10613,15780,10621,15785,10628,15796,10641,15809,10654,15822,10666,15833,10678,15841,10687,15848,10698,15849,10710,15841,10721,15829,10726,15817,10723,15805,10716,15796,10709,15776,10696xe" filled="true" fillcolor="#ffffff" stroked="false">
              <v:path arrowok="t"/>
              <v:fill type="solid"/>
            </v:shape>
            <v:shape style="position:absolute;left:15568;top:10987;width:312;height:220" coordorigin="15568,10987" coordsize="312,220" path="m15776,11206l15776,11100,15776,11112,15796,11112,15810,11103,15820,11092,15825,11087,15880,11087,15874,11104,15862,11123,15836,11157,15820,11183,15807,11197,15793,11204,15776,11206xm15568,11187l15568,11098,15626,11098,15628,11097,15633,11089,15647,11077,15655,11072,15662,11068,15684,11061,15701,11057,15722,11050,15757,11031,15796,11003,15805,10997,15817,10990,15829,10987,15841,10991,15849,11003,15848,11015,15841,11025,15833,11035,15822,11047,15809,11059,15796,11071,15785,11085,15780,11091,15776,11100,15776,11206,15770,11206,15654,11206,15630,11205,15568,11187xe" filled="true" fillcolor="#ffffff" stroked="false">
              <v:path arrowok="t"/>
              <v:fill type="solid"/>
            </v:shape>
            <v:rect style="position:absolute;left:373;top:9241;width:323;height:907" filled="true" fillcolor="#fdb714" stroked="false">
              <v:fill type="solid"/>
            </v:rect>
            <w10:wrap type="none"/>
          </v:group>
        </w:pict>
      </w:r>
      <w:r>
        <w:rPr/>
        <w:pict>
          <v:shape style="position:absolute;margin-left:18.141172pt;margin-top:464.881897pt;width:15pt;height:15.35pt;mso-position-horizontal-relative:page;mso-position-vertical-relative:page;z-index:3280" type="#_x0000_t202" filled="false" stroked="false">
            <v:textbox inset="0,0,0,0" style="layout-flow:vertical">
              <w:txbxContent>
                <w:p>
                  <w:pPr>
                    <w:spacing w:line="291" w:lineRule="exact" w:before="0"/>
                    <w:ind w:left="20" w:right="-7" w:firstLine="0"/>
                    <w:jc w:val="left"/>
                    <w:rPr>
                      <w:rFonts w:ascii="Myriad Pro"/>
                      <w:sz w:val="26"/>
                    </w:rPr>
                  </w:pPr>
                  <w:r>
                    <w:rPr>
                      <w:rFonts w:ascii="Myriad Pro"/>
                      <w:color w:val="FFFFFF"/>
                      <w:sz w:val="26"/>
                    </w:rPr>
                    <w:t>21</w:t>
                  </w:r>
                </w:p>
              </w:txbxContent>
            </v:textbox>
            <w10:wrap type="none"/>
          </v:shape>
        </w:pict>
      </w:r>
      <w:r>
        <w:rPr/>
        <w:pict>
          <v:shape style="position:absolute;margin-left:21.808506pt;margin-top:251.320007pt;width:10pt;height:200.4pt;mso-position-horizontal-relative:page;mso-position-vertical-relative:page;z-index:3304" type="#_x0000_t202" filled="false" stroked="false">
            <v:textbox inset="0,0,0,0" style="layout-flow:vertical">
              <w:txbxContent>
                <w:p>
                  <w:pPr>
                    <w:spacing w:line="187" w:lineRule="exact" w:before="0"/>
                    <w:ind w:left="20" w:right="0" w:firstLine="0"/>
                    <w:jc w:val="left"/>
                    <w:rPr>
                      <w:rFonts w:ascii="Myriad Pro" w:hAnsi="Myriad Pro"/>
                      <w:sz w:val="16"/>
                    </w:rPr>
                  </w:pPr>
                  <w:r>
                    <w:rPr>
                      <w:rFonts w:ascii="Myriad Pro" w:hAnsi="Myriad Pro"/>
                      <w:color w:val="6D6E71"/>
                      <w:sz w:val="16"/>
                    </w:rPr>
                    <w:t>Module 7 - LÉGIFÉRER POUR LES DROI</w:t>
                  </w:r>
                  <w:r>
                    <w:rPr>
                      <w:rFonts w:ascii="Myriad Pro" w:hAnsi="Myriad Pro"/>
                      <w:color w:val="6D6E71"/>
                      <w:spacing w:val="-1"/>
                      <w:sz w:val="16"/>
                    </w:rPr>
                    <w:t>T</w:t>
                  </w:r>
                  <w:r>
                    <w:rPr>
                      <w:rFonts w:ascii="Myriad Pro" w:hAnsi="Myriad Pro"/>
                      <w:color w:val="6D6E71"/>
                      <w:sz w:val="16"/>
                    </w:rPr>
                    <w:t>S LIÉS </w:t>
                  </w:r>
                  <w:r>
                    <w:rPr>
                      <w:rFonts w:ascii="Myriad Pro" w:hAnsi="Myriad Pro"/>
                      <w:color w:val="6D6E71"/>
                      <w:spacing w:val="-5"/>
                      <w:sz w:val="16"/>
                    </w:rPr>
                    <w:t>A</w:t>
                  </w:r>
                  <w:r>
                    <w:rPr>
                      <w:rFonts w:ascii="Myriad Pro" w:hAnsi="Myriad Pro"/>
                      <w:color w:val="6D6E71"/>
                      <w:sz w:val="16"/>
                    </w:rPr>
                    <w:t>U HANDICAP</w:t>
                  </w:r>
                </w:p>
              </w:txbxContent>
            </v:textbox>
            <w10:wrap type="none"/>
          </v:shape>
        </w:pict>
      </w:r>
    </w:p>
    <w:p>
      <w:pPr>
        <w:spacing w:after="0"/>
        <w:rPr>
          <w:sz w:val="2"/>
          <w:szCs w:val="2"/>
        </w:rPr>
        <w:sectPr>
          <w:type w:val="continuous"/>
          <w:pgSz w:w="16840" w:h="11910" w:orient="landscape"/>
          <w:pgMar w:top="1600" w:bottom="280" w:left="860" w:right="84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66112" coordorigin="0,1" coordsize="11900,16839">
            <v:shape style="position:absolute;left:0;top:1;width:11900;height:16838" type="#_x0000_t75" stroked="false">
              <v:imagedata r:id="rId41" o:title=""/>
            </v:shape>
            <v:shape style="position:absolute;left:11336;top:1;width:565;height:16839" coordorigin="11336,1" coordsize="565,16839" path="m11900,16839l11336,16839,11336,16839,11900,16839,11900,16839m11900,1l11336,1,11336,13020,11900,13020,11900,1e" filled="true" fillcolor="#fab800"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1,166" path="m11336,13241l11336,13075,11336,13241xe" filled="true" fillcolor="#e31c2d" stroked="false">
              <v:path arrowok="t"/>
              <v:fill type="solid"/>
            </v:shape>
            <v:shape style="position:absolute;left:11336;top:13300;width:2;height:166" coordorigin="11336,13300" coordsize="1,166" path="m11336,13466l11336,13300,11336,13466xe" filled="true" fillcolor="#d6a21b" stroked="false">
              <v:path arrowok="t"/>
              <v:fill type="solid"/>
            </v:shape>
            <v:shape style="position:absolute;left:11336;top:13526;width:2;height:166" coordorigin="11336,13526" coordsize="1,166" path="m11336,13691l11336,13526,11336,13691xe" filled="true" fillcolor="#30953e" stroked="false">
              <v:path arrowok="t"/>
              <v:fill type="solid"/>
            </v:shape>
            <v:shape style="position:absolute;left:11336;top:13751;width:2;height:166" coordorigin="11336,13751" coordsize="1,166" path="m11336,13916l11336,13751,11336,13916xe" filled="true" fillcolor="#c12632" stroked="false">
              <v:path arrowok="t"/>
              <v:fill type="solid"/>
            </v:shape>
            <v:shape style="position:absolute;left:11336;top:13976;width:2;height:166" coordorigin="11336,13976" coordsize="1,166" path="m11336,14141l11336,13976,11336,14141xe" filled="true" fillcolor="#e63a2a" stroked="false">
              <v:path arrowok="t"/>
              <v:fill type="solid"/>
            </v:shape>
            <v:shape style="position:absolute;left:11336;top:14201;width:2;height:166" coordorigin="11336,14201" coordsize="1,166" path="m11336,14366l11336,14201,11336,14366xe" filled="true" fillcolor="#00a7d7" stroked="false">
              <v:path arrowok="t"/>
              <v:fill type="solid"/>
            </v:shape>
            <v:shape style="position:absolute;left:11336;top:14426;width:2;height:166" coordorigin="11336,14426" coordsize="1,166" path="m11336,14591l11336,14426,11336,14591xe" filled="true" fillcolor="#fab800" stroked="false">
              <v:path arrowok="t"/>
              <v:fill type="solid"/>
            </v:shape>
            <v:shape style="position:absolute;left:11336;top:14651;width:2;height:166" coordorigin="11336,14651" coordsize="1,166" path="m11336,14816l11336,14651,11336,14816xe" filled="true" fillcolor="#95273a" stroked="false">
              <v:path arrowok="t"/>
              <v:fill type="solid"/>
            </v:shape>
            <v:shape style="position:absolute;left:11336;top:14876;width:2;height:166" coordorigin="11336,14876" coordsize="1,166" path="m11336,15041l11336,14876,11336,15041xe" filled="true" fillcolor="#ec6724" stroked="false">
              <v:path arrowok="t"/>
              <v:fill type="solid"/>
            </v:shape>
            <v:shape style="position:absolute;left:11336;top:15101;width:2;height:166" coordorigin="11336,15101" coordsize="1,166" path="m11336,15266l11336,15101,11336,15266xe" filled="true" fillcolor="#dd1f7b" stroked="false">
              <v:path arrowok="t"/>
              <v:fill type="solid"/>
            </v:shape>
            <v:shape style="position:absolute;left:11336;top:15326;width:2;height:166" coordorigin="11336,15326" coordsize="1,166" path="m11336,15491l11336,15326,11336,15491xe" filled="true" fillcolor="#f69d1f" stroked="false">
              <v:path arrowok="t"/>
              <v:fill type="solid"/>
            </v:shape>
            <v:shape style="position:absolute;left:11336;top:15551;width:2;height:166" coordorigin="11336,15551" coordsize="1,166" path="m11336,15717l11336,15551,11336,15717xe" filled="true" fillcolor="#d28d22" stroked="false">
              <v:path arrowok="t"/>
              <v:fill type="solid"/>
            </v:shape>
            <v:shape style="position:absolute;left:11336;top:15776;width:2;height:166" coordorigin="11336,15776" coordsize="1,166" path="m11336,15942l11336,15776,11336,15942xe" filled="true" fillcolor="#4f793c" stroked="false">
              <v:path arrowok="t"/>
              <v:fill type="solid"/>
            </v:shape>
            <v:shape style="position:absolute;left:11336;top:16001;width:2;height:166" coordorigin="11336,16001" coordsize="1,166" path="m11336,16167l11336,16001,11336,16167xe" filled="true" fillcolor="#0079b9" stroked="false">
              <v:path arrowok="t"/>
              <v:fill type="solid"/>
            </v:shape>
            <v:shape style="position:absolute;left:11336;top:16226;width:2;height:166" coordorigin="11336,16226" coordsize="1,166" path="m11336,16392l11336,16226,11336,16392xe" filled="true" fillcolor="#44a73d" stroked="false">
              <v:path arrowok="t"/>
              <v:fill type="solid"/>
            </v:shape>
            <v:shape style="position:absolute;left:11336;top:16451;width:2;height:166" coordorigin="11336,16451" coordsize="1,166" path="m11336,16617l11336,16451,11336,16617xe" filled="true" fillcolor="#175186" stroked="false">
              <v:path arrowok="t"/>
              <v:fill type="solid"/>
            </v:shape>
            <v:shape style="position:absolute;left:11336;top:16677;width:2;height:163" coordorigin="11336,16677" coordsize="1,163" path="m11336,16839l11336,16677,11336,16839xe" filled="true" fillcolor="#2c3b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31c2d" stroked="false">
              <v:fill type="solid"/>
            </v:rect>
            <v:rect style="position:absolute;left:11336;top:13300;width:565;height:165" filled="true" fillcolor="#d6a21b" stroked="false">
              <v:fill type="solid"/>
            </v:rect>
            <v:rect style="position:absolute;left:11336;top:13526;width:565;height:165" filled="true" fillcolor="#30953e" stroked="false">
              <v:fill type="solid"/>
            </v:rect>
            <v:rect style="position:absolute;left:11336;top:13751;width:565;height:165" filled="true" fillcolor="#c12632" stroked="false">
              <v:fill type="solid"/>
            </v:rect>
            <v:rect style="position:absolute;left:11336;top:13976;width:565;height:165" filled="true" fillcolor="#e63a2a" stroked="false">
              <v:fill type="solid"/>
            </v:rect>
            <v:rect style="position:absolute;left:11336;top:14201;width:565;height:165" filled="true" fillcolor="#00a7d7" stroked="false">
              <v:fill type="solid"/>
            </v:rect>
            <v:rect style="position:absolute;left:11336;top:14426;width:565;height:165" filled="true" fillcolor="#fab800" stroked="false">
              <v:fill type="solid"/>
            </v:rect>
            <v:rect style="position:absolute;left:11336;top:14651;width:565;height:165" filled="true" fillcolor="#95273a" stroked="false">
              <v:fill type="solid"/>
            </v:rect>
            <v:rect style="position:absolute;left:11336;top:14876;width:565;height:165" filled="true" fillcolor="#ec6724" stroked="false">
              <v:fill type="solid"/>
            </v:rect>
            <v:rect style="position:absolute;left:11336;top:15101;width:565;height:165" filled="true" fillcolor="#dd1f7b" stroked="false">
              <v:fill type="solid"/>
            </v:rect>
            <v:rect style="position:absolute;left:11336;top:15326;width:565;height:165" filled="true" fillcolor="#f69d1f" stroked="false">
              <v:fill type="solid"/>
            </v:rect>
            <v:rect style="position:absolute;left:11336;top:15551;width:565;height:165" filled="true" fillcolor="#d28d22" stroked="false">
              <v:fill type="solid"/>
            </v:rect>
            <v:rect style="position:absolute;left:11336;top:15776;width:565;height:165" filled="true" fillcolor="#4f793c" stroked="false">
              <v:fill type="solid"/>
            </v:rect>
            <v:rect style="position:absolute;left:11336;top:16001;width:565;height:165" filled="true" fillcolor="#0079b9" stroked="false">
              <v:fill type="solid"/>
            </v:rect>
            <v:rect style="position:absolute;left:11336;top:16226;width:565;height:165" filled="true" fillcolor="#44a73d" stroked="false">
              <v:fill type="solid"/>
            </v:rect>
            <v:rect style="position:absolute;left:11336;top:16451;width:565;height:165" filled="true" fillcolor="#175186" stroked="false">
              <v:fill type="solid"/>
            </v:rect>
            <v:rect style="position:absolute;left:11336;top:16677;width:565;height:163" filled="true" fillcolor="#2c3b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631" w:hanging="400"/>
        <w:jc w:val="left"/>
      </w:pPr>
      <w:rPr>
        <w:rFonts w:hint="default" w:ascii="Myriad Pro Light" w:hAnsi="Myriad Pro Light" w:eastAsia="Myriad Pro Light" w:cs="Myriad Pro Light"/>
        <w:color w:val="231F20"/>
        <w:spacing w:val="-4"/>
        <w:w w:val="100"/>
        <w:sz w:val="22"/>
        <w:szCs w:val="22"/>
      </w:rPr>
    </w:lvl>
    <w:lvl w:ilvl="1">
      <w:start w:val="1"/>
      <w:numFmt w:val="bullet"/>
      <w:lvlText w:val="•"/>
      <w:lvlJc w:val="left"/>
      <w:pPr>
        <w:ind w:left="4364" w:hanging="400"/>
      </w:pPr>
      <w:rPr>
        <w:rFonts w:hint="default"/>
      </w:rPr>
    </w:lvl>
    <w:lvl w:ilvl="2">
      <w:start w:val="1"/>
      <w:numFmt w:val="bullet"/>
      <w:lvlText w:val="•"/>
      <w:lvlJc w:val="left"/>
      <w:pPr>
        <w:ind w:left="5089" w:hanging="400"/>
      </w:pPr>
      <w:rPr>
        <w:rFonts w:hint="default"/>
      </w:rPr>
    </w:lvl>
    <w:lvl w:ilvl="3">
      <w:start w:val="1"/>
      <w:numFmt w:val="bullet"/>
      <w:lvlText w:val="•"/>
      <w:lvlJc w:val="left"/>
      <w:pPr>
        <w:ind w:left="5813" w:hanging="400"/>
      </w:pPr>
      <w:rPr>
        <w:rFonts w:hint="default"/>
      </w:rPr>
    </w:lvl>
    <w:lvl w:ilvl="4">
      <w:start w:val="1"/>
      <w:numFmt w:val="bullet"/>
      <w:lvlText w:val="•"/>
      <w:lvlJc w:val="left"/>
      <w:pPr>
        <w:ind w:left="6538" w:hanging="400"/>
      </w:pPr>
      <w:rPr>
        <w:rFonts w:hint="default"/>
      </w:rPr>
    </w:lvl>
    <w:lvl w:ilvl="5">
      <w:start w:val="1"/>
      <w:numFmt w:val="bullet"/>
      <w:lvlText w:val="•"/>
      <w:lvlJc w:val="left"/>
      <w:pPr>
        <w:ind w:left="7262" w:hanging="400"/>
      </w:pPr>
      <w:rPr>
        <w:rFonts w:hint="default"/>
      </w:rPr>
    </w:lvl>
    <w:lvl w:ilvl="6">
      <w:start w:val="1"/>
      <w:numFmt w:val="bullet"/>
      <w:lvlText w:val="•"/>
      <w:lvlJc w:val="left"/>
      <w:pPr>
        <w:ind w:left="7987" w:hanging="400"/>
      </w:pPr>
      <w:rPr>
        <w:rFonts w:hint="default"/>
      </w:rPr>
    </w:lvl>
    <w:lvl w:ilvl="7">
      <w:start w:val="1"/>
      <w:numFmt w:val="bullet"/>
      <w:lvlText w:val="•"/>
      <w:lvlJc w:val="left"/>
      <w:pPr>
        <w:ind w:left="8711" w:hanging="400"/>
      </w:pPr>
      <w:rPr>
        <w:rFonts w:hint="default"/>
      </w:rPr>
    </w:lvl>
    <w:lvl w:ilvl="8">
      <w:start w:val="1"/>
      <w:numFmt w:val="bullet"/>
      <w:lvlText w:val="•"/>
      <w:lvlJc w:val="left"/>
      <w:pPr>
        <w:ind w:left="9436" w:hanging="400"/>
      </w:pPr>
      <w:rPr>
        <w:rFonts w:hint="default"/>
      </w:rPr>
    </w:lvl>
  </w:abstractNum>
  <w:abstractNum w:abstractNumId="2">
    <w:multiLevelType w:val="hybridMultilevel"/>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hint="default" w:ascii="Myriad Pro Light" w:hAnsi="Myriad Pro Light" w:eastAsia="Myriad Pro Light" w:cs="Myriad Pro Light"/>
        <w:color w:val="231F20"/>
        <w:spacing w:val="-6"/>
        <w:w w:val="100"/>
        <w:sz w:val="32"/>
        <w:szCs w:val="32"/>
      </w:rPr>
    </w:lvl>
    <w:lvl w:ilvl="2">
      <w:start w:val="1"/>
      <w:numFmt w:val="bullet"/>
      <w:lvlText w:val="•"/>
      <w:lvlJc w:val="left"/>
      <w:pPr>
        <w:ind w:left="4429" w:hanging="720"/>
      </w:pPr>
      <w:rPr>
        <w:rFonts w:hint="default"/>
      </w:rPr>
    </w:lvl>
    <w:lvl w:ilvl="3">
      <w:start w:val="1"/>
      <w:numFmt w:val="bullet"/>
      <w:lvlText w:val="•"/>
      <w:lvlJc w:val="left"/>
      <w:pPr>
        <w:ind w:left="5239" w:hanging="720"/>
      </w:pPr>
      <w:rPr>
        <w:rFonts w:hint="default"/>
      </w:rPr>
    </w:lvl>
    <w:lvl w:ilvl="4">
      <w:start w:val="1"/>
      <w:numFmt w:val="bullet"/>
      <w:lvlText w:val="•"/>
      <w:lvlJc w:val="left"/>
      <w:pPr>
        <w:ind w:left="6048" w:hanging="720"/>
      </w:pPr>
      <w:rPr>
        <w:rFonts w:hint="default"/>
      </w:rPr>
    </w:lvl>
    <w:lvl w:ilvl="5">
      <w:start w:val="1"/>
      <w:numFmt w:val="bullet"/>
      <w:lvlText w:val="•"/>
      <w:lvlJc w:val="left"/>
      <w:pPr>
        <w:ind w:left="6858" w:hanging="720"/>
      </w:pPr>
      <w:rPr>
        <w:rFonts w:hint="default"/>
      </w:rPr>
    </w:lvl>
    <w:lvl w:ilvl="6">
      <w:start w:val="1"/>
      <w:numFmt w:val="bullet"/>
      <w:lvlText w:val="•"/>
      <w:lvlJc w:val="left"/>
      <w:pPr>
        <w:ind w:left="7667" w:hanging="720"/>
      </w:pPr>
      <w:rPr>
        <w:rFonts w:hint="default"/>
      </w:rPr>
    </w:lvl>
    <w:lvl w:ilvl="7">
      <w:start w:val="1"/>
      <w:numFmt w:val="bullet"/>
      <w:lvlText w:val="•"/>
      <w:lvlJc w:val="left"/>
      <w:pPr>
        <w:ind w:left="8477" w:hanging="720"/>
      </w:pPr>
      <w:rPr>
        <w:rFonts w:hint="default"/>
      </w:rPr>
    </w:lvl>
    <w:lvl w:ilvl="8">
      <w:start w:val="1"/>
      <w:numFmt w:val="bullet"/>
      <w:lvlText w:val="•"/>
      <w:lvlJc w:val="left"/>
      <w:pPr>
        <w:ind w:left="9286" w:hanging="720"/>
      </w:pPr>
      <w:rPr>
        <w:rFonts w:hint="default"/>
      </w:rPr>
    </w:lvl>
  </w:abstractNum>
  <w:abstractNum w:abstractNumId="1">
    <w:multiLevelType w:val="hybridMultilevel"/>
    <w:lvl w:ilvl="0">
      <w:start w:val="1"/>
      <w:numFmt w:val="decimal"/>
      <w:lvlText w:val="%1."/>
      <w:lvlJc w:val="left"/>
      <w:pPr>
        <w:ind w:left="853" w:hanging="720"/>
        <w:jc w:val="right"/>
      </w:pPr>
      <w:rPr>
        <w:rFonts w:hint="default" w:ascii="Myriad Pro Light" w:hAnsi="Myriad Pro Light" w:eastAsia="Myriad Pro Light" w:cs="Myriad Pro Light"/>
        <w:color w:val="FDB714"/>
        <w:spacing w:val="-40"/>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3"/>
        <w:w w:val="100"/>
        <w:sz w:val="22"/>
        <w:szCs w:val="22"/>
      </w:rPr>
    </w:lvl>
    <w:lvl w:ilvl="2">
      <w:start w:val="1"/>
      <w:numFmt w:val="bullet"/>
      <w:lvlText w:val="•"/>
      <w:lvlJc w:val="left"/>
      <w:pPr>
        <w:ind w:left="4265" w:hanging="400"/>
      </w:pPr>
      <w:rPr>
        <w:rFonts w:hint="default"/>
      </w:rPr>
    </w:lvl>
    <w:lvl w:ilvl="3">
      <w:start w:val="1"/>
      <w:numFmt w:val="bullet"/>
      <w:lvlText w:val="•"/>
      <w:lvlJc w:val="left"/>
      <w:pPr>
        <w:ind w:left="4890" w:hanging="400"/>
      </w:pPr>
      <w:rPr>
        <w:rFonts w:hint="default"/>
      </w:rPr>
    </w:lvl>
    <w:lvl w:ilvl="4">
      <w:start w:val="1"/>
      <w:numFmt w:val="bullet"/>
      <w:lvlText w:val="•"/>
      <w:lvlJc w:val="left"/>
      <w:pPr>
        <w:ind w:left="5515" w:hanging="400"/>
      </w:pPr>
      <w:rPr>
        <w:rFonts w:hint="default"/>
      </w:rPr>
    </w:lvl>
    <w:lvl w:ilvl="5">
      <w:start w:val="1"/>
      <w:numFmt w:val="bullet"/>
      <w:lvlText w:val="•"/>
      <w:lvlJc w:val="left"/>
      <w:pPr>
        <w:ind w:left="6140" w:hanging="400"/>
      </w:pPr>
      <w:rPr>
        <w:rFonts w:hint="default"/>
      </w:rPr>
    </w:lvl>
    <w:lvl w:ilvl="6">
      <w:start w:val="1"/>
      <w:numFmt w:val="bullet"/>
      <w:lvlText w:val="•"/>
      <w:lvlJc w:val="left"/>
      <w:pPr>
        <w:ind w:left="6765" w:hanging="400"/>
      </w:pPr>
      <w:rPr>
        <w:rFonts w:hint="default"/>
      </w:rPr>
    </w:lvl>
    <w:lvl w:ilvl="7">
      <w:start w:val="1"/>
      <w:numFmt w:val="bullet"/>
      <w:lvlText w:val="•"/>
      <w:lvlJc w:val="left"/>
      <w:pPr>
        <w:ind w:left="7390" w:hanging="400"/>
      </w:pPr>
      <w:rPr>
        <w:rFonts w:hint="default"/>
      </w:rPr>
    </w:lvl>
    <w:lvl w:ilvl="8">
      <w:start w:val="1"/>
      <w:numFmt w:val="bullet"/>
      <w:lvlText w:val="•"/>
      <w:lvlJc w:val="left"/>
      <w:pPr>
        <w:ind w:left="8015" w:hanging="400"/>
      </w:pPr>
      <w:rPr>
        <w:rFonts w:hint="default"/>
      </w:rPr>
    </w:lvl>
  </w:abstractNum>
  <w:abstractNum w:abstractNumId="0">
    <w:multiLevelType w:val="hybridMultilevel"/>
    <w:lvl w:ilvl="0">
      <w:start w:val="1"/>
      <w:numFmt w:val="decimal"/>
      <w:lvlText w:val="%1."/>
      <w:lvlJc w:val="left"/>
      <w:pPr>
        <w:ind w:left="510" w:hanging="397"/>
        <w:jc w:val="left"/>
      </w:pPr>
      <w:rPr>
        <w:rFonts w:hint="default" w:ascii="Myriad Pro Light" w:hAnsi="Myriad Pro Light" w:eastAsia="Myriad Pro Light" w:cs="Myriad Pro Light"/>
        <w:color w:val="FDB714"/>
        <w:spacing w:val="-20"/>
        <w:w w:val="100"/>
        <w:sz w:val="24"/>
        <w:szCs w:val="24"/>
      </w:rPr>
    </w:lvl>
    <w:lvl w:ilvl="1">
      <w:start w:val="1"/>
      <w:numFmt w:val="upperLetter"/>
      <w:lvlText w:val="%1.%2."/>
      <w:lvlJc w:val="left"/>
      <w:pPr>
        <w:ind w:left="96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481"/>
      <w:ind w:left="51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964"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174"/>
      <w:ind w:left="96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ind w:left="133" w:hanging="720"/>
      <w:outlineLvl w:val="2"/>
    </w:pPr>
    <w:rPr>
      <w:rFonts w:ascii="Myriad Pro Light" w:hAnsi="Myriad Pro Light" w:eastAsia="Myriad Pro Light" w:cs="Myriad Pro Light"/>
      <w:sz w:val="32"/>
      <w:szCs w:val="32"/>
    </w:rPr>
  </w:style>
  <w:style w:styleId="Heading3" w:type="paragraph">
    <w:name w:val="Heading 3"/>
    <w:basedOn w:val="Normal"/>
    <w:uiPriority w:val="1"/>
    <w:qFormat/>
    <w:pPr>
      <w:ind w:left="2891"/>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58"/>
      <w:ind w:left="115"/>
      <w:outlineLvl w:val="4"/>
    </w:pPr>
    <w:rPr>
      <w:rFonts w:ascii="Myriad Pro" w:hAnsi="Myriad Pro" w:eastAsia="Myriad Pro" w:cs="Myriad Pro"/>
      <w:sz w:val="26"/>
      <w:szCs w:val="26"/>
    </w:rPr>
  </w:style>
  <w:style w:styleId="Heading5" w:type="paragraph">
    <w:name w:val="Heading 5"/>
    <w:basedOn w:val="Normal"/>
    <w:uiPriority w:val="1"/>
    <w:qFormat/>
    <w:pPr>
      <w:ind w:left="1251"/>
      <w:outlineLvl w:val="5"/>
    </w:pPr>
    <w:rPr>
      <w:rFonts w:ascii="Myriad Pro" w:hAnsi="Myriad Pro" w:eastAsia="Myriad Pro" w:cs="Myriad Pro"/>
      <w:b/>
      <w:bCs/>
      <w:sz w:val="22"/>
      <w:szCs w:val="22"/>
    </w:rPr>
  </w:style>
  <w:style w:styleId="Heading6" w:type="paragraph">
    <w:name w:val="Heading 6"/>
    <w:basedOn w:val="Normal"/>
    <w:uiPriority w:val="1"/>
    <w:qFormat/>
    <w:pPr>
      <w:spacing w:before="59"/>
      <w:ind w:left="1251" w:right="241"/>
      <w:outlineLvl w:val="6"/>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3631" w:hanging="720"/>
    </w:pPr>
    <w:rPr>
      <w:rFonts w:ascii="Myriad Pro Light" w:hAnsi="Myriad Pro Light" w:eastAsia="Myriad Pro Light" w:cs="Myriad Pro Light"/>
    </w:rPr>
  </w:style>
  <w:style w:styleId="TableParagraph" w:type="paragraph">
    <w:name w:val="Table Paragraph"/>
    <w:basedOn w:val="Normal"/>
    <w:uiPriority w:val="1"/>
    <w:qFormat/>
    <w:pPr>
      <w:spacing w:before="18"/>
      <w:ind w:left="70"/>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www.un.org/disabilities/default.asp?id=151"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yperlink" Target="http://www.ohchr.org/EN/HRBodies/CRPD/Pages/GC.aspx" TargetMode="External"/><Relationship Id="rId23" Type="http://schemas.openxmlformats.org/officeDocument/2006/relationships/hyperlink" Target="http://www.un.org/disabilities/convention/conventionfull.shtml" TargetMode="External"/><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2017-12-01T15:11:21Z</dcterms:created>
  <dcterms:modified xsi:type="dcterms:W3CDTF">2017-12-01T15:11:21Z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