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53272"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d6a21b"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2c3b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31c2d" stroked="false">
              <v:fill type="solid"/>
            </v:rect>
            <v:rect style="position:absolute;left:0;top:13300;width:564;height:165" filled="true" fillcolor="#d6a21b" stroked="false">
              <v:fill type="solid"/>
            </v:rect>
            <v:rect style="position:absolute;left:0;top:13526;width:564;height:165" filled="true" fillcolor="#30953e" stroked="false">
              <v:fill type="solid"/>
            </v:rect>
            <v:rect style="position:absolute;left:0;top:13751;width:564;height:165" filled="true" fillcolor="#c12632" stroked="false">
              <v:fill type="solid"/>
            </v:rect>
            <v:rect style="position:absolute;left:0;top:13976;width:564;height:165" filled="true" fillcolor="#e63a2a" stroked="false">
              <v:fill type="solid"/>
            </v:rect>
            <v:rect style="position:absolute;left:0;top:14201;width:564;height:165" filled="true" fillcolor="#00a7d7" stroked="false">
              <v:fill type="solid"/>
            </v:rect>
            <v:rect style="position:absolute;left:0;top:14426;width:564;height:165" filled="true" fillcolor="#fab800" stroked="false">
              <v:fill type="solid"/>
            </v:rect>
            <v:rect style="position:absolute;left:0;top:14651;width:564;height:165" filled="true" fillcolor="#95273a" stroked="false">
              <v:fill type="solid"/>
            </v:rect>
            <v:rect style="position:absolute;left:0;top:14876;width:564;height:165" filled="true" fillcolor="#ec6724" stroked="false">
              <v:fill type="solid"/>
            </v:rect>
            <v:rect style="position:absolute;left:0;top:15101;width:564;height:165" filled="true" fillcolor="#dd1f7b" stroked="false">
              <v:fill type="solid"/>
            </v:rect>
            <v:rect style="position:absolute;left:0;top:15326;width:564;height:165" filled="true" fillcolor="#f69d1f" stroked="false">
              <v:fill type="solid"/>
            </v:rect>
            <v:rect style="position:absolute;left:0;top:15551;width:564;height:165" filled="true" fillcolor="#d28d22" stroked="false">
              <v:fill type="solid"/>
            </v:rect>
            <v:rect style="position:absolute;left:0;top:15776;width:564;height:165" filled="true" fillcolor="#4f793c" stroked="false">
              <v:fill type="solid"/>
            </v:rect>
            <v:rect style="position:absolute;left:0;top:16001;width:564;height:165" filled="true" fillcolor="#0079b9" stroked="false">
              <v:fill type="solid"/>
            </v:rect>
            <v:rect style="position:absolute;left:0;top:16226;width:564;height:165" filled="true" fillcolor="#44a73d" stroked="false">
              <v:fill type="solid"/>
            </v:rect>
            <v:rect style="position:absolute;left:0;top:16451;width:564;height:165" filled="true" fillcolor="#175186" stroked="false">
              <v:fill type="solid"/>
            </v:rect>
            <v:rect style="position:absolute;left:0;top:16677;width:564;height:163" filled="true" fillcolor="#2c3b66" stroked="false">
              <v:fill type="solid"/>
            </v:rect>
            <v:line style="position:absolute" from="1275,13903" to="10689,13903" stroked="true" strokeweight="1pt" strokecolor="#292b2a"/>
            <v:shape style="position:absolute;left:5400;top:821;width:1122;height:947" type="#_x0000_t75" stroked="false">
              <v:imagedata r:id="rId6" o:title=""/>
            </v:shape>
            <w10:wrap type="none"/>
          </v:group>
        </w:pict>
      </w:r>
    </w:p>
    <w:p>
      <w:pPr>
        <w:spacing w:before="57"/>
        <w:ind w:left="2888" w:right="2867" w:firstLine="0"/>
        <w:jc w:val="center"/>
        <w:rPr>
          <w:rFonts w:ascii="Myriad Pro"/>
          <w:sz w:val="25"/>
        </w:rPr>
      </w:pPr>
      <w:r>
        <w:rPr>
          <w:rFonts w:ascii="Myriad Pro"/>
          <w:color w:val="FFFFFF"/>
          <w:sz w:val="25"/>
        </w:rPr>
        <w:t>Nations Unies</w:t>
      </w:r>
    </w:p>
    <w:p>
      <w:pPr>
        <w:pStyle w:val="BodyText"/>
        <w:spacing w:before="6"/>
        <w:rPr>
          <w:rFonts w:ascii="Myriad Pro"/>
        </w:rPr>
      </w:pPr>
    </w:p>
    <w:p>
      <w:pPr>
        <w:pStyle w:val="Heading3"/>
        <w:spacing w:before="53"/>
        <w:ind w:left="1012" w:hanging="545"/>
        <w:rPr>
          <w:rFonts w:ascii="Myriad Pro" w:hAnsi="Myriad Pro"/>
        </w:rPr>
      </w:pPr>
      <w:r>
        <w:rPr>
          <w:rFonts w:ascii="Myriad Pro" w:hAnsi="Myriad Pro"/>
          <w:color w:val="FFFFFF"/>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2880" w:right="2867" w:firstLine="0"/>
        <w:jc w:val="center"/>
        <w:rPr>
          <w:rFonts w:ascii="Myriad Pro"/>
          <w:sz w:val="48"/>
        </w:rPr>
      </w:pPr>
      <w:r>
        <w:rPr>
          <w:rFonts w:ascii="Myriad Pro"/>
          <w:b/>
          <w:color w:val="89532F"/>
          <w:sz w:val="54"/>
        </w:rPr>
        <w:t>OUTILS </w:t>
      </w:r>
      <w:r>
        <w:rPr>
          <w:rFonts w:ascii="Myriad Pro"/>
          <w:color w:val="89532F"/>
          <w:sz w:val="48"/>
        </w:rPr>
        <w:t>sur</w:t>
      </w:r>
    </w:p>
    <w:p>
      <w:pPr>
        <w:spacing w:line="615" w:lineRule="exact" w:before="0"/>
        <w:ind w:left="1041" w:right="0" w:firstLine="0"/>
        <w:jc w:val="left"/>
        <w:rPr>
          <w:rFonts w:ascii="Myriad Pro"/>
          <w:b/>
          <w:sz w:val="54"/>
        </w:rPr>
      </w:pPr>
      <w:r>
        <w:rPr>
          <w:rFonts w:ascii="Myriad Pro"/>
          <w:color w:val="89532F"/>
          <w:spacing w:val="-8"/>
          <w:sz w:val="48"/>
        </w:rPr>
        <w:t>le </w:t>
      </w:r>
      <w:r>
        <w:rPr>
          <w:rFonts w:ascii="Myriad Pro"/>
          <w:b/>
          <w:color w:val="89532F"/>
          <w:spacing w:val="-14"/>
          <w:sz w:val="54"/>
        </w:rPr>
        <w:t>HANDICAP </w:t>
      </w:r>
      <w:r>
        <w:rPr>
          <w:rFonts w:ascii="Myriad Pro"/>
          <w:color w:val="89532F"/>
          <w:spacing w:val="-13"/>
          <w:sz w:val="54"/>
        </w:rPr>
        <w:t>pour</w:t>
      </w:r>
      <w:r>
        <w:rPr>
          <w:rFonts w:ascii="Myriad Pro"/>
          <w:color w:val="89532F"/>
          <w:spacing w:val="66"/>
          <w:sz w:val="54"/>
        </w:rPr>
        <w:t> </w:t>
      </w:r>
      <w:r>
        <w:rPr>
          <w:rFonts w:ascii="Myriad Pro"/>
          <w:color w:val="89532F"/>
          <w:spacing w:val="-17"/>
          <w:sz w:val="54"/>
        </w:rPr>
        <w:t>l'</w:t>
      </w:r>
      <w:r>
        <w:rPr>
          <w:rFonts w:ascii="Myriad Pro"/>
          <w:b/>
          <w:color w:val="89532F"/>
          <w:spacing w:val="-17"/>
          <w:sz w:val="54"/>
        </w:rPr>
        <w:t>AFRIQUE</w:t>
      </w:r>
    </w:p>
    <w:p>
      <w:pPr>
        <w:pStyle w:val="BodyText"/>
        <w:spacing w:before="3"/>
        <w:rPr>
          <w:rFonts w:ascii="Myriad Pro"/>
          <w:b/>
          <w:sz w:val="21"/>
        </w:rPr>
      </w:pPr>
    </w:p>
    <w:p>
      <w:pPr>
        <w:spacing w:line="492" w:lineRule="exact" w:before="75"/>
        <w:ind w:left="511" w:right="391" w:firstLine="412"/>
        <w:jc w:val="left"/>
        <w:rPr>
          <w:rFonts w:ascii="Myriad Pro"/>
          <w:b/>
          <w:sz w:val="42"/>
        </w:rPr>
      </w:pPr>
      <w:r>
        <w:rPr>
          <w:rFonts w:ascii="Myriad Pro"/>
          <w:b/>
          <w:color w:val="292B2A"/>
          <w:sz w:val="42"/>
        </w:rPr>
        <w:t>CADRES D'APPLICATION ET DE SUIVI DE LA CONVENTION DES NATIONS UNIES RELATIVE AUX DROITS DES PERSONNES</w:t>
      </w:r>
    </w:p>
    <w:p>
      <w:pPr>
        <w:spacing w:line="498" w:lineRule="exact" w:before="0"/>
        <w:ind w:left="2921" w:right="2867" w:firstLine="0"/>
        <w:jc w:val="center"/>
        <w:rPr>
          <w:rFonts w:ascii="Myriad Pro" w:hAnsi="Myriad Pro"/>
          <w:b/>
          <w:sz w:val="42"/>
        </w:rPr>
      </w:pPr>
      <w:r>
        <w:rPr>
          <w:rFonts w:ascii="Myriad Pro" w:hAnsi="Myriad Pro"/>
          <w:b/>
          <w:color w:val="292B2A"/>
          <w:sz w:val="42"/>
        </w:rPr>
        <w:t>HANDICAPÉES</w:t>
      </w:r>
    </w:p>
    <w:p>
      <w:pPr>
        <w:spacing w:after="0" w:line="498" w:lineRule="exact"/>
        <w:jc w:val="center"/>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53248" coordorigin="0,-20" coordsize="11906,16878">
            <v:shape style="position:absolute;left:0;top:0;width:11906;height:16838" type="#_x0000_t75" stroked="false">
              <v:imagedata r:id="rId7" o:title=""/>
            </v:shape>
            <v:line style="position:absolute" from="9638,8891" to="9638,16838" stroked="true" strokeweight="2pt" strokecolor="#d19f2a"/>
            <v:line style="position:absolute" from="9638,0" to="9638,2391" stroked="true" strokeweight="2pt" strokecolor="#d19f2a"/>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d19f2a"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55" w:right="0" w:firstLine="0"/>
        <w:jc w:val="left"/>
        <w:rPr>
          <w:rFonts w:ascii="Myriad Pro" w:hAnsi="Myriad Pro"/>
          <w:sz w:val="50"/>
        </w:rPr>
      </w:pPr>
      <w:r>
        <w:rPr>
          <w:rFonts w:ascii="Myriad Pro" w:hAnsi="Myriad Pro"/>
          <w:color w:val="D19F2A"/>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520" w:lineRule="exact" w:before="34"/>
        <w:ind w:left="525" w:right="448" w:firstLine="857"/>
        <w:jc w:val="both"/>
        <w:rPr>
          <w:b/>
          <w:sz w:val="44"/>
        </w:rPr>
      </w:pPr>
      <w:r>
        <w:rPr>
          <w:b/>
          <w:color w:val="231F20"/>
          <w:spacing w:val="-4"/>
          <w:sz w:val="44"/>
        </w:rPr>
        <w:t>CADRES </w:t>
      </w:r>
      <w:r>
        <w:rPr>
          <w:b/>
          <w:color w:val="231F20"/>
          <w:spacing w:val="-10"/>
          <w:sz w:val="44"/>
        </w:rPr>
        <w:t>D’APPLICATION </w:t>
      </w:r>
      <w:r>
        <w:rPr>
          <w:b/>
          <w:color w:val="231F20"/>
          <w:sz w:val="44"/>
        </w:rPr>
        <w:t>ET </w:t>
      </w:r>
      <w:r>
        <w:rPr>
          <w:b/>
          <w:color w:val="231F20"/>
          <w:spacing w:val="-3"/>
          <w:sz w:val="44"/>
        </w:rPr>
        <w:t>DE </w:t>
      </w:r>
      <w:r>
        <w:rPr>
          <w:b/>
          <w:color w:val="231F20"/>
          <w:spacing w:val="-5"/>
          <w:sz w:val="44"/>
        </w:rPr>
        <w:t>SUIVI </w:t>
      </w:r>
      <w:r>
        <w:rPr>
          <w:b/>
          <w:color w:val="231F20"/>
          <w:spacing w:val="-3"/>
          <w:sz w:val="44"/>
        </w:rPr>
        <w:t>DE </w:t>
      </w:r>
      <w:r>
        <w:rPr>
          <w:b/>
          <w:color w:val="231F20"/>
          <w:sz w:val="44"/>
        </w:rPr>
        <w:t>LA </w:t>
      </w:r>
      <w:r>
        <w:rPr>
          <w:b/>
          <w:color w:val="231F20"/>
          <w:spacing w:val="-6"/>
          <w:sz w:val="44"/>
        </w:rPr>
        <w:t>CONVENTION </w:t>
      </w:r>
      <w:r>
        <w:rPr>
          <w:b/>
          <w:color w:val="231F20"/>
          <w:spacing w:val="-4"/>
          <w:sz w:val="44"/>
        </w:rPr>
        <w:t>DES </w:t>
      </w:r>
      <w:r>
        <w:rPr>
          <w:b/>
          <w:color w:val="231F20"/>
          <w:spacing w:val="-10"/>
          <w:sz w:val="44"/>
        </w:rPr>
        <w:t>NATIONS </w:t>
      </w:r>
      <w:r>
        <w:rPr>
          <w:b/>
          <w:color w:val="231F20"/>
          <w:spacing w:val="-5"/>
          <w:sz w:val="44"/>
        </w:rPr>
        <w:t>UNIES </w:t>
      </w:r>
      <w:r>
        <w:rPr>
          <w:b/>
          <w:color w:val="231F20"/>
          <w:spacing w:val="-9"/>
          <w:sz w:val="44"/>
        </w:rPr>
        <w:t>RELATIVE </w:t>
      </w:r>
      <w:r>
        <w:rPr>
          <w:b/>
          <w:color w:val="231F20"/>
          <w:spacing w:val="-8"/>
          <w:sz w:val="44"/>
        </w:rPr>
        <w:t>AUX </w:t>
      </w:r>
      <w:r>
        <w:rPr>
          <w:b/>
          <w:color w:val="231F20"/>
          <w:spacing w:val="-5"/>
          <w:sz w:val="44"/>
        </w:rPr>
        <w:t>DROITS </w:t>
      </w:r>
      <w:r>
        <w:rPr>
          <w:b/>
          <w:color w:val="231F20"/>
          <w:spacing w:val="-4"/>
          <w:sz w:val="44"/>
        </w:rPr>
        <w:t>DES </w:t>
      </w:r>
      <w:r>
        <w:rPr>
          <w:b/>
          <w:color w:val="231F20"/>
          <w:spacing w:val="-5"/>
          <w:sz w:val="44"/>
        </w:rPr>
        <w:t>PERSONNES</w:t>
      </w:r>
    </w:p>
    <w:p>
      <w:pPr>
        <w:spacing w:line="526" w:lineRule="exact" w:before="0"/>
        <w:ind w:left="5384" w:right="0" w:firstLine="0"/>
        <w:jc w:val="left"/>
        <w:rPr>
          <w:b/>
          <w:sz w:val="44"/>
        </w:rPr>
      </w:pPr>
      <w:r>
        <w:rPr>
          <w:b/>
          <w:color w:val="231F20"/>
          <w:sz w:val="44"/>
        </w:rPr>
        <w:t>HANDICAPÉES</w:t>
      </w:r>
    </w:p>
    <w:p>
      <w:pPr>
        <w:spacing w:after="0" w:line="526" w:lineRule="exact"/>
        <w:jc w:val="left"/>
        <w:rPr>
          <w:sz w:val="44"/>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380;top:3041;width:658;height:658" coordorigin="9380,3041" coordsize="658,658" path="m9709,3041l9633,3050,9564,3075,9503,3114,9452,3164,9413,3226,9388,3295,9380,3370,9388,3445,9413,3515,9452,3576,9503,3627,9564,3665,9633,3690,9709,3699,9784,3690,9853,3665,9914,3627,9965,3576,10004,3515,10029,3445,10037,3370,10029,3295,10004,3226,9965,3164,9914,3114,9853,3075,9784,3050,9709,3041xe" filled="true" fillcolor="#d19f2a" stroked="false">
              <v:path arrowok="t"/>
              <v:fill type="solid"/>
            </v:shape>
            <v:shape style="position:absolute;left:9454;top:3224;width:386;height:396" type="#_x0000_t75" stroked="false">
              <v:imagedata r:id="rId13" o:title=""/>
            </v:shape>
            <v:shape style="position:absolute;left:9496;top:3110;width:426;height:521" coordorigin="9496,3110" coordsize="426,521" path="m9625,3588l9593,3588,9548,3630,9858,3629,9867,3629,9882,3621,9896,3611,9902,3605,9908,3597,9912,3588,9838,3588,9625,3588xm9909,3147l9803,3147,9821,3148,9836,3149,9849,3152,9862,3159,9872,3171,9877,3185,9879,3200,9879,3480,9880,3517,9879,3537,9878,3551,9875,3560,9870,3568,9861,3577,9850,3585,9842,3586,9838,3588,9912,3588,9916,3581,9920,3565,9921,3548,9921,3188,9919,3170,9913,3153,9909,3147xm9587,3110l9572,3110,9561,3110,9548,3115,9528,3127,9511,3146,9500,3169,9496,3195,9496,3475,9503,3467,9532,3435,9538,3427,9538,3202,9541,3186,9548,3172,9557,3161,9568,3153,9578,3148,9909,3147,9905,3140,9895,3130,9882,3121,9868,3114,9850,3111,9837,3110,9788,3110,9587,3110xm9829,3110l9788,3110,9837,3110,9829,3110xe" filled="true" fillcolor="#ffffff" stroked="false">
              <v:path arrowok="t"/>
              <v:fill type="solid"/>
            </v:shape>
            <v:shape style="position:absolute;left:9378;top:3896;width:658;height:658" coordorigin="9378,3896" coordsize="658,658" path="m9706,3896l9631,3905,9562,3930,9501,3969,9450,4020,9411,4081,9386,4150,9378,4225,9386,4301,9411,4370,9450,4431,9501,4482,9562,4521,9631,4545,9706,4554,9782,4545,9851,4521,9912,4482,9963,4431,10002,4370,10026,4301,10035,4225,10026,4150,10002,4081,9963,4020,9912,3969,9851,3930,9782,3905,9706,3896xe" filled="true" fillcolor="#d19f2a" stroked="false">
              <v:path arrowok="t"/>
              <v:fill type="solid"/>
            </v:shape>
            <v:shape style="position:absolute;left:9509;top:3971;width:395;height:510" coordorigin="9509,3971" coordsize="395,510" path="m9889,4446l9525,4446,9529,4452,9529,4452,9534,4458,9536,4460,9540,4463,9545,4466,9553,4472,9569,4478,9579,4478,9586,4481,9827,4481,9834,4478,9844,4478,9861,4471,9868,4467,9873,4463,9877,4460,9880,4458,9885,4452,9885,4451,9889,4446xm9844,4478l9834,4478,9844,4478,9844,4478xm9711,3971l9582,3971,9576,3975,9566,3975,9552,3981,9545,3986,9540,3990,9539,3991,9538,3992,9529,4001,9524,4009,9524,4009,9523,4009,9523,4009,9513,4029,9510,4056,9509,4070,9509,4092,9509,4102,9510,4343,9509,4368,9510,4397,9513,4423,9523,4443,9525,4447,9525,4446,9889,4446,9889,4445,9889,4445,9890,4443,9896,4432,9805,4432,9790,4432,9610,4432,9594,4431,9579,4430,9568,4425,9559,4416,9559,4152,9559,4048,9560,4041,9567,4030,9578,4019,9764,4019,9753,4009,9524,4009,9524,4008,9753,4008,9735,3990,9725,3980,9721,3977,9718,3976,9711,3971xm9889,4445l9889,4445,9888,4447,9889,4445xm9904,4183l9854,4183,9855,4215,9855,4249,9855,4283,9855,4391,9854,4404,9850,4415,9843,4424,9832,4430,9819,4432,9805,4432,9896,4432,9899,4427,9903,4408,9904,4391,9904,4183xm9764,4019l9578,4019,9585,4021,9680,4021,9681,4070,9680,4092,9680,4102,9682,4111,9688,4135,9700,4155,9717,4170,9736,4180,9762,4185,9793,4185,9826,4184,9854,4183,9904,4183,9904,4176,9902,4162,9896,4152,9883,4138,9764,4019xe" filled="true" fillcolor="#ffffff" stroked="false">
              <v:path arrowok="t"/>
              <v:fill type="solid"/>
            </v:shape>
            <v:shape style="position:absolute;left:9587;top:4215;width:243;height:180" type="#_x0000_t75" stroked="false">
              <v:imagedata r:id="rId14" o:title=""/>
            </v:shape>
            <v:shape style="position:absolute;left:9383;top:8758;width:658;height:658" coordorigin="9383,8758" coordsize="658,658" path="m9712,8758l9637,8767,9567,8791,9506,8830,9455,8881,9417,8942,9392,9011,9383,9087,9392,9162,9417,9231,9455,9292,9506,9343,9567,9382,9637,9407,9712,9415,9787,9407,9856,9382,9918,9343,9968,9292,10007,9231,10032,9162,10041,9087,10032,9011,10007,8942,9968,8881,9918,8830,9856,8791,9787,8767,9712,8758xe" filled="true" fillcolor="#d19f2a" stroked="false">
              <v:path arrowok="t"/>
              <v:fill type="solid"/>
            </v:shape>
            <v:shape style="position:absolute;left:9486;top:8844;width:436;height:452" type="#_x0000_t75" stroked="false">
              <v:imagedata r:id="rId15" o:title=""/>
            </v:shape>
            <v:shape style="position:absolute;left:9381;top:9611;width:658;height:658" coordorigin="9381,9611" coordsize="658,658" path="m9710,9611l9634,9620,9565,9645,9504,9683,9453,9734,9414,9795,9389,9865,9381,9940,9389,10015,9414,10085,9453,10146,9504,10197,9565,10236,9634,10260,9710,10269,9785,10260,9854,10236,9915,10197,9966,10146,10005,10085,10030,10015,10038,9940,10030,9865,10005,9795,9966,9734,9915,9683,9854,9645,9785,9620,9710,9611xe" filled="true" fillcolor="#d19f2a" stroked="false">
              <v:path arrowok="t"/>
              <v:fill type="solid"/>
            </v:shape>
            <v:shape style="position:absolute;left:9494;top:9676;width:436;height:501" coordorigin="9494,9676" coordsize="436,501" path="m9830,9741l9793,9755,9720,9787,9692,9799,9664,9811,9651,9816,9636,9823,9624,9833,9619,9846,9619,10136,9628,10156,9651,10169,9679,10175,9704,10176,9721,10174,9737,10169,9753,10162,9920,10090,9930,10086,9930,9956,9768,9956,9768,9902,9875,9861,9672,9861,9655,9857,9649,9848,9675,9839,9721,9819,9767,9799,9814,9779,9821,9777,9844,9777,9843,9750,9830,9741xm9703,9676l9685,9683,9650,9699,9535,9749,9520,9755,9507,9763,9497,9773,9494,9791,9494,10064,9504,10091,9529,10105,9560,10110,9589,10111,9600,10111,9597,10094,9597,10064,9596,9902,9596,9839,9596,9836,9602,9824,9611,9813,9622,9805,9634,9799,9636,9798,9574,9798,9561,9797,9547,9794,9534,9790,9526,9783,9544,9778,9573,9765,9662,9726,9684,9717,9696,9712,9722,9712,9722,9683,9712,9677,9703,9676xm9930,9860l9877,9860,9877,9914,9768,9956,9930,9956,9930,9860xm9925,9776l9917,9776,9893,9785,9845,9804,9762,9841,9738,9852,9723,9858,9709,9860,9687,9861,9875,9861,9877,9860,9930,9860,9929,9785,9925,9776xm9797,9711l9792,9711,9756,9724,9689,9755,9619,9785,9574,9798,9636,9798,9647,9794,9799,9728,9801,9728,9804,9723,9802,9713,9795,9712,9797,9711xm9844,9777l9821,9777,9828,9780,9844,9786,9844,9777xm9801,9728l9799,9728,9800,9729,9801,9728xm9722,9712l9696,9712,9703,9713,9711,9720,9722,9721,9722,9712xe" filled="true" fillcolor="#ffffff" stroked="false">
              <v:path arrowok="t"/>
              <v:fill type="solid"/>
            </v:shape>
            <v:shape style="position:absolute;left:9381;top:10447;width:658;height:658" coordorigin="9381,10447" coordsize="658,658" path="m9710,10447l9634,10456,9565,10481,9504,10519,9453,10570,9414,10631,9390,10701,9381,10776,9390,10851,9414,10921,9453,10982,9504,11033,9565,11071,9634,11096,9710,11105,9785,11096,9854,11071,9915,11033,9966,10982,10005,10921,10030,10851,10039,10776,10030,10701,10005,10631,9966,10570,9915,10519,9854,10481,9785,10456,9710,10447xe" filled="true" fillcolor="#d19f2a" stroked="false">
              <v:path arrowok="t"/>
              <v:fill type="solid"/>
            </v:shape>
            <v:shape style="position:absolute;left:9474;top:10533;width:482;height:479" coordorigin="9474,10533" coordsize="482,479" path="m9537,10548l9529,10549,9514,10556,9500,10566,9493,10573,9488,10581,9480,10596,9476,10612,9475,10628,9475,10896,9474,10916,9475,10935,9477,10952,9483,10969,9491,10981,9501,10992,9513,11001,9528,11007,9545,11011,9566,11012,9606,11011,9867,11011,9876,11011,9888,11006,9908,10995,9924,10979,9931,10965,9579,10965,9564,10964,9550,10962,9538,10954,9528,10943,9523,10931,9521,10917,9521,10696,9520,10661,9521,10642,9522,10628,9525,10619,9529,10612,9538,10603,9549,10595,9557,10594,9561,10592,9754,10592,9759,10587,9770,10576,9791,10555,9792,10554,9795,10551,9797,10549,9797,10549,9539,10549,9537,10548xm9939,10687l9932,10693,9919,10706,9896,10729,9894,10731,9893,10731,9892,10734,9892,10917,9891,10931,9885,10943,9877,10953,9867,10960,9858,10965,9596,10965,9579,10965,9931,10965,9935,10958,9939,10935,9939,10931,9939,10916,9939,10746,9939,10729,9939,10706,9939,10687xm9611,10868l9610,10870,9610,10871,9608,10878,9611,10878,9613,10877,9614,10877,9609,10877,9610,10873,9611,10871,9611,10868xm9640,10766l9635,10786,9625,10820,9616,10852,9611,10868,9611,10871,9610,10873,9609,10877,9616,10876,9721,10846,9708,10832,9681,10805,9653,10778,9640,10766xm9616,10876l9609,10877,9614,10877,9616,10876xm9830,10577l9827,10579,9812,10595,9795,10612,9652,10754,9659,10761,9671,10774,9692,10794,9713,10816,9726,10828,9733,10834,9748,10820,9903,10666,9909,10661,9911,10657,9898,10644,9872,10617,9844,10590,9830,10577xm9895,10533l9872,10533,9866,10541,9858,10550,9845,10562,9843,10564,9924,10645,9930,10640,9936,10632,9947,10622,9955,10616,9955,10594,9947,10588,9918,10559,9912,10553,9901,10542,9895,10533xm9754,10592l9561,10592,9587,10593,9729,10593,9753,10592,9754,10592xm9539,10548l9539,10548,9539,10549,9797,10549,9797,10548,9544,10548,9539,10548xm9737,10547l9550,10547,9544,10548,9797,10548,9798,10547,9737,10547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iii</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13" w:firstLine="0"/>
        <w:rPr>
          <w:b/>
        </w:rPr>
      </w:pPr>
      <w:r>
        <w:rPr>
          <w:b/>
          <w:color w:val="D19F2A"/>
        </w:rPr>
        <w:t>TABLE DES MATIÈRES</w:t>
      </w:r>
    </w:p>
    <w:p>
      <w:pPr>
        <w:pStyle w:val="BodyText"/>
        <w:rPr>
          <w:b/>
          <w:sz w:val="42"/>
        </w:rPr>
      </w:pPr>
    </w:p>
    <w:p>
      <w:pPr>
        <w:pStyle w:val="BodyText"/>
        <w:rPr>
          <w:b/>
          <w:sz w:val="42"/>
        </w:rPr>
      </w:pPr>
    </w:p>
    <w:sdt>
      <w:sdtPr>
        <w:docPartObj>
          <w:docPartGallery w:val="Table of Contents"/>
          <w:docPartUnique/>
        </w:docPartObj>
      </w:sdtPr>
      <w:sdtEndPr/>
      <w:sdtContent>
        <w:p>
          <w:pPr>
            <w:pStyle w:val="TOC1"/>
            <w:numPr>
              <w:ilvl w:val="0"/>
              <w:numId w:val="1"/>
            </w:numPr>
            <w:tabs>
              <w:tab w:pos="511" w:val="left" w:leader="none"/>
              <w:tab w:pos="7953" w:val="right" w:leader="dot"/>
            </w:tabs>
            <w:spacing w:line="240" w:lineRule="auto" w:before="302" w:after="0"/>
            <w:ind w:left="510" w:right="0" w:hanging="397"/>
            <w:jc w:val="left"/>
            <w:rPr>
              <w:b/>
            </w:rPr>
          </w:pPr>
          <w:hyperlink w:history="true" w:anchor="_TOC_250009">
            <w:r>
              <w:rPr>
                <w:b/>
                <w:color w:val="D19F2A"/>
                <w:spacing w:val="-4"/>
              </w:rPr>
              <w:t>PRÉSENTATION</w:t>
              <w:tab/>
            </w:r>
            <w:r>
              <w:rPr>
                <w:b/>
                <w:color w:val="D19F2A"/>
              </w:rPr>
              <w:t>1</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08">
            <w:r>
              <w:rPr>
                <w:b/>
                <w:color w:val="D19F2A"/>
              </w:rPr>
              <w:t>CONTENU</w:t>
            </w:r>
            <w:r>
              <w:rPr>
                <w:b/>
                <w:color w:val="D19F2A"/>
                <w:spacing w:val="-11"/>
              </w:rPr>
              <w:t> </w:t>
            </w:r>
            <w:r>
              <w:rPr>
                <w:b/>
                <w:color w:val="D19F2A"/>
              </w:rPr>
              <w:t>TECHNIQUE</w:t>
              <w:tab/>
              <w:t>3</w:t>
            </w:r>
          </w:hyperlink>
        </w:p>
        <w:p>
          <w:pPr>
            <w:pStyle w:val="TOC2"/>
            <w:numPr>
              <w:ilvl w:val="1"/>
              <w:numId w:val="1"/>
            </w:numPr>
            <w:tabs>
              <w:tab w:pos="965" w:val="left" w:leader="none"/>
              <w:tab w:pos="7953" w:val="right" w:leader="dot"/>
            </w:tabs>
            <w:spacing w:line="240" w:lineRule="auto" w:before="218" w:after="0"/>
            <w:ind w:left="964" w:right="0" w:hanging="454"/>
            <w:jc w:val="left"/>
          </w:pPr>
          <w:hyperlink w:history="true" w:anchor="_TOC_250007">
            <w:r>
              <w:rPr>
                <w:color w:val="231F20"/>
              </w:rPr>
              <w:t>Contexte</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6">
            <w:r>
              <w:rPr>
                <w:color w:val="231F20"/>
              </w:rPr>
              <w:t>Définition de l’application et du suivi</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5">
            <w:r>
              <w:rPr>
                <w:color w:val="231F20"/>
              </w:rPr>
              <w:t>Présentation du cadre juridique</w:t>
              <w:tab/>
              <w:t>3</w:t>
            </w:r>
          </w:hyperlink>
        </w:p>
        <w:p>
          <w:pPr>
            <w:pStyle w:val="TOC3"/>
            <w:tabs>
              <w:tab w:pos="7953"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r>
          <w:r>
            <w:rPr>
              <w:color w:val="231F20"/>
            </w:rPr>
            <w:t>8</w:t>
          </w:r>
        </w:p>
        <w:p>
          <w:pPr>
            <w:pStyle w:val="TOC3"/>
            <w:tabs>
              <w:tab w:pos="7953"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r>
          <w:r>
            <w:rPr>
              <w:color w:val="231F20"/>
            </w:rPr>
            <w:t>9</w:t>
          </w:r>
        </w:p>
        <w:p>
          <w:pPr>
            <w:pStyle w:val="TOC3"/>
            <w:tabs>
              <w:tab w:pos="7951"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10</w:t>
          </w:r>
        </w:p>
        <w:p>
          <w:pPr>
            <w:pStyle w:val="TOC3"/>
            <w:tabs>
              <w:tab w:pos="7951"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11</w:t>
          </w:r>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4">
            <w:r>
              <w:rPr>
                <w:color w:val="231F20"/>
              </w:rPr>
              <w:t>Procédures de suivi conformément au Protocole facultatif de la CDPH</w:t>
              <w:tab/>
              <w:t>12</w:t>
            </w:r>
          </w:hyperlink>
        </w:p>
        <w:p>
          <w:pPr>
            <w:pStyle w:val="TOC3"/>
            <w:tabs>
              <w:tab w:pos="7951"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12</w:t>
          </w:r>
        </w:p>
        <w:p>
          <w:pPr>
            <w:pStyle w:val="TOC3"/>
            <w:tabs>
              <w:tab w:pos="7951"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14</w:t>
          </w:r>
        </w:p>
        <w:p>
          <w:pPr>
            <w:pStyle w:val="TOC1"/>
            <w:numPr>
              <w:ilvl w:val="0"/>
              <w:numId w:val="1"/>
            </w:numPr>
            <w:tabs>
              <w:tab w:pos="511" w:val="left" w:leader="none"/>
              <w:tab w:pos="7953" w:val="right" w:leader="dot"/>
            </w:tabs>
            <w:spacing w:line="240" w:lineRule="auto" w:before="527" w:after="0"/>
            <w:ind w:left="510" w:right="0" w:hanging="397"/>
            <w:jc w:val="left"/>
            <w:rPr>
              <w:b/>
            </w:rPr>
          </w:pPr>
          <w:hyperlink w:history="true" w:anchor="_TOC_250003">
            <w:r>
              <w:rPr>
                <w:b/>
                <w:color w:val="D19F2A"/>
              </w:rPr>
              <w:t>RÉSUMÉ ET </w:t>
            </w:r>
            <w:r>
              <w:rPr>
                <w:b/>
                <w:color w:val="D19F2A"/>
                <w:spacing w:val="-3"/>
              </w:rPr>
              <w:t>PRINCIPAUX</w:t>
            </w:r>
            <w:r>
              <w:rPr>
                <w:b/>
                <w:color w:val="D19F2A"/>
              </w:rPr>
              <w:t> ENSEIGNEMENTS</w:t>
              <w:tab/>
              <w:t>15</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r>
            <w:rPr>
              <w:b/>
              <w:color w:val="D19F2A"/>
            </w:rPr>
            <w:t>URESSOURCES UTILES</w:t>
            <w:tab/>
            <w:t>16</w:t>
          </w:r>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02">
            <w:r>
              <w:rPr>
                <w:b/>
                <w:color w:val="D19F2A"/>
              </w:rPr>
              <w:t>ACTIVITÉS</w:t>
            </w:r>
            <w:r>
              <w:rPr>
                <w:b/>
                <w:color w:val="D19F2A"/>
                <w:spacing w:val="-1"/>
              </w:rPr>
              <w:t> </w:t>
            </w:r>
            <w:r>
              <w:rPr>
                <w:b/>
                <w:color w:val="D19F2A"/>
              </w:rPr>
              <w:t>D’APPRENTISSAGE</w:t>
              <w:tab/>
              <w:t>17</w:t>
            </w:r>
          </w:hyperlink>
        </w:p>
        <w:p>
          <w:pPr>
            <w:pStyle w:val="TOC2"/>
            <w:spacing w:before="218"/>
            <w:ind w:firstLine="0"/>
          </w:pPr>
          <w:r>
            <w:rPr>
              <w:color w:val="231F20"/>
            </w:rPr>
            <w:t>Fiche de cours du formateur – Application – Problèmes potentiels,</w:t>
          </w:r>
        </w:p>
        <w:p>
          <w:pPr>
            <w:pStyle w:val="TOC2"/>
            <w:tabs>
              <w:tab w:pos="7953" w:val="right" w:leader="dot"/>
            </w:tabs>
            <w:spacing w:before="4"/>
            <w:ind w:firstLine="0"/>
          </w:pPr>
          <w:r>
            <w:rPr>
              <w:color w:val="231F20"/>
            </w:rPr>
            <w:t>Session 1</w:t>
            <w:tab/>
            <w:t>18</w:t>
          </w:r>
        </w:p>
        <w:p>
          <w:pPr>
            <w:pStyle w:val="TOC3"/>
          </w:pPr>
          <w:r>
            <w:rPr>
              <w:color w:val="231F20"/>
            </w:rPr>
            <w:t>Activité d’apprentissage 2.C.1 : Problèmes associés à l’application</w:t>
          </w:r>
        </w:p>
        <w:p>
          <w:pPr>
            <w:pStyle w:val="TOC3"/>
            <w:tabs>
              <w:tab w:pos="7951" w:val="right" w:leader="dot"/>
            </w:tabs>
            <w:spacing w:before="4"/>
          </w:pPr>
          <w:r>
            <w:rPr>
              <w:color w:val="231F20"/>
              <w:spacing w:val="-3"/>
            </w:rPr>
            <w:t>réussie </w:t>
          </w:r>
          <w:r>
            <w:rPr>
              <w:color w:val="231F20"/>
            </w:rPr>
            <w:t>de</w:t>
          </w:r>
          <w:r>
            <w:rPr>
              <w:color w:val="231F20"/>
              <w:spacing w:val="-8"/>
            </w:rPr>
            <w:t> </w:t>
          </w:r>
          <w:r>
            <w:rPr>
              <w:color w:val="231F20"/>
            </w:rPr>
            <w:t>la</w:t>
          </w:r>
          <w:r>
            <w:rPr>
              <w:color w:val="231F20"/>
              <w:spacing w:val="-6"/>
            </w:rPr>
            <w:t> </w:t>
          </w:r>
          <w:r>
            <w:rPr>
              <w:color w:val="231F20"/>
              <w:spacing w:val="-3"/>
            </w:rPr>
            <w:t>CPDH</w:t>
            <w:tab/>
            <w:t>19</w:t>
          </w:r>
        </w:p>
        <w:p>
          <w:pPr>
            <w:pStyle w:val="TOC3"/>
            <w:tabs>
              <w:tab w:pos="7951" w:val="right" w:leader="dot"/>
            </w:tabs>
          </w:pPr>
          <w:hyperlink w:history="true" w:anchor="_TOC_250001">
            <w:r>
              <w:rPr>
                <w:color w:val="231F20"/>
                <w:spacing w:val="-3"/>
              </w:rPr>
              <w:t>Support </w:t>
            </w:r>
            <w:r>
              <w:rPr>
                <w:color w:val="231F20"/>
              </w:rPr>
              <w:t>: </w:t>
            </w:r>
            <w:r>
              <w:rPr>
                <w:color w:val="231F20"/>
                <w:spacing w:val="-3"/>
              </w:rPr>
              <w:t>Problèmes associés </w:t>
            </w:r>
            <w:r>
              <w:rPr>
                <w:color w:val="231F20"/>
              </w:rPr>
              <w:t>à </w:t>
            </w:r>
            <w:r>
              <w:rPr>
                <w:color w:val="231F20"/>
                <w:spacing w:val="-3"/>
              </w:rPr>
              <w:t>l’application réussie </w:t>
            </w:r>
            <w:r>
              <w:rPr>
                <w:color w:val="231F20"/>
              </w:rPr>
              <w:t>de</w:t>
            </w:r>
            <w:r>
              <w:rPr>
                <w:color w:val="231F20"/>
                <w:spacing w:val="-23"/>
              </w:rPr>
              <w:t> </w:t>
            </w:r>
            <w:r>
              <w:rPr>
                <w:color w:val="231F20"/>
              </w:rPr>
              <w:t>la</w:t>
            </w:r>
            <w:r>
              <w:rPr>
                <w:color w:val="231F20"/>
                <w:spacing w:val="-5"/>
              </w:rPr>
              <w:t> </w:t>
            </w:r>
            <w:r>
              <w:rPr>
                <w:color w:val="231F20"/>
                <w:spacing w:val="-3"/>
              </w:rPr>
              <w:t>CPDH</w:t>
              <w:tab/>
              <w:t>20</w:t>
            </w:r>
          </w:hyperlink>
        </w:p>
        <w:p>
          <w:pPr>
            <w:pStyle w:val="TOC2"/>
            <w:ind w:firstLine="0"/>
          </w:pPr>
          <w:r>
            <w:rPr>
              <w:color w:val="231F20"/>
            </w:rPr>
            <w:t>Fiche de cours du formateur – Développement intégrant le handicap,</w:t>
          </w:r>
        </w:p>
        <w:p>
          <w:pPr>
            <w:pStyle w:val="TOC2"/>
            <w:tabs>
              <w:tab w:pos="7954" w:val="right" w:leader="dot"/>
            </w:tabs>
            <w:spacing w:before="4"/>
            <w:ind w:firstLine="0"/>
          </w:pPr>
          <w:r>
            <w:rPr>
              <w:color w:val="231F20"/>
            </w:rPr>
            <w:t>Session 2</w:t>
            <w:tab/>
            <w:t>21</w:t>
          </w:r>
        </w:p>
        <w:p>
          <w:pPr>
            <w:pStyle w:val="TOC3"/>
          </w:pPr>
          <w:r>
            <w:rPr>
              <w:color w:val="231F20"/>
            </w:rPr>
            <w:t>Activité d’apprentissage 2.C.2 : Rôles et responsabilités en matière</w:t>
          </w:r>
        </w:p>
        <w:p>
          <w:pPr>
            <w:pStyle w:val="TOC3"/>
            <w:tabs>
              <w:tab w:pos="7951" w:val="right" w:leader="dot"/>
            </w:tabs>
            <w:spacing w:before="4"/>
          </w:pPr>
          <w:r>
            <w:rPr>
              <w:color w:val="231F20"/>
            </w:rPr>
            <w:t>de</w:t>
          </w:r>
          <w:r>
            <w:rPr>
              <w:color w:val="231F20"/>
              <w:spacing w:val="-6"/>
            </w:rPr>
            <w:t> </w:t>
          </w:r>
          <w:r>
            <w:rPr>
              <w:color w:val="231F20"/>
              <w:spacing w:val="-3"/>
            </w:rPr>
            <w:t>suivi</w:t>
            <w:tab/>
            <w:t>22</w:t>
          </w:r>
        </w:p>
        <w:p>
          <w:pPr>
            <w:pStyle w:val="TOC3"/>
            <w:tabs>
              <w:tab w:pos="7951" w:val="right" w:leader="dot"/>
            </w:tabs>
          </w:pPr>
          <w:hyperlink w:history="true" w:anchor="_TOC_250000">
            <w:r>
              <w:rPr>
                <w:color w:val="231F20"/>
                <w:spacing w:val="-3"/>
              </w:rPr>
              <w:t>Support </w:t>
            </w:r>
            <w:r>
              <w:rPr>
                <w:color w:val="231F20"/>
              </w:rPr>
              <w:t>: </w:t>
            </w:r>
            <w:r>
              <w:rPr>
                <w:color w:val="231F20"/>
                <w:spacing w:val="-3"/>
              </w:rPr>
              <w:t>Article </w:t>
            </w:r>
            <w:r>
              <w:rPr>
                <w:color w:val="231F20"/>
              </w:rPr>
              <w:t>33 – </w:t>
            </w:r>
            <w:r>
              <w:rPr>
                <w:color w:val="231F20"/>
                <w:spacing w:val="-3"/>
              </w:rPr>
              <w:t>Application </w:t>
            </w:r>
            <w:r>
              <w:rPr>
                <w:color w:val="231F20"/>
              </w:rPr>
              <w:t>et </w:t>
            </w:r>
            <w:r>
              <w:rPr>
                <w:color w:val="231F20"/>
                <w:spacing w:val="-3"/>
              </w:rPr>
              <w:t>suivi </w:t>
            </w:r>
            <w:r>
              <w:rPr>
                <w:color w:val="231F20"/>
              </w:rPr>
              <w:t>au</w:t>
            </w:r>
            <w:r>
              <w:rPr>
                <w:color w:val="231F20"/>
                <w:spacing w:val="-32"/>
              </w:rPr>
              <w:t> </w:t>
            </w:r>
            <w:r>
              <w:rPr>
                <w:color w:val="231F20"/>
                <w:spacing w:val="-3"/>
              </w:rPr>
              <w:t>niveau</w:t>
            </w:r>
            <w:r>
              <w:rPr>
                <w:color w:val="231F20"/>
                <w:spacing w:val="-5"/>
              </w:rPr>
              <w:t> </w:t>
            </w:r>
            <w:r>
              <w:rPr>
                <w:color w:val="231F20"/>
                <w:spacing w:val="-3"/>
              </w:rPr>
              <w:t>national</w:t>
              <w:tab/>
              <w:t>24</w:t>
            </w:r>
          </w:hyperlink>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spacing w:before="10"/>
        <w:rPr>
          <w:rFonts w:ascii="TradeGothic Light"/>
          <w:sz w:val="20"/>
        </w:rPr>
      </w:pPr>
    </w:p>
    <w:p>
      <w:pPr>
        <w:spacing w:line="192" w:lineRule="exact" w:before="0"/>
        <w:ind w:left="310" w:right="0"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187" w:right="0"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128"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D19F2A" w:color="auto" w:val="clear"/>
                      </w:rPr>
                      <w:t> </w:t>
                      <w:tab/>
                      <w:t>iv</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2891" w:right="374" w:firstLine="0"/>
        <w:rPr>
          <w:b/>
        </w:rPr>
      </w:pPr>
      <w:r>
        <w:rPr/>
        <w:pict>
          <v:line style="position:absolute;mso-position-horizontal-relative:page;mso-position-vertical-relative:paragraph;z-index:1120;mso-wrap-distance-left:0;mso-wrap-distance-right:0" from="144.566895pt,29.548626pt" to="538.582895pt,29.548626pt" stroked="true" strokeweight="1.5pt" strokecolor="#d19f2a">
            <w10:wrap type="topAndBottom"/>
          </v:line>
        </w:pict>
      </w:r>
      <w:r>
        <w:rPr>
          <w:b/>
          <w:color w:val="D19F2A"/>
        </w:rPr>
        <w:t>Remerciements</w:t>
      </w:r>
    </w:p>
    <w:p>
      <w:pPr>
        <w:pStyle w:val="BodyText"/>
        <w:spacing w:before="2"/>
        <w:rPr>
          <w:b/>
          <w:sz w:val="32"/>
        </w:rPr>
      </w:pPr>
    </w:p>
    <w:p>
      <w:pPr>
        <w:pStyle w:val="BodyText"/>
        <w:spacing w:line="266" w:lineRule="auto"/>
        <w:ind w:left="2891" w:right="37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146"/>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8"/>
        </w:rPr>
      </w:pPr>
    </w:p>
    <w:p>
      <w:pPr>
        <w:spacing w:before="0"/>
        <w:ind w:left="3634" w:right="26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v</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33" w:right="374" w:firstLine="0"/>
        <w:rPr>
          <w:b/>
        </w:rPr>
      </w:pPr>
      <w:r>
        <w:rPr/>
        <w:pict>
          <v:line style="position:absolute;mso-position-horizontal-relative:page;mso-position-vertical-relative:paragraph;z-index:1192;mso-wrap-distance-left:0;mso-wrap-distance-right:0" from="56.692902pt,29.548626pt" to="450.708902pt,29.548626pt" stroked="true" strokeweight="1.5pt" strokecolor="#d19f2a">
            <w10:wrap type="topAndBottom"/>
          </v:line>
        </w:pict>
      </w:r>
      <w:r>
        <w:rPr>
          <w:b/>
          <w:color w:val="D19F2A"/>
        </w:rPr>
        <w:t>Liste d’acronymes</w:t>
      </w:r>
    </w:p>
    <w:p>
      <w:pPr>
        <w:pStyle w:val="BodyText"/>
        <w:spacing w:before="3"/>
        <w:rPr>
          <w:b/>
          <w:sz w:val="31"/>
        </w:rPr>
      </w:pPr>
    </w:p>
    <w:p>
      <w:pPr>
        <w:pStyle w:val="BodyText"/>
        <w:tabs>
          <w:tab w:pos="1413" w:val="left" w:leader="none"/>
        </w:tabs>
        <w:ind w:left="133" w:right="374"/>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413" w:val="left" w:leader="none"/>
        </w:tabs>
        <w:spacing w:before="131"/>
        <w:ind w:left="133" w:right="374"/>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413" w:val="left" w:leader="none"/>
        </w:tabs>
        <w:spacing w:before="131"/>
        <w:ind w:left="133" w:right="374"/>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413" w:val="left" w:leader="none"/>
        </w:tabs>
        <w:spacing w:before="131"/>
        <w:ind w:left="133" w:right="374"/>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413" w:val="left" w:leader="none"/>
        </w:tabs>
        <w:spacing w:line="266" w:lineRule="auto" w:before="131"/>
        <w:ind w:left="141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413" w:val="left" w:leader="none"/>
        </w:tabs>
        <w:spacing w:before="102"/>
        <w:ind w:left="133" w:right="374"/>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line="266" w:lineRule="auto" w:before="131"/>
        <w:ind w:left="141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413" w:val="left" w:leader="none"/>
        </w:tabs>
        <w:spacing w:before="102"/>
        <w:ind w:left="133" w:right="374"/>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413" w:val="left" w:leader="none"/>
        </w:tabs>
        <w:spacing w:line="266" w:lineRule="auto" w:before="131"/>
        <w:ind w:left="141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413" w:val="left" w:leader="none"/>
        </w:tabs>
        <w:spacing w:before="102"/>
        <w:ind w:left="133" w:right="374"/>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413" w:val="left" w:leader="none"/>
        </w:tabs>
        <w:spacing w:before="131"/>
        <w:ind w:left="133" w:right="374"/>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413" w:val="left" w:leader="none"/>
        </w:tabs>
        <w:spacing w:before="131"/>
        <w:ind w:left="133" w:right="374"/>
        <w:rPr>
          <w:b w:val="0"/>
        </w:rPr>
      </w:pPr>
      <w:r>
        <w:rPr>
          <w:rFonts w:ascii="Myriad Pro"/>
          <w:b/>
          <w:color w:val="231F20"/>
        </w:rPr>
        <w:t>GCP</w:t>
        <w:tab/>
      </w:r>
      <w:r>
        <w:rPr>
          <w:b w:val="0"/>
          <w:color w:val="231F20"/>
        </w:rPr>
        <w:t>Gestion du cycle de projet</w:t>
      </w:r>
    </w:p>
    <w:p>
      <w:pPr>
        <w:pStyle w:val="BodyText"/>
        <w:tabs>
          <w:tab w:pos="1413" w:val="left" w:leader="none"/>
        </w:tabs>
        <w:spacing w:before="131"/>
        <w:ind w:left="133" w:right="374"/>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413" w:val="left" w:leader="none"/>
        </w:tabs>
        <w:spacing w:before="131"/>
        <w:ind w:left="133" w:right="374"/>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413" w:val="left" w:leader="none"/>
        </w:tabs>
        <w:spacing w:before="131"/>
        <w:ind w:left="133" w:right="374"/>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413" w:val="left" w:leader="none"/>
        </w:tabs>
        <w:spacing w:before="131"/>
        <w:ind w:left="133" w:right="374"/>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413" w:val="left" w:leader="none"/>
        </w:tabs>
        <w:spacing w:before="131"/>
        <w:ind w:left="133" w:right="374"/>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413" w:val="left" w:leader="none"/>
        </w:tabs>
        <w:spacing w:line="355" w:lineRule="auto" w:before="131"/>
        <w:ind w:left="13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413" w:val="left" w:leader="none"/>
        </w:tabs>
        <w:ind w:left="133" w:right="374"/>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413" w:val="left" w:leader="none"/>
        </w:tabs>
        <w:spacing w:before="131"/>
        <w:ind w:left="133" w:right="374"/>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413" w:val="left" w:leader="none"/>
        </w:tabs>
        <w:spacing w:before="131"/>
        <w:ind w:left="133" w:right="374"/>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413" w:val="left" w:leader="none"/>
        </w:tabs>
        <w:spacing w:before="131"/>
        <w:ind w:left="133" w:right="374"/>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tabs>
          <w:tab w:pos="1413" w:val="left" w:leader="none"/>
        </w:tabs>
        <w:spacing w:before="131"/>
        <w:ind w:left="133" w:right="374"/>
        <w:rPr>
          <w:b w:val="0"/>
        </w:rPr>
      </w:pPr>
      <w:r>
        <w:rPr>
          <w:rFonts w:ascii="Myriad Pro"/>
          <w:b/>
          <w:color w:val="231F20"/>
        </w:rPr>
        <w:t>PIDCP</w:t>
        <w:tab/>
      </w:r>
      <w:r>
        <w:rPr>
          <w:b w:val="0"/>
          <w:color w:val="231F20"/>
        </w:rPr>
        <w:t>Pacte international relatif aux droits civils et</w:t>
      </w:r>
      <w:r>
        <w:rPr>
          <w:b w:val="0"/>
          <w:color w:val="231F20"/>
          <w:spacing w:val="-14"/>
        </w:rPr>
        <w:t> </w:t>
      </w:r>
      <w:r>
        <w:rPr>
          <w:b w:val="0"/>
          <w:color w:val="231F20"/>
        </w:rPr>
        <w:t>politiques</w:t>
      </w:r>
    </w:p>
    <w:p>
      <w:pPr>
        <w:pStyle w:val="BodyText"/>
        <w:rPr>
          <w:b w:val="0"/>
          <w:sz w:val="20"/>
        </w:rPr>
      </w:pPr>
    </w:p>
    <w:p>
      <w:pPr>
        <w:pStyle w:val="BodyText"/>
        <w:spacing w:before="4"/>
        <w:rPr>
          <w:b w:val="0"/>
          <w:sz w:val="20"/>
        </w:rPr>
      </w:pPr>
    </w:p>
    <w:p>
      <w:pPr>
        <w:spacing w:line="192" w:lineRule="exact" w:before="0"/>
        <w:ind w:left="330" w:right="374"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207" w:right="374"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008"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D19F2A" w:color="auto" w:val="clear"/>
                      </w:rPr>
                      <w:t> </w:t>
                      <w:tab/>
                      <w:t>vi</w:t>
                      <w:tab/>
                    </w:r>
                  </w:p>
                </w:txbxContent>
              </v:textbox>
              <w10:wrap type="none"/>
            </v:shape>
            <w10:wrap type="none"/>
          </v:group>
        </w:pict>
      </w:r>
    </w:p>
    <w:p>
      <w:pPr>
        <w:spacing w:before="75"/>
        <w:ind w:left="2892" w:right="25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177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25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9"/>
        </w:rPr>
      </w:pPr>
    </w:p>
    <w:p>
      <w:pPr>
        <w:spacing w:before="74"/>
        <w:ind w:left="3634" w:right="4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220"/>
        </w:sectPr>
      </w:pPr>
    </w:p>
    <w:p>
      <w:pPr>
        <w:spacing w:before="57"/>
        <w:ind w:left="5054" w:right="1179" w:firstLine="0"/>
        <w:jc w:val="left"/>
        <w:rPr>
          <w:rFonts w:ascii="Myriad Pro" w:hAnsi="Myriad Pro"/>
          <w:sz w:val="16"/>
        </w:rPr>
      </w:pPr>
      <w:r>
        <w:rPr/>
        <w:pict>
          <v:group style="position:absolute;margin-left:56.693001pt;margin-top:0pt;width:538.6pt;height:841.9pt;mso-position-horizontal-relative:page;mso-position-vertical-relative:page;z-index:-52960" coordorigin="1134,0" coordsize="10772,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697;top:1274;width:1370;height:1370" coordorigin="9697,1274" coordsize="1370,1370" path="m10382,1274l10307,1278,10235,1290,10165,1309,10099,1335,10036,1368,9977,1407,9923,1451,9873,1500,9829,1555,9790,1614,9758,1676,9732,1743,9713,1812,9701,1885,9697,1959,9701,2034,9713,2106,9732,2176,9758,2242,9790,2305,9829,2364,9873,2418,9923,2468,9977,2512,10036,2551,10099,2583,10165,2609,10235,2628,10307,2640,10382,2644,10456,2640,10528,2628,10598,2609,10664,2583,10727,2551,10786,2512,10840,2468,10890,2418,10934,2364,10973,2305,11005,2242,11032,2176,11051,2106,11062,2034,11066,1959,11062,1885,11051,1812,11032,1743,11005,1676,10973,1614,10934,1555,10890,1500,10840,1451,10786,1407,10727,1368,10664,1335,10598,1309,10528,1290,10456,1278,10382,1274xe" filled="true" fillcolor="#d19f2a" stroked="false">
              <v:path arrowok="t"/>
              <v:fill type="solid"/>
            </v:shape>
            <v:shape style="position:absolute;left:9867;top:1670;width:773;height:793" coordorigin="9867,1670" coordsize="773,793" path="m10069,2175l9867,2386,9884,2405,9902,2424,9921,2443,9941,2462,10147,2246,10130,2230,10168,2190,10088,2190,10069,2175xm10511,2156l10245,2156,10250,2159,10262,2165,10304,2182,10349,2191,10397,2192,10445,2184,10472,2175,10498,2164,10511,2156xm10372,1670l10337,1673,10304,1681,10273,1692,10261,1698,10250,1704,10239,1710,10229,1717,10213,1729,10198,1742,10185,1755,10172,1770,10157,1791,10145,1814,10134,1839,10126,1864,10118,1906,10118,1950,10125,1993,10138,2034,10142,2044,10147,2052,10151,2061,10154,2070,10151,2078,10147,2089,10147,2109,10148,2115,10150,2121,10150,2127,10134,2142,10100,2178,10088,2190,10168,2190,10190,2168,10192,2165,10193,2163,10229,2163,10235,2160,10241,2156,10245,2156,10511,2156,10522,2150,10533,2141,10387,2141,10336,2137,10287,2121,10245,2093,10209,2056,10202,2046,10195,2035,10189,2024,10172,1972,10168,1918,10179,1865,10202,1816,10213,1801,10225,1787,10239,1774,10253,1762,10279,1745,10307,1733,10337,1725,10370,1721,10533,1721,10522,1713,10500,1700,10478,1690,10456,1682,10433,1675,10409,1672,10372,1670xm10229,2163l10193,2163,10210,2165,10224,2165,10229,2163xm10533,1721l10370,1721,10393,1721,10417,1724,10439,1730,10459,1737,10478,1746,10493,1755,10508,1765,10523,1778,10532,1786,10540,1796,10556,1818,10561,1825,10567,1839,10576,1857,10582,1878,10586,1900,10589,1922,10580,1990,10552,2050,10508,2097,10452,2128,10387,2141,10533,2141,10544,2133,10558,2120,10572,2107,10584,2092,10596,2076,10621,2028,10634,1986,10638,1956,10640,1942,10640,1919,10639,1916,10638,1905,10637,1895,10636,1889,10635,1883,10628,1855,10619,1828,10606,1802,10591,1779,10587,1773,10582,1767,10578,1762,10560,1743,10542,1727,10533,1721xe" filled="true" fillcolor="#ffffff" stroked="false">
              <v:path arrowok="t"/>
              <v:fill type="solid"/>
            </v:shape>
            <v:shape style="position:absolute;left:-503;top:16787;width:773;height:793" coordorigin="-503,16787" coordsize="773,793" path="m10370,1721l10393,1721,10417,1724,10439,1730,10459,1737,10478,1746,10493,1755,10508,1765,10523,1778,10532,1786,10540,1796,10548,1806,10556,1818,10561,1825,10567,1839,10576,1857,10582,1878,10586,1900,10589,1922,10580,1990,10552,2050,10508,2097,10452,2128,10387,2141,10336,2137,10287,2121,10245,2093,10209,2056,10202,2046,10195,2035,10189,2024,10172,1972,10168,1918,10179,1865,10202,1816,10213,1801,10225,1787,10239,1774,10253,1762,10279,1745,10307,1733,10337,1725,10370,1721xm10640,1942l10640,1919,10639,1916,10638,1905,10638,1900,10637,1895,10636,1889,10635,1883,10628,1855,10619,1828,10606,1802,10591,1779,10587,1773,10582,1767,10578,1762,10560,1743,10542,1727,10522,1713,10500,1700,10478,1690,10456,1682,10433,1675,10409,1672,10372,1670,10337,1673,10304,1681,10273,1692,10261,1698,10250,1704,10239,1710,10229,1717,10213,1729,10198,1742,10185,1755,10172,1770,10157,1791,10145,1814,10134,1839,10126,1864,10118,1906,10118,1950,10125,1993,10138,2034,10142,2044,10147,2052,10151,2061,10154,2070,10151,2078,10147,2089,10147,2109,10148,2115,10150,2121,10150,2127,10134,2142,10100,2178,10088,2190,10075,2179,10069,2175,9867,2386,9884,2405,9902,2424,9921,2443,9941,2462,10147,2246,10130,2230,10157,2202,10190,2168,10192,2165,10193,2163,10199,2164,10210,2165,10224,2165,10235,2160,10241,2156,10245,2156,10250,2159,10262,2165,10304,2182,10349,2191,10397,2192,10445,2184,10472,2175,10498,2164,10522,2150,10544,2133,10558,2120,10572,2107,10584,2092,10596,2076,10621,2028,10634,1986,10638,1956,10640,1942xe" filled="false" stroked="true" strokeweight="1.611pt" strokecolor="#ffffff">
              <v:path arrowok="t"/>
            </v:shape>
            <v:shape style="position:absolute;left:9938;top:1417;width:888;height:1084" coordorigin="9938,1417" coordsize="888,1084" path="m10252,2413l10174,2413,10141,2414,10047,2500,10693,2499,10709,2496,10726,2489,10742,2481,10754,2474,10767,2464,10778,2454,10788,2443,10797,2431,10806,2414,10601,2414,10252,2413xm10800,1495l10579,1495,10616,1496,10647,1498,10675,1505,10701,1520,10722,1545,10733,1574,10737,1606,10737,1638,10737,2188,10738,2265,10737,2307,10734,2337,10729,2350,10723,2363,10716,2374,10708,2383,10699,2390,10687,2398,10673,2405,10646,2412,10624,2414,10601,2414,10806,2414,10815,2398,10823,2365,10825,2329,10825,1662,10826,1619,10825,1580,10820,1543,10807,1506,10800,1495xm10129,1417l10107,1417,10087,1418,10067,1421,10048,1427,10005,1452,9971,1492,9947,1541,9938,1595,9938,2178,9953,2162,10013,2094,10027,2078,10027,1609,10033,1576,10047,1547,10067,1523,10089,1508,10104,1501,10118,1498,10133,1497,10800,1495,10791,1481,10769,1458,10743,1440,10713,1426,10677,1419,10650,1418,10547,1418,10129,1417xm10633,1417l10547,1418,10650,1418,10633,1417xe" filled="true" fillcolor="#ffffff" stroked="false">
              <v:path arrowok="t"/>
              <v:fill type="solid"/>
            </v:shape>
            <v:shape style="position:absolute;left:1134;top:11027;width:8107;height:4677" type="#_x0000_t75" stroked="false">
              <v:imagedata r:id="rId17" o:title=""/>
            </v:shape>
            <w10:wrap type="none"/>
          </v:group>
        </w:pict>
      </w: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312;mso-wrap-distance-left:0;mso-wrap-distance-right:0" from="56.692902pt,29.548626pt" to="450.708902pt,29.548626pt" stroked="true" strokeweight="1.5pt" strokecolor="#d19f2a">
            <w10:wrap type="topAndBottom"/>
          </v:line>
        </w:pict>
      </w:r>
      <w:bookmarkStart w:name="_TOC_250009" w:id="1"/>
      <w:bookmarkEnd w:id="1"/>
      <w:r>
        <w:rPr>
          <w:b/>
          <w:color w:val="D19F2A"/>
          <w:spacing w:val="-6"/>
        </w:rPr>
        <w:t>PRÉSENTATION</w:t>
      </w:r>
    </w:p>
    <w:p>
      <w:pPr>
        <w:pStyle w:val="BodyText"/>
        <w:spacing w:before="2"/>
        <w:rPr>
          <w:b/>
          <w:sz w:val="32"/>
        </w:rPr>
      </w:pPr>
    </w:p>
    <w:p>
      <w:pPr>
        <w:pStyle w:val="BodyText"/>
        <w:spacing w:line="266" w:lineRule="auto"/>
        <w:ind w:left="133" w:right="1394"/>
        <w:jc w:val="both"/>
        <w:rPr>
          <w:b w:val="0"/>
        </w:rPr>
      </w:pPr>
      <w:r>
        <w:rPr>
          <w:b w:val="0"/>
          <w:color w:val="231F20"/>
        </w:rPr>
        <w:t>Ce module présente les obligations générales des États en matière de suivi et de rapport sur l’application de la Convention relative aux droits des personnes handicapées (CDPH), conformément aux procédures prescrites par la CDPH et son Protocole facultatif.</w:t>
      </w:r>
    </w:p>
    <w:p>
      <w:pPr>
        <w:pStyle w:val="BodyText"/>
        <w:spacing w:line="266" w:lineRule="auto" w:before="114"/>
        <w:ind w:left="133" w:right="1411"/>
        <w:rPr>
          <w:b w:val="0"/>
        </w:rPr>
      </w:pPr>
      <w:r>
        <w:rPr>
          <w:b w:val="0"/>
          <w:color w:val="231F20"/>
        </w:rPr>
        <w:t>La section de présentation fournit des informations sur les objectifs et le public cible, sur le contenu et le plan du module, ainsi que sur les résultats d’apprentissage.</w:t>
      </w:r>
    </w:p>
    <w:p>
      <w:pPr>
        <w:pStyle w:val="Heading2"/>
        <w:spacing w:before="58"/>
        <w:ind w:right="1179"/>
        <w:rPr>
          <w:b/>
        </w:rPr>
      </w:pPr>
      <w:r>
        <w:rPr>
          <w:b/>
          <w:color w:val="231F20"/>
        </w:rPr>
        <w:t>Objectifs du module</w:t>
      </w:r>
    </w:p>
    <w:p>
      <w:pPr>
        <w:pStyle w:val="BodyText"/>
        <w:spacing w:line="264" w:lineRule="auto" w:before="23"/>
        <w:ind w:left="813" w:right="1470" w:hanging="341"/>
        <w:rPr>
          <w:b w:val="0"/>
        </w:rPr>
      </w:pPr>
      <w:r>
        <w:rPr>
          <w:rFonts w:ascii="Arial" w:hAnsi="Arial"/>
          <w:color w:val="D19F2A"/>
          <w:sz w:val="26"/>
        </w:rPr>
        <w:t>► </w:t>
      </w:r>
      <w:r>
        <w:rPr>
          <w:b w:val="0"/>
          <w:color w:val="231F20"/>
        </w:rPr>
        <w:t>Exposer les approches et cadres définis par la Convention relative aux droits des personnes handicapées pour son application et son suivi.</w:t>
      </w:r>
    </w:p>
    <w:p>
      <w:pPr>
        <w:pStyle w:val="Heading2"/>
        <w:spacing w:before="61"/>
        <w:ind w:right="1179"/>
        <w:rPr>
          <w:b/>
        </w:rPr>
      </w:pPr>
      <w:r>
        <w:rPr>
          <w:b/>
          <w:color w:val="231F20"/>
        </w:rPr>
        <w:t>À qui est destiné ce module ?</w:t>
      </w:r>
    </w:p>
    <w:p>
      <w:pPr>
        <w:pStyle w:val="BodyText"/>
        <w:spacing w:line="266" w:lineRule="auto" w:before="117"/>
        <w:ind w:left="133" w:right="1569"/>
        <w:rPr>
          <w:b w:val="0"/>
        </w:rPr>
      </w:pPr>
      <w:r>
        <w:rPr>
          <w:b w:val="0"/>
          <w:color w:val="231F20"/>
        </w:rPr>
        <w:t>Ce module s’adresse à toute personne intéressée par le handicap ou chargée de</w:t>
      </w:r>
      <w:r>
        <w:rPr>
          <w:b w:val="0"/>
          <w:color w:val="231F20"/>
          <w:spacing w:val="-25"/>
        </w:rPr>
        <w:t> </w:t>
      </w:r>
      <w:r>
        <w:rPr>
          <w:b w:val="0"/>
          <w:color w:val="231F20"/>
        </w:rPr>
        <w:t>traiter des questions relatives au handicap dans le cadre de ses fonctions professionnelles, y compris les personnes handicapées ou non qui travaillent dans la société civile, dans le service public et civil ou dans les institutions de défense des droits de l’homme. Il</w:t>
      </w:r>
    </w:p>
    <w:p>
      <w:pPr>
        <w:pStyle w:val="BodyText"/>
        <w:spacing w:line="266" w:lineRule="auto"/>
        <w:ind w:left="133" w:right="1179"/>
        <w:rPr>
          <w:b w:val="0"/>
        </w:rPr>
      </w:pPr>
      <w:r>
        <w:rPr>
          <w:b w:val="0"/>
          <w:color w:val="231F20"/>
        </w:rPr>
        <w:t>s’adresse également aux parlementaires, aux agences de développement, aux universités et au secteur privé.</w:t>
      </w:r>
    </w:p>
    <w:p>
      <w:pPr>
        <w:pStyle w:val="Heading2"/>
        <w:spacing w:before="59"/>
        <w:ind w:right="1179"/>
        <w:rPr>
          <w:b/>
        </w:rPr>
      </w:pPr>
      <w:r>
        <w:rPr>
          <w:b/>
          <w:color w:val="231F20"/>
        </w:rPr>
        <w:t>De quoi traite ce module ?</w:t>
      </w:r>
    </w:p>
    <w:p>
      <w:pPr>
        <w:pStyle w:val="BodyText"/>
        <w:spacing w:before="117"/>
        <w:ind w:left="133" w:right="1179"/>
        <w:rPr>
          <w:b w:val="0"/>
        </w:rPr>
      </w:pPr>
      <w:r>
        <w:rPr>
          <w:b w:val="0"/>
          <w:color w:val="231F20"/>
        </w:rPr>
        <w:t>Ce module :</w:t>
      </w:r>
    </w:p>
    <w:p>
      <w:pPr>
        <w:pStyle w:val="BodyText"/>
        <w:spacing w:before="18"/>
        <w:ind w:left="813" w:right="1299" w:hanging="341"/>
        <w:jc w:val="both"/>
        <w:rPr>
          <w:b w:val="0"/>
        </w:rPr>
      </w:pPr>
      <w:r>
        <w:rPr>
          <w:rFonts w:ascii="Arial" w:hAnsi="Arial"/>
          <w:color w:val="D19F2A"/>
          <w:sz w:val="26"/>
        </w:rPr>
        <w:t>► </w:t>
      </w:r>
      <w:r>
        <w:rPr>
          <w:b w:val="0"/>
          <w:color w:val="231F20"/>
        </w:rPr>
        <w:t>examine les dispositions et les cadres établis par la Convention des Nations Unies relative aux droits des personnes handicapées (CPDH) pour l’application et le suivi de la CDPH aux niveaux national et international ;</w:t>
      </w:r>
    </w:p>
    <w:p>
      <w:pPr>
        <w:pStyle w:val="BodyText"/>
        <w:spacing w:before="17"/>
        <w:ind w:left="813" w:right="1286" w:hanging="341"/>
        <w:rPr>
          <w:b w:val="0"/>
        </w:rPr>
      </w:pPr>
      <w:r>
        <w:rPr>
          <w:rFonts w:ascii="Arial" w:hAnsi="Arial"/>
          <w:color w:val="D19F2A"/>
          <w:sz w:val="26"/>
        </w:rPr>
        <w:t>► </w:t>
      </w:r>
      <w:r>
        <w:rPr>
          <w:b w:val="0"/>
          <w:color w:val="231F20"/>
        </w:rPr>
        <w:t>étudie les obligations des États parties et le rôle d’autres acteurs dans l’application et le suivi de la CDPH ;</w:t>
      </w:r>
    </w:p>
    <w:p>
      <w:pPr>
        <w:pStyle w:val="BodyText"/>
        <w:spacing w:before="17"/>
        <w:ind w:left="813" w:right="1522" w:hanging="341"/>
        <w:rPr>
          <w:b w:val="0"/>
        </w:rPr>
      </w:pPr>
      <w:r>
        <w:rPr>
          <w:rFonts w:ascii="Arial" w:hAnsi="Arial"/>
          <w:color w:val="D19F2A"/>
          <w:sz w:val="26"/>
        </w:rPr>
        <w:t>► </w:t>
      </w:r>
      <w:r>
        <w:rPr>
          <w:b w:val="0"/>
          <w:color w:val="231F20"/>
        </w:rPr>
        <w:t>passe en revue les procédures d’application et de suivi définies par le Protocole facultatif de la CDPH ;</w:t>
      </w:r>
    </w:p>
    <w:p>
      <w:pPr>
        <w:pStyle w:val="BodyText"/>
        <w:spacing w:before="17"/>
        <w:ind w:left="473" w:right="1179"/>
        <w:rPr>
          <w:b w:val="0"/>
          <w:i/>
        </w:rPr>
      </w:pPr>
      <w:r>
        <w:rPr>
          <w:rFonts w:ascii="Arial" w:hAnsi="Arial"/>
          <w:color w:val="D19F2A"/>
          <w:sz w:val="26"/>
        </w:rPr>
        <w:t>► </w:t>
      </w:r>
      <w:r>
        <w:rPr>
          <w:b w:val="0"/>
          <w:color w:val="231F20"/>
        </w:rPr>
        <w:t>inclut des exercices d’apprentissage pour accompagner les supports ; </w:t>
      </w:r>
      <w:r>
        <w:rPr>
          <w:b w:val="0"/>
          <w:i/>
          <w:color w:val="231F20"/>
        </w:rPr>
        <w:t>et</w:t>
      </w:r>
    </w:p>
    <w:p>
      <w:pPr>
        <w:pStyle w:val="BodyText"/>
        <w:spacing w:before="17"/>
        <w:ind w:left="473" w:right="1179"/>
        <w:rPr>
          <w:b w:val="0"/>
        </w:rPr>
      </w:pPr>
      <w:r>
        <w:rPr>
          <w:rFonts w:ascii="Arial" w:hAnsi="Arial"/>
          <w:color w:val="D19F2A"/>
          <w:sz w:val="26"/>
        </w:rPr>
        <w:t>► </w:t>
      </w:r>
      <w:r>
        <w:rPr>
          <w:b w:val="0"/>
          <w:color w:val="231F20"/>
        </w:rPr>
        <w:t>fournit une liste de ressources utiles pour référence.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1"/>
        </w:rPr>
      </w:pPr>
    </w:p>
    <w:p>
      <w:pPr>
        <w:spacing w:line="192" w:lineRule="exact" w:before="75"/>
        <w:ind w:left="0" w:right="1249" w:firstLine="0"/>
        <w:jc w:val="right"/>
        <w:rPr>
          <w:rFonts w:ascii="Myriad Pro" w:hAnsi="Myriad Pro"/>
          <w:sz w:val="16"/>
        </w:rPr>
      </w:pPr>
      <w:r>
        <w:rPr/>
        <w:pict>
          <v:shape style="position:absolute;margin-left:462.046997pt;margin-top:8.657927pt;width:45.4pt;height:13pt;mso-position-horizontal-relative:page;mso-position-vertical-relative:paragraph;z-index:13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1</w:t>
                    <w:tab/>
                  </w:r>
                </w:p>
              </w:txbxContent>
            </v:textbox>
            <w10:wrap type="none"/>
          </v:shape>
        </w:pict>
      </w:r>
      <w:r>
        <w:rPr/>
        <w:pict>
          <v:shape style="position:absolute;margin-left:452.049622pt;margin-top:-65.178314pt;width:8pt;height:47.45pt;mso-position-horizontal-relative:page;mso-position-vertical-relative:paragraph;z-index:1384" type="#_x0000_t202" filled="false" stroked="false">
            <v:textbox inset="0,0,0,0" style="layout-flow:vertical;mso-layout-flow-alt:bottom-to-top">
              <w:txbxContent>
                <w:p>
                  <w:pPr>
                    <w:spacing w:before="4"/>
                    <w:ind w:left="20" w:right="-667" w:firstLine="0"/>
                    <w:jc w:val="left"/>
                    <w:rPr>
                      <w:rFonts w:ascii="Arial" w:hAnsi="Arial"/>
                      <w:sz w:val="12"/>
                    </w:rPr>
                  </w:pPr>
                  <w:r>
                    <w:rPr>
                      <w:rFonts w:ascii="Arial" w:hAnsi="Arial"/>
                      <w:color w:val="FFFFFF"/>
                      <w:sz w:val="12"/>
                    </w:rPr>
                    <w:t>© OIT/A.Fiorente</w:t>
                  </w:r>
                </w:p>
              </w:txbxContent>
            </v:textbox>
            <w10:wrap type="none"/>
          </v:shape>
        </w:pict>
      </w:r>
      <w:r>
        <w:rPr>
          <w:rFonts w:ascii="Myriad Pro" w:hAnsi="Myriad Pro"/>
          <w:color w:val="6D6E71"/>
          <w:sz w:val="16"/>
        </w:rPr>
        <w:t>Module 2 - CADRES D’APPLICATION ET DE SUIVI DE LA CONVENTION DES NATIONS UNIES RELATIVE AUX DROITS DES</w:t>
      </w:r>
    </w:p>
    <w:p>
      <w:pPr>
        <w:spacing w:before="0"/>
        <w:ind w:left="0" w:right="1249" w:firstLine="0"/>
        <w:jc w:val="right"/>
        <w:rPr>
          <w:rFonts w:ascii="Myriad Pro" w:hAnsi="Myriad Pro"/>
          <w:sz w:val="16"/>
        </w:rPr>
      </w:pPr>
      <w:r>
        <w:rPr>
          <w:rFonts w:ascii="Myriad Pro" w:hAnsi="Myriad Pro"/>
          <w:color w:val="6D6E71"/>
          <w:sz w:val="16"/>
        </w:rPr>
        <w:t>PERSONNES HANDICAPÉES</w:t>
      </w:r>
    </w:p>
    <w:p>
      <w:pPr>
        <w:spacing w:after="0"/>
        <w:jc w:val="right"/>
        <w:rPr>
          <w:rFonts w:ascii="Myriad Pro" w:hAnsi="Myriad Pro"/>
          <w:sz w:val="16"/>
        </w:rPr>
        <w:sectPr>
          <w:pgSz w:w="11910" w:h="16840"/>
          <w:pgMar w:top="360" w:bottom="0" w:left="100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52624"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757;top:16142;width:908;height:321" type="#_x0000_t202" filled="true" fillcolor="#d19f2a" stroked="false">
              <v:textbox inset="0,0,0,0">
                <w:txbxContent>
                  <w:p>
                    <w:pPr>
                      <w:spacing w:line="310" w:lineRule="exact" w:before="10"/>
                      <w:ind w:left="0" w:right="54" w:firstLine="0"/>
                      <w:jc w:val="right"/>
                      <w:rPr>
                        <w:rFonts w:ascii="Myriad Pro"/>
                        <w:sz w:val="26"/>
                      </w:rPr>
                    </w:pPr>
                    <w:r>
                      <w:rPr>
                        <w:rFonts w:ascii="Myriad Pro"/>
                        <w:color w:val="FFFFFF"/>
                        <w:sz w:val="26"/>
                      </w:rPr>
                      <w:t>2</w:t>
                    </w:r>
                  </w:p>
                </w:txbxContent>
              </v:textbox>
              <v:fill type="solid"/>
              <w10:wrap type="none"/>
            </v:shape>
            <w10:wrap type="none"/>
          </v:group>
        </w:pict>
      </w:r>
    </w:p>
    <w:p>
      <w:pPr>
        <w:spacing w:before="75"/>
        <w:ind w:left="2892" w:right="281"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spacing w:before="44"/>
        <w:ind w:left="2891" w:right="281"/>
        <w:rPr>
          <w:b/>
        </w:rPr>
      </w:pPr>
      <w:r>
        <w:rPr>
          <w:b/>
          <w:color w:val="231F20"/>
        </w:rPr>
        <w:t>Objectifs d’apprentissage</w:t>
      </w:r>
    </w:p>
    <w:p>
      <w:pPr>
        <w:pStyle w:val="BodyText"/>
        <w:spacing w:before="117"/>
        <w:ind w:left="2891" w:right="281"/>
        <w:rPr>
          <w:b w:val="0"/>
        </w:rPr>
      </w:pPr>
      <w:r>
        <w:rPr>
          <w:b w:val="0"/>
          <w:color w:val="231F20"/>
        </w:rPr>
        <w:t>À la fin de ce module, les participants auront :</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identifié des éléments essentiels à l’application réussie de la CDPH</w:t>
      </w:r>
      <w:r>
        <w:rPr>
          <w:b w:val="0"/>
          <w:color w:val="231F20"/>
          <w:spacing w:val="-2"/>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Discuté du cadre juridique d’application et de suivi dans leur pays</w:t>
      </w:r>
      <w:r>
        <w:rPr>
          <w:b w:val="0"/>
          <w:color w:val="231F20"/>
          <w:spacing w:val="-7"/>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Réfléchi à la manière dont se déroule le suivi indépendant de la CDPH</w:t>
      </w:r>
      <w:r>
        <w:rPr>
          <w:b w:val="0"/>
          <w:color w:val="231F20"/>
          <w:spacing w:val="-3"/>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Étudié les procédures de suivi prévues par le Protocole</w:t>
      </w:r>
      <w:r>
        <w:rPr>
          <w:b w:val="0"/>
          <w:color w:val="231F20"/>
          <w:spacing w:val="-26"/>
          <w:sz w:val="22"/>
        </w:rPr>
        <w:t> </w:t>
      </w:r>
      <w:r>
        <w:rPr>
          <w:b w:val="0"/>
          <w:color w:val="231F20"/>
          <w:sz w:val="22"/>
        </w:rPr>
        <w:t>facultatif.</w:t>
      </w:r>
    </w:p>
    <w:p>
      <w:pPr>
        <w:pStyle w:val="BodyText"/>
        <w:rPr>
          <w:b w:val="0"/>
        </w:rPr>
      </w:pPr>
    </w:p>
    <w:p>
      <w:pPr>
        <w:pStyle w:val="BodyText"/>
        <w:spacing w:before="10"/>
        <w:rPr>
          <w:b w:val="0"/>
          <w:sz w:val="16"/>
        </w:rPr>
      </w:pPr>
    </w:p>
    <w:p>
      <w:pPr>
        <w:pStyle w:val="Heading2"/>
        <w:ind w:left="2891" w:right="281"/>
        <w:rPr>
          <w:b/>
        </w:rPr>
      </w:pPr>
      <w:r>
        <w:rPr>
          <w:b/>
          <w:color w:val="231F20"/>
        </w:rPr>
        <w:t>Plan du module</w:t>
      </w:r>
    </w:p>
    <w:p>
      <w:pPr>
        <w:pStyle w:val="BodyText"/>
        <w:spacing w:before="1"/>
        <w:rPr>
          <w:b/>
          <w:sz w:val="13"/>
        </w:rPr>
      </w:pPr>
      <w:r>
        <w:rPr/>
        <w:pict>
          <v:group style="position:absolute;margin-left:142.235992pt;margin-top:9.975906pt;width:398.55pt;height:276.95pt;mso-position-horizontal-relative:page;mso-position-vertical-relative:paragraph;z-index:1624;mso-wrap-distance-left:0;mso-wrap-distance-right:0" coordorigin="2845,200" coordsize="7971,5539">
            <v:line style="position:absolute" from="5127,893" to="5630,893" stroked="true" strokeweight="2pt" strokecolor="#231f20"/>
            <v:shape style="position:absolute;left:5534;top:815;width:215;height:157" coordorigin="5534,815" coordsize="215,157" path="m5534,815l5534,971,5748,893,5534,815xe" filled="true" fillcolor="#231f20" stroked="false">
              <v:path arrowok="t"/>
              <v:fill type="solid"/>
            </v:shape>
            <v:rect style="position:absolute;left:2845;top:200;width:2282;height:1498" filled="true" fillcolor="#231f20" stroked="false">
              <v:fill opacity="22937f" type="solid"/>
            </v:rect>
            <v:shape style="position:absolute;left:2918;top:273;width:2026;height:1241" coordorigin="2918,273" coordsize="2026,1241" path="m4773,273l3088,273,2990,275,2939,294,2921,345,2918,443,2918,1343,2921,1441,2939,1492,2990,1510,3088,1513,4773,1513,4871,1510,4922,1492,4940,1441,4943,1343,4943,443,4940,345,4922,294,4871,275,4773,273xe" filled="true" fillcolor="#d9eaf0" stroked="false">
              <v:path arrowok="t"/>
              <v:fill type="solid"/>
            </v:shape>
            <v:shape style="position:absolute;left:2918;top:273;width:2026;height:1241" coordorigin="2918,273" coordsize="2026,1241" path="m3088,273l2990,275,2939,294,2921,345,2918,443,2918,1343,2921,1441,2939,1492,2990,1510,3088,1513,4773,1513,4871,1510,4922,1492,4940,1441,4943,1343,4943,443,4940,345,4922,294,4871,275,4773,273,3088,273xe" filled="false" stroked="true" strokeweight="2pt" strokecolor="#231f20">
              <v:path arrowok="t"/>
            </v:shape>
            <v:line style="position:absolute" from="7986,893" to="8457,893" stroked="true" strokeweight="2pt" strokecolor="#c41230"/>
            <v:shape style="position:absolute;left:8361;top:815;width:215;height:157" coordorigin="8361,815" coordsize="215,157" path="m8361,815l8362,971,8576,893,8361,815xe" filled="true" fillcolor="#c41230" stroked="false">
              <v:path arrowok="t"/>
              <v:fill type="solid"/>
            </v:shape>
            <v:rect style="position:absolute;left:5704;top:203;width:2282;height:1498" filled="true" fillcolor="#231f20" stroked="false">
              <v:fill opacity="22937f" type="solid"/>
            </v:rect>
            <v:shape style="position:absolute;left:5777;top:276;width:2026;height:1241" coordorigin="5777,276" coordsize="2026,1241" path="m7632,276l5947,276,5849,279,5798,298,5780,348,5777,446,5777,1346,5780,1445,5798,1495,5849,1514,5947,1517,7632,1517,7730,1514,7781,1495,7799,1445,7802,1346,7802,446,7799,348,7781,298,7730,279,7632,276xe" filled="true" fillcolor="#f7e1db" stroked="false">
              <v:path arrowok="t"/>
              <v:fill type="solid"/>
            </v:shape>
            <v:line style="position:absolute" from="9619,1698" to="9619,2124" stroked="true" strokeweight="2pt" strokecolor="#c41230"/>
            <v:shape style="position:absolute;left:9541;top:2048;width:157;height:215" coordorigin="9541,2048" coordsize="157,215" path="m9697,2048l9541,2048,9619,2263,9697,2048xe" filled="true" fillcolor="#c41230" stroked="false">
              <v:path arrowok="t"/>
              <v:fill type="solid"/>
            </v:shape>
            <v:rect style="position:absolute;left:8533;top:200;width:2282;height:1498" filled="true" fillcolor="#231f20" stroked="false">
              <v:fill opacity="22937f" type="solid"/>
            </v:rect>
            <v:shape style="position:absolute;left:8606;top:273;width:2026;height:1241" coordorigin="8606,273" coordsize="2026,1241" path="m10461,273l8776,273,8678,276,8627,295,8609,345,8606,443,8606,1343,8609,1442,8627,1492,8678,1511,8776,1514,10461,1514,10559,1511,10610,1492,10628,1442,10631,1343,10631,443,10628,345,10610,295,10559,276,10461,273xe" filled="true" fillcolor="#f7e1db" stroked="false">
              <v:path arrowok="t"/>
              <v:fill type="solid"/>
            </v:shape>
            <v:line style="position:absolute" from="5122,2921" to="5704,2921" stroked="true" strokeweight="2pt" strokecolor="#c41230"/>
            <v:shape style="position:absolute;left:4983;top:2843;width:215;height:157" coordorigin="4983,2843" coordsize="215,157" path="m5198,2843l4983,2921,5198,2999,5198,2843xe" filled="true" fillcolor="#c41230" stroked="false">
              <v:path arrowok="t"/>
              <v:fill type="solid"/>
            </v:shape>
            <v:line style="position:absolute" from="3931,3726" to="3931,4171" stroked="true" strokeweight="2pt" strokecolor="#c41230"/>
            <v:shape style="position:absolute;left:3853;top:4095;width:157;height:215" coordorigin="3853,4095" coordsize="157,215" path="m4009,4095l3853,4095,3931,4309,4009,4095xe" filled="true" fillcolor="#c41230" stroked="false">
              <v:path arrowok="t"/>
              <v:fill type="solid"/>
            </v:shape>
            <v:rect style="position:absolute;left:2845;top:2228;width:2282;height:1498" filled="true" fillcolor="#231f20" stroked="false">
              <v:fill opacity="22937f" type="solid"/>
            </v:rect>
            <v:shape style="position:absolute;left:2918;top:2301;width:2026;height:1241" coordorigin="2918,2301" coordsize="2026,1241" path="m4773,2301l3088,2301,2990,2304,2939,2323,2921,2373,2918,2471,2918,3371,2921,3470,2939,3520,2990,3539,3088,3541,4773,3541,4871,3539,4922,3520,4940,3470,4943,3371,4943,2471,4940,2373,4922,2323,4871,2304,4773,2301xe" filled="true" fillcolor="#f7e1db" stroked="false">
              <v:path arrowok="t"/>
              <v:fill type="solid"/>
            </v:shape>
            <v:line style="position:absolute" from="7986,2921" to="8533,2921" stroked="true" strokeweight="2pt" strokecolor="#c41230"/>
            <v:shape style="position:absolute;left:7812;top:2843;width:215;height:157" coordorigin="7812,2843" coordsize="215,157" path="m8027,2843l7812,2921,8027,2999,8027,2843xe" filled="true" fillcolor="#c41230" stroked="false">
              <v:path arrowok="t"/>
              <v:fill type="solid"/>
            </v:shape>
            <v:rect style="position:absolute;left:5704;top:2228;width:2282;height:1498" filled="true" fillcolor="#231f20" stroked="false">
              <v:fill opacity="22937f" type="solid"/>
            </v:rect>
            <v:shape style="position:absolute;left:5777;top:2301;width:2026;height:1241" coordorigin="5777,2301" coordsize="2026,1241" path="m7632,2301l5947,2301,5849,2304,5798,2323,5780,2373,5777,2471,5777,3371,5780,3470,5798,3520,5849,3539,5947,3541,7632,3541,7730,3539,7781,3520,7799,3470,7802,3371,7802,2471,7799,2373,7781,2323,7730,2304,7632,2301xe" filled="true" fillcolor="#f7e1db" stroked="false">
              <v:path arrowok="t"/>
              <v:fill type="solid"/>
            </v:shape>
            <v:rect style="position:absolute;left:8533;top:2228;width:2282;height:1498" filled="true" fillcolor="#231f20" stroked="false">
              <v:fill opacity="22937f" type="solid"/>
            </v:rect>
            <v:shape style="position:absolute;left:8606;top:2301;width:2026;height:1241" coordorigin="8606,2301" coordsize="2026,1241" path="m10461,2301l8776,2301,8678,2304,8627,2323,8609,2373,8606,2471,8606,3371,8609,3470,8627,3520,8678,3539,8776,3541,10461,3541,10559,3539,10610,3520,10628,3470,10631,3371,10631,2471,10628,2373,10610,2323,10559,2304,10461,2301xe" filled="true" fillcolor="#f7e1db" stroked="false">
              <v:path arrowok="t"/>
              <v:fill type="solid"/>
            </v:shape>
            <v:line style="position:absolute" from="5127,4934" to="5628,4934" stroked="true" strokeweight="2pt" strokecolor="#8a9221"/>
            <v:shape style="position:absolute;left:5532;top:4856;width:215;height:157" coordorigin="5532,4856" coordsize="215,157" path="m5533,4856l5532,5012,5747,4934,5533,4856xe" filled="true" fillcolor="#8a9221" stroked="false">
              <v:path arrowok="t"/>
              <v:fill type="solid"/>
            </v:shape>
            <v:line style="position:absolute" from="7986,4938" to="8457,4938" stroked="true" strokeweight="2pt" strokecolor="#55479d"/>
            <v:shape style="position:absolute;left:8361;top:4860;width:215;height:157" coordorigin="8361,4860" coordsize="215,157" path="m8362,4860l8361,5017,8576,4939,8362,4860xe" filled="true" fillcolor="#55479d" stroked="false">
              <v:path arrowok="t"/>
              <v:fill type="solid"/>
            </v:shape>
            <v:rect style="position:absolute;left:5704;top:4241;width:2282;height:1498" filled="true" fillcolor="#231f20" stroked="false">
              <v:fill opacity="22937f" type="solid"/>
            </v:rect>
            <v:shape style="position:absolute;left:5777;top:4314;width:2026;height:1241" coordorigin="5777,4314" coordsize="2026,1241" path="m7632,4314l5947,4314,5849,4317,5798,4335,5780,4386,5777,4484,5777,5384,5780,5482,5798,5533,5849,5551,5947,5554,7632,5554,7730,5551,7781,5533,7799,5482,7802,5384,7802,4484,7799,4386,7781,4335,7730,4317,7632,4314xe" filled="true" fillcolor="#dbd8ec" stroked="false">
              <v:path arrowok="t"/>
              <v:fill type="solid"/>
            </v:shape>
            <v:rect style="position:absolute;left:2845;top:4241;width:2282;height:1498" filled="true" fillcolor="#231f20" stroked="false">
              <v:fill opacity="22937f" type="solid"/>
            </v:rect>
            <v:shape style="position:absolute;left:2918;top:4314;width:2026;height:1241" coordorigin="2918,4314" coordsize="2026,1241" path="m4773,4314l3088,4314,2990,4317,2939,4335,2921,4386,2918,4484,2918,5384,2921,5482,2939,5533,2990,5551,3088,5554,4773,5554,4871,5551,4922,5533,4940,5482,4943,5384,4943,4484,4940,4386,4922,4335,4871,4317,4773,4314xe" filled="true" fillcolor="#e0e0c6" stroked="false">
              <v:path arrowok="t"/>
              <v:fill type="solid"/>
            </v:shape>
            <v:rect style="position:absolute;left:8533;top:4241;width:2282;height:1498" filled="true" fillcolor="#231f20" stroked="false">
              <v:fill opacity="22937f" type="solid"/>
            </v:rect>
            <v:shape style="position:absolute;left:8606;top:4314;width:2026;height:1241" coordorigin="8606,4314" coordsize="2026,1241" path="m10461,4314l8776,4314,8678,4317,8627,4335,8609,4386,8606,4484,8606,5384,8609,5482,8627,5533,8678,5551,8776,5554,10461,5554,10559,5551,10610,5533,10628,5482,10631,5384,10631,4484,10628,4386,10610,4335,10559,4317,10461,4314xe" filled="true" fillcolor="#cee5ec" stroked="false">
              <v:path arrowok="t"/>
              <v:fill type="solid"/>
            </v:shape>
            <v:shape style="position:absolute;left:8612;top:273;width:2014;height:1241" type="#_x0000_t202" filled="true" fillcolor="#f7e1db" stroked="false">
              <v:textbox inset="0,0,0,0">
                <w:txbxContent>
                  <w:p>
                    <w:pPr>
                      <w:spacing w:line="240" w:lineRule="auto" w:before="0"/>
                      <w:rPr>
                        <w:b/>
                        <w:sz w:val="18"/>
                      </w:rPr>
                    </w:pPr>
                  </w:p>
                  <w:p>
                    <w:pPr>
                      <w:spacing w:line="240" w:lineRule="auto" w:before="0"/>
                      <w:rPr>
                        <w:b/>
                        <w:sz w:val="14"/>
                      </w:rPr>
                    </w:pPr>
                  </w:p>
                  <w:p>
                    <w:pPr>
                      <w:spacing w:before="0"/>
                      <w:ind w:left="136" w:right="100" w:firstLine="0"/>
                      <w:jc w:val="left"/>
                      <w:rPr>
                        <w:b w:val="0"/>
                        <w:sz w:val="18"/>
                      </w:rPr>
                    </w:pPr>
                    <w:r>
                      <w:rPr>
                        <w:b w:val="0"/>
                        <w:color w:val="231F20"/>
                        <w:sz w:val="18"/>
                      </w:rPr>
                      <w:t>2.A.  Contexte</w:t>
                    </w:r>
                  </w:p>
                </w:txbxContent>
              </v:textbox>
              <v:fill type="solid"/>
              <w10:wrap type="none"/>
            </v:shape>
            <v:shape style="position:absolute;left:5783;top:276;width:2014;height:1241" type="#_x0000_t202" filled="true" fillcolor="#f7e1db" stroked="false">
              <v:textbox inset="0,0,0,0">
                <w:txbxContent>
                  <w:p>
                    <w:pPr>
                      <w:spacing w:line="240" w:lineRule="auto" w:before="0"/>
                      <w:rPr>
                        <w:b/>
                        <w:sz w:val="18"/>
                      </w:rPr>
                    </w:pPr>
                  </w:p>
                  <w:p>
                    <w:pPr>
                      <w:tabs>
                        <w:tab w:pos="485" w:val="left" w:leader="none"/>
                      </w:tabs>
                      <w:spacing w:before="161"/>
                      <w:ind w:left="145" w:right="100" w:firstLine="0"/>
                      <w:jc w:val="left"/>
                      <w:rPr>
                        <w:b/>
                        <w:sz w:val="18"/>
                      </w:rPr>
                    </w:pPr>
                    <w:r>
                      <w:rPr>
                        <w:b/>
                        <w:color w:val="231F20"/>
                        <w:sz w:val="18"/>
                      </w:rPr>
                      <w:t>2.</w:t>
                      <w:tab/>
                      <w:t>CONTENU</w:t>
                    </w:r>
                  </w:p>
                  <w:p>
                    <w:pPr>
                      <w:spacing w:before="0"/>
                      <w:ind w:left="485" w:right="100" w:firstLine="0"/>
                      <w:jc w:val="left"/>
                      <w:rPr>
                        <w:b/>
                        <w:sz w:val="18"/>
                      </w:rPr>
                    </w:pPr>
                    <w:r>
                      <w:rPr>
                        <w:b/>
                        <w:color w:val="231F20"/>
                        <w:sz w:val="18"/>
                      </w:rPr>
                      <w:t>TECHNIQUE</w:t>
                    </w:r>
                  </w:p>
                </w:txbxContent>
              </v:textbox>
              <v:fill type="solid"/>
              <w10:wrap type="none"/>
            </v:shape>
            <v:shape style="position:absolute;left:2924;top:2301;width:2014;height:1241" type="#_x0000_t202" filled="true" fillcolor="#f7e1db" stroked="false">
              <v:textbox inset="0,0,0,0">
                <w:txbxContent>
                  <w:p>
                    <w:pPr>
                      <w:spacing w:line="240" w:lineRule="auto" w:before="6"/>
                      <w:rPr>
                        <w:b/>
                        <w:sz w:val="14"/>
                      </w:rPr>
                    </w:pPr>
                  </w:p>
                  <w:p>
                    <w:pPr>
                      <w:spacing w:line="247" w:lineRule="auto" w:before="0"/>
                      <w:ind w:left="396" w:right="100" w:hanging="341"/>
                      <w:jc w:val="left"/>
                      <w:rPr>
                        <w:b w:val="0"/>
                        <w:sz w:val="18"/>
                      </w:rPr>
                    </w:pPr>
                    <w:r>
                      <w:rPr>
                        <w:b w:val="0"/>
                        <w:color w:val="231F20"/>
                        <w:sz w:val="18"/>
                      </w:rPr>
                      <w:t>2.D. Procédures de suivi conformément au Protocole facultatif de la CDPH</w:t>
                    </w:r>
                  </w:p>
                </w:txbxContent>
              </v:textbox>
              <v:fill type="solid"/>
              <w10:wrap type="none"/>
            </v:shape>
            <v:shape style="position:absolute;left:5783;top:2301;width:2014;height:1241" type="#_x0000_t202" filled="true" fillcolor="#f7e1db" stroked="false">
              <v:textbox inset="0,0,0,0">
                <w:txbxContent>
                  <w:p>
                    <w:pPr>
                      <w:spacing w:line="240" w:lineRule="auto" w:before="6"/>
                      <w:rPr>
                        <w:b/>
                        <w:sz w:val="14"/>
                      </w:rPr>
                    </w:pPr>
                  </w:p>
                  <w:p>
                    <w:pPr>
                      <w:spacing w:line="247" w:lineRule="auto" w:before="0"/>
                      <w:ind w:left="485" w:right="100" w:hanging="340"/>
                      <w:jc w:val="left"/>
                      <w:rPr>
                        <w:b w:val="0"/>
                        <w:sz w:val="18"/>
                      </w:rPr>
                    </w:pPr>
                    <w:r>
                      <w:rPr>
                        <w:b w:val="0"/>
                        <w:color w:val="231F20"/>
                        <w:sz w:val="18"/>
                      </w:rPr>
                      <w:t>2.C. Présentation du cadre juridique</w:t>
                    </w:r>
                  </w:p>
                </w:txbxContent>
              </v:textbox>
              <v:fill type="solid"/>
              <w10:wrap type="none"/>
            </v:shape>
            <v:shape style="position:absolute;left:8612;top:2301;width:2014;height:1241" type="#_x0000_t202" filled="true" fillcolor="#f7e1db" stroked="false">
              <v:textbox inset="0,0,0,0">
                <w:txbxContent>
                  <w:p>
                    <w:pPr>
                      <w:spacing w:line="240" w:lineRule="auto" w:before="6"/>
                      <w:rPr>
                        <w:b/>
                        <w:sz w:val="14"/>
                      </w:rPr>
                    </w:pPr>
                  </w:p>
                  <w:p>
                    <w:pPr>
                      <w:spacing w:line="247" w:lineRule="auto" w:before="0"/>
                      <w:ind w:left="420" w:right="285" w:hanging="340"/>
                      <w:jc w:val="left"/>
                      <w:rPr>
                        <w:b w:val="0"/>
                        <w:sz w:val="18"/>
                      </w:rPr>
                    </w:pPr>
                    <w:r>
                      <w:rPr>
                        <w:b w:val="0"/>
                        <w:color w:val="231F20"/>
                        <w:sz w:val="18"/>
                      </w:rPr>
                      <w:t>2.B. Définition de l’application et du suivi</w:t>
                    </w:r>
                  </w:p>
                </w:txbxContent>
              </v:textbox>
              <v:fill type="solid"/>
              <w10:wrap type="none"/>
            </v:shape>
            <v:shape style="position:absolute;left:8612;top:4314;width:2014;height:1241" type="#_x0000_t202" filled="true" fillcolor="#cee5ec" stroked="false">
              <v:textbox inset="0,0,0,0">
                <w:txbxContent>
                  <w:p>
                    <w:pPr>
                      <w:spacing w:line="240" w:lineRule="auto" w:before="0"/>
                      <w:rPr>
                        <w:b/>
                        <w:sz w:val="18"/>
                      </w:rPr>
                    </w:pPr>
                  </w:p>
                  <w:p>
                    <w:pPr>
                      <w:tabs>
                        <w:tab w:pos="505" w:val="left" w:leader="none"/>
                      </w:tabs>
                      <w:spacing w:before="149"/>
                      <w:ind w:left="505" w:right="70" w:hanging="340"/>
                      <w:jc w:val="left"/>
                      <w:rPr>
                        <w:b/>
                        <w:sz w:val="18"/>
                      </w:rPr>
                    </w:pPr>
                    <w:r>
                      <w:rPr>
                        <w:b/>
                        <w:color w:val="231F20"/>
                        <w:sz w:val="18"/>
                      </w:rPr>
                      <w:t>5.</w:t>
                      <w:tab/>
                      <w:t>ACTIVITÉS </w:t>
                    </w:r>
                    <w:r>
                      <w:rPr>
                        <w:b/>
                        <w:color w:val="231F20"/>
                        <w:spacing w:val="-2"/>
                        <w:sz w:val="18"/>
                      </w:rPr>
                      <w:t>D’APPRENTISSAGE</w:t>
                    </w:r>
                  </w:p>
                </w:txbxContent>
              </v:textbox>
              <v:fill type="solid"/>
              <w10:wrap type="none"/>
            </v:shape>
            <v:shape style="position:absolute;left:2924;top:4314;width:2014;height:1241" type="#_x0000_t202" filled="true" fillcolor="#e0e0c6" stroked="false">
              <v:textbox inset="0,0,0,0">
                <w:txbxContent>
                  <w:p>
                    <w:pPr>
                      <w:spacing w:line="240" w:lineRule="auto" w:before="0"/>
                      <w:rPr>
                        <w:b/>
                        <w:sz w:val="18"/>
                      </w:rPr>
                    </w:pPr>
                  </w:p>
                  <w:p>
                    <w:pPr>
                      <w:tabs>
                        <w:tab w:pos="438" w:val="left" w:leader="none"/>
                      </w:tabs>
                      <w:spacing w:before="149"/>
                      <w:ind w:left="438" w:right="240" w:hanging="341"/>
                      <w:jc w:val="left"/>
                      <w:rPr>
                        <w:b/>
                        <w:sz w:val="18"/>
                      </w:rPr>
                    </w:pPr>
                    <w:r>
                      <w:rPr>
                        <w:b/>
                        <w:color w:val="231F20"/>
                        <w:sz w:val="18"/>
                      </w:rPr>
                      <w:t>3.</w:t>
                      <w:tab/>
                      <w:t>RÉSUMÉ</w:t>
                    </w:r>
                    <w:r>
                      <w:rPr>
                        <w:b/>
                        <w:color w:val="231F20"/>
                        <w:spacing w:val="1"/>
                        <w:sz w:val="18"/>
                      </w:rPr>
                      <w:t> </w:t>
                    </w:r>
                    <w:r>
                      <w:rPr>
                        <w:b/>
                        <w:color w:val="231F20"/>
                        <w:sz w:val="18"/>
                      </w:rPr>
                      <w:t>ET PRINCIPAUX ENSEIGNEMENTS</w:t>
                    </w:r>
                  </w:p>
                </w:txbxContent>
              </v:textbox>
              <v:fill type="solid"/>
              <w10:wrap type="none"/>
            </v:shape>
            <v:shape style="position:absolute;left:5783;top:4314;width:2014;height:1241" type="#_x0000_t202" filled="true" fillcolor="#dbd8ec" stroked="false">
              <v:textbox inset="0,0,0,0">
                <w:txbxContent>
                  <w:p>
                    <w:pPr>
                      <w:spacing w:line="240" w:lineRule="auto" w:before="0"/>
                      <w:rPr>
                        <w:b/>
                        <w:sz w:val="18"/>
                      </w:rPr>
                    </w:pPr>
                  </w:p>
                  <w:p>
                    <w:pPr>
                      <w:tabs>
                        <w:tab w:pos="485" w:val="left" w:leader="none"/>
                      </w:tabs>
                      <w:spacing w:before="149"/>
                      <w:ind w:left="485" w:right="502" w:hanging="340"/>
                      <w:jc w:val="left"/>
                      <w:rPr>
                        <w:b/>
                        <w:sz w:val="18"/>
                      </w:rPr>
                    </w:pPr>
                    <w:r>
                      <w:rPr>
                        <w:b/>
                        <w:color w:val="231F20"/>
                        <w:sz w:val="18"/>
                      </w:rPr>
                      <w:t>4.</w:t>
                      <w:tab/>
                      <w:t>RESSOURCES UTILES</w:t>
                    </w:r>
                  </w:p>
                </w:txbxContent>
              </v:textbox>
              <v:fill type="solid"/>
              <w10:wrap type="none"/>
            </v:shape>
            <v:shape style="position:absolute;left:2845;top:200;width:2283;height:1498" type="#_x0000_t202" filled="false" stroked="false">
              <v:textbox inset="0,0,0,0">
                <w:txbxContent>
                  <w:p>
                    <w:pPr>
                      <w:spacing w:line="240" w:lineRule="auto" w:before="0"/>
                      <w:rPr>
                        <w:b/>
                        <w:sz w:val="18"/>
                      </w:rPr>
                    </w:pPr>
                  </w:p>
                  <w:p>
                    <w:pPr>
                      <w:spacing w:line="240" w:lineRule="auto" w:before="6"/>
                      <w:rPr>
                        <w:b/>
                        <w:sz w:val="19"/>
                      </w:rPr>
                    </w:pPr>
                  </w:p>
                  <w:p>
                    <w:pPr>
                      <w:tabs>
                        <w:tab w:pos="546" w:val="left" w:leader="none"/>
                      </w:tabs>
                      <w:spacing w:before="0"/>
                      <w:ind w:left="206" w:right="0" w:firstLine="0"/>
                      <w:jc w:val="left"/>
                      <w:rPr>
                        <w:b/>
                        <w:sz w:val="18"/>
                      </w:rPr>
                    </w:pPr>
                    <w:r>
                      <w:rPr>
                        <w:b/>
                        <w:color w:val="231F20"/>
                        <w:sz w:val="18"/>
                      </w:rPr>
                      <w:t>1.</w:t>
                      <w:tab/>
                    </w:r>
                    <w:r>
                      <w:rPr>
                        <w:b/>
                        <w:color w:val="231F20"/>
                        <w:spacing w:val="-3"/>
                        <w:sz w:val="18"/>
                      </w:rPr>
                      <w:t>PRÉSENTATION</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6"/>
        </w:rPr>
      </w:pPr>
    </w:p>
    <w:p>
      <w:pPr>
        <w:spacing w:before="0"/>
        <w:ind w:left="3634" w:right="28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9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44"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692;top:1274;width:1370;height:1370" coordorigin="9692,1274" coordsize="1370,1370" path="m10377,1274l10303,1278,10230,1290,10161,1309,10094,1335,10032,1368,9973,1407,9918,1451,9869,1500,9824,1555,9786,1614,9753,1676,9727,1743,9708,1812,9696,1885,9692,1959,9696,2034,9708,2106,9727,2176,9753,2242,9786,2305,9824,2364,9869,2418,9918,2468,9973,2512,10032,2551,10094,2583,10161,2609,10230,2628,10303,2640,10377,2644,10452,2640,10524,2628,10594,2609,10660,2583,10723,2551,10782,2512,10836,2468,10886,2418,10930,2364,10968,2305,11001,2242,11027,2176,11046,2106,11058,2034,11062,1959,11058,1885,11046,1812,11027,1743,11001,1676,10968,1614,10930,1555,10886,1500,10836,1451,10782,1407,10723,1368,10660,1335,10594,1309,10524,1290,10452,1278,10377,1274xe" filled="true" fillcolor="#d19f2a" stroked="false">
              <v:path arrowok="t"/>
              <v:fill type="solid"/>
            </v:shape>
            <v:shape style="position:absolute;left:9966;top:1430;width:823;height:1062" coordorigin="9966,1430" coordsize="823,1062" path="m10757,2418l9998,2418,10007,2431,10007,2432,10017,2445,10022,2449,10031,2454,10040,2460,10051,2467,10062,2473,10074,2479,10087,2483,10101,2486,10115,2488,10126,2492,10629,2492,10641,2488,10654,2486,10668,2483,10683,2478,10695,2472,10706,2466,10715,2460,10724,2454,10733,2449,10739,2444,10749,2431,10749,2429,10757,2418xm9997,1507l9996,1509,9995,1509,9975,1551,9967,1607,9966,1666,9967,1720,9967,2204,9966,2257,9967,2317,9975,2372,9995,2413,9999,2422,9998,2418,10757,2418,10757,2418,10757,2418,10760,2413,10772,2390,10582,2390,10552,2389,10177,2389,10142,2389,10113,2385,10088,2376,10070,2357,10069,1611,10070,1597,10072,1584,10076,1572,10082,1561,10089,1553,10099,1543,10112,1536,10124,1534,10500,1534,10474,1507,9997,1507,9997,1507xm10757,2418l10757,2418,10756,2421,10757,2418xm10788,1872l10686,1872,10687,1938,10687,2009,10686,2080,10686,2146,10686,2304,10684,2331,10677,2354,10661,2374,10638,2385,10611,2390,10582,2390,10772,2390,10778,2380,10786,2341,10788,2304,10788,1910,10788,1872xm10500,1534l10124,1534,10323,1535,10323,1636,10323,1657,10322,1681,10323,1703,10327,1721,10338,1771,10364,1812,10398,1844,10439,1865,10492,1875,10558,1876,10626,1873,10686,1872,10788,1872,10788,1857,10785,1828,10772,1807,10744,1778,10500,1534xm10386,1430l10119,1430,10107,1435,10095,1438,10082,1441,10070,1445,10059,1450,10049,1456,10039,1462,10031,1468,10031,1469,10030,1470,10030,1470,10029,1471,10029,1472,10028,1472,10027,1473,10014,1487,10005,1498,9999,1505,9997,1507,10474,1507,10436,1469,10415,1449,10407,1443,10401,1440,10386,1430xe" filled="true" fillcolor="#ffffff" stroked="false">
              <v:path arrowok="t"/>
              <v:fill type="solid"/>
            </v:shape>
            <v:shape style="position:absolute;left:10267;top:1937;width:367;height:92" coordorigin="10267,1937" coordsize="367,92" path="m10598,1937l10303,1937,10289,1940,10278,1947,10270,1959,10267,1973,10267,1993,10270,2006,10278,2018,10289,2025,10303,2028,10598,2028,10612,2025,10623,2018,10631,2006,10634,1993,10634,1973,10631,1959,10623,1947,10612,1940,10598,1937xe" filled="true" fillcolor="#ffffff" stroked="false">
              <v:path arrowok="t"/>
              <v:fill type="solid"/>
            </v:shape>
            <v:shape style="position:absolute;left:10128;top:1937;width:92;height:92" coordorigin="10128,1937" coordsize="92,92" path="m10174,1937l10156,1941,10141,1950,10132,1965,10128,1983,10132,2000,10141,2015,10156,2025,10174,2028,10191,2025,10206,2015,10216,2000,10219,1983,10216,1965,10206,1950,10191,1941,10174,1937xe" filled="true" fillcolor="#ffffff" stroked="false">
              <v:path arrowok="t"/>
              <v:fill type="solid"/>
            </v:shape>
            <v:shape style="position:absolute;left:10267;top:2079;width:367;height:92" coordorigin="10267,2079" coordsize="367,92" path="m10598,2079l10303,2079,10289,2082,10278,2089,10270,2101,10267,2115,10267,2135,10270,2148,10278,2160,10289,2167,10303,2170,10598,2170,10612,2167,10623,2160,10631,2148,10634,2135,10634,2115,10631,2101,10623,2089,10612,2082,10598,2079xe" filled="true" fillcolor="#ffffff" stroked="false">
              <v:path arrowok="t"/>
              <v:fill type="solid"/>
            </v:shape>
            <v:shape style="position:absolute;left:10128;top:2079;width:92;height:92" coordorigin="10128,2079" coordsize="92,92" path="m10174,2079l10156,2082,10141,2092,10132,2107,10128,2125,10132,2142,10141,2157,10156,2167,10174,2170,10191,2167,10206,2157,10216,2142,10219,2125,10216,2107,10206,2092,10191,2082,10174,2079xe" filled="true" fillcolor="#ffffff" stroked="false">
              <v:path arrowok="t"/>
              <v:fill type="solid"/>
            </v:shape>
            <v:shape style="position:absolute;left:10267;top:2221;width:367;height:92" coordorigin="10267,2221" coordsize="367,92" path="m10598,2221l10303,2221,10289,2224,10278,2231,10270,2243,10267,2256,10267,2277,10270,2290,10278,2302,10289,2309,10303,2312,10598,2312,10612,2309,10623,2302,10631,2290,10634,2277,10634,2256,10631,2243,10623,2231,10612,2224,10598,2221xe" filled="true" fillcolor="#ffffff" stroked="false">
              <v:path arrowok="t"/>
              <v:fill type="solid"/>
            </v:shape>
            <v:shape style="position:absolute;left:10128;top:2221;width:92;height:92" coordorigin="10128,2221" coordsize="92,92" path="m10174,2221l10156,2224,10141,2234,10132,2249,10128,2267,10132,2284,10141,2299,10156,2309,10174,2312,10191,2309,10206,2299,10216,2284,10219,2267,10216,2249,10206,2234,10191,2224,10174,2221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696;mso-wrap-distance-left:0;mso-wrap-distance-right:0" from="56.692902pt,29.548626pt" to="450.708902pt,29.548626pt" stroked="true" strokeweight="1.5pt" strokecolor="#d19f2a">
            <w10:wrap type="topAndBottom"/>
          </v:line>
        </w:pict>
      </w:r>
      <w:bookmarkStart w:name="_TOC_250008" w:id="2"/>
      <w:r>
        <w:rPr>
          <w:b/>
          <w:color w:val="D19F2A"/>
        </w:rPr>
        <w:t>CONTENU</w:t>
      </w:r>
      <w:r>
        <w:rPr>
          <w:b/>
          <w:color w:val="D19F2A"/>
          <w:spacing w:val="-28"/>
        </w:rPr>
        <w:t> </w:t>
      </w:r>
      <w:bookmarkEnd w:id="2"/>
      <w:r>
        <w:rPr>
          <w:b/>
          <w:color w:val="D19F2A"/>
        </w:rPr>
        <w:t>TECHNIQUE</w:t>
      </w:r>
    </w:p>
    <w:p>
      <w:pPr>
        <w:pStyle w:val="Heading2"/>
        <w:numPr>
          <w:ilvl w:val="1"/>
          <w:numId w:val="3"/>
        </w:numPr>
        <w:tabs>
          <w:tab w:pos="854" w:val="left" w:leader="none"/>
        </w:tabs>
        <w:spacing w:line="240" w:lineRule="auto" w:before="338" w:after="0"/>
        <w:ind w:left="3611" w:right="0" w:hanging="3478"/>
        <w:jc w:val="left"/>
        <w:rPr>
          <w:b/>
        </w:rPr>
      </w:pPr>
      <w:bookmarkStart w:name="_TOC_250007" w:id="3"/>
      <w:bookmarkEnd w:id="3"/>
      <w:r>
        <w:rPr>
          <w:b/>
          <w:color w:val="231F20"/>
        </w:rPr>
        <w:t>Contexte</w:t>
      </w:r>
    </w:p>
    <w:p>
      <w:pPr>
        <w:pStyle w:val="BodyText"/>
        <w:spacing w:line="266" w:lineRule="auto" w:before="117"/>
        <w:ind w:left="133" w:right="2794"/>
        <w:rPr>
          <w:b w:val="0"/>
        </w:rPr>
      </w:pPr>
      <w:r>
        <w:rPr>
          <w:b w:val="0"/>
          <w:color w:val="231F20"/>
        </w:rPr>
        <w:t>L’adoption de la CDPH et sa ratification rapide par des pays du monde entier représentent des avancées majeures dans la reconnaissance des droits de l’homme des personnes handicapées dans le monde. Cependant, l’existence de la Convention en elle-même ne suffit pas à apporter des changements dans la vie des personnes handicapées et de leurs familles. Pour que les droits définis dans la CDPH se traduisent par des changements réels, la Convention doit être appliquée et son application doit faire l’objet d’un suivi.</w:t>
      </w:r>
    </w:p>
    <w:p>
      <w:pPr>
        <w:pStyle w:val="BodyText"/>
        <w:spacing w:line="266" w:lineRule="auto"/>
        <w:ind w:left="133" w:right="2794"/>
        <w:rPr>
          <w:b w:val="0"/>
        </w:rPr>
      </w:pPr>
      <w:r>
        <w:rPr>
          <w:b w:val="0"/>
          <w:color w:val="231F20"/>
        </w:rPr>
        <w:t>Comme tous les instruments relatifs aux droits de l’homme, la Convention confère un rôle central aux États parties pour son application. Toutefois, les organisations de personnes handicapées et d’autres acteurs ont aussi un rôle essentiel à jouer.</w:t>
      </w:r>
    </w:p>
    <w:p>
      <w:pPr>
        <w:pStyle w:val="BodyText"/>
        <w:spacing w:line="266" w:lineRule="auto" w:before="114"/>
        <w:ind w:left="133" w:right="2945"/>
        <w:rPr>
          <w:b w:val="0"/>
        </w:rPr>
      </w:pPr>
      <w:r>
        <w:rPr>
          <w:b w:val="0"/>
          <w:color w:val="231F20"/>
        </w:rPr>
        <w:t>Le présent module fournit un aperçu des mesures et des cadres que la CDPH préconise pour assurer son application au niveau national, ainsi que du suivi prévu aux niveaux national et international pour suivre les progrès et les difficultés qui s’y rapportent.</w:t>
      </w:r>
    </w:p>
    <w:p>
      <w:pPr>
        <w:pStyle w:val="BodyText"/>
        <w:rPr>
          <w:b w:val="0"/>
        </w:rPr>
      </w:pPr>
    </w:p>
    <w:p>
      <w:pPr>
        <w:pStyle w:val="BodyText"/>
        <w:rPr>
          <w:b w:val="0"/>
          <w:sz w:val="17"/>
        </w:rPr>
      </w:pPr>
    </w:p>
    <w:p>
      <w:pPr>
        <w:pStyle w:val="Heading2"/>
        <w:numPr>
          <w:ilvl w:val="1"/>
          <w:numId w:val="3"/>
        </w:numPr>
        <w:tabs>
          <w:tab w:pos="854" w:val="left" w:leader="none"/>
        </w:tabs>
        <w:spacing w:line="240" w:lineRule="auto" w:before="0" w:after="0"/>
        <w:ind w:left="853" w:right="0" w:hanging="720"/>
        <w:jc w:val="left"/>
        <w:rPr>
          <w:b/>
        </w:rPr>
      </w:pPr>
      <w:bookmarkStart w:name="_TOC_250006" w:id="4"/>
      <w:r>
        <w:rPr>
          <w:b/>
          <w:color w:val="231F20"/>
        </w:rPr>
        <w:t>Définition de l’application et du</w:t>
      </w:r>
      <w:r>
        <w:rPr>
          <w:b/>
          <w:color w:val="231F20"/>
          <w:spacing w:val="-16"/>
        </w:rPr>
        <w:t> </w:t>
      </w:r>
      <w:bookmarkEnd w:id="4"/>
      <w:r>
        <w:rPr>
          <w:b/>
          <w:color w:val="231F20"/>
        </w:rPr>
        <w:t>suivi</w:t>
      </w:r>
    </w:p>
    <w:p>
      <w:pPr>
        <w:pStyle w:val="BodyText"/>
        <w:spacing w:line="266" w:lineRule="auto" w:before="117"/>
        <w:ind w:left="133" w:right="2945"/>
        <w:rPr>
          <w:b w:val="0"/>
        </w:rPr>
      </w:pPr>
      <w:r>
        <w:rPr>
          <w:b w:val="0"/>
          <w:color w:val="231F20"/>
        </w:rPr>
        <w:t>Le terme « application » désigne le respect, dans les faits, des obligations définies par le traité. Lorsqu’un État ratifie un traité relatif aux droits de l’homme comme la CDPH et en devient État partie, le fait qu’il considère ce traité comme un document important n’est pas suffisant. Il doit prendre des mesures afin de mettre en œuvre les dispositions du traité.</w:t>
      </w:r>
    </w:p>
    <w:p>
      <w:pPr>
        <w:pStyle w:val="BodyText"/>
        <w:spacing w:line="266" w:lineRule="auto" w:before="114"/>
        <w:ind w:left="133" w:right="3107"/>
        <w:rPr>
          <w:b w:val="0"/>
        </w:rPr>
      </w:pPr>
      <w:r>
        <w:rPr>
          <w:b w:val="0"/>
          <w:color w:val="231F20"/>
        </w:rPr>
        <w:t>Le terme « suivi » dans le contexte du droit des droits de l’homme désigne le processus de suivi ou de vérification permettant de déterminer si les États respectent, dans les faits, les exigences spécifiques d’un traité. La CDPH exige des États parties qu’ils suivent l’application du traité aux niveaux à la fois national et international. Le suivi effectif nécessite que des mécanismes efficaces soient aussi en place.</w:t>
      </w:r>
    </w:p>
    <w:p>
      <w:pPr>
        <w:pStyle w:val="BodyText"/>
        <w:rPr>
          <w:b w:val="0"/>
        </w:rPr>
      </w:pPr>
    </w:p>
    <w:p>
      <w:pPr>
        <w:pStyle w:val="BodyText"/>
        <w:rPr>
          <w:b w:val="0"/>
          <w:sz w:val="17"/>
        </w:rPr>
      </w:pPr>
    </w:p>
    <w:p>
      <w:pPr>
        <w:pStyle w:val="Heading2"/>
        <w:numPr>
          <w:ilvl w:val="1"/>
          <w:numId w:val="3"/>
        </w:numPr>
        <w:tabs>
          <w:tab w:pos="854" w:val="left" w:leader="none"/>
        </w:tabs>
        <w:spacing w:line="240" w:lineRule="auto" w:before="0" w:after="0"/>
        <w:ind w:left="853" w:right="0" w:hanging="720"/>
        <w:jc w:val="left"/>
        <w:rPr>
          <w:b/>
        </w:rPr>
      </w:pPr>
      <w:bookmarkStart w:name="_TOC_250005" w:id="5"/>
      <w:r>
        <w:rPr>
          <w:b/>
          <w:color w:val="231F20"/>
        </w:rPr>
        <w:t>Présentation du cadre</w:t>
      </w:r>
      <w:r>
        <w:rPr>
          <w:b/>
          <w:color w:val="231F20"/>
          <w:spacing w:val="-14"/>
        </w:rPr>
        <w:t> </w:t>
      </w:r>
      <w:bookmarkEnd w:id="5"/>
      <w:r>
        <w:rPr>
          <w:b/>
          <w:color w:val="231F20"/>
        </w:rPr>
        <w:t>juridique</w:t>
      </w:r>
    </w:p>
    <w:p>
      <w:pPr>
        <w:pStyle w:val="BodyText"/>
        <w:spacing w:before="2"/>
        <w:rPr>
          <w:b/>
          <w:sz w:val="25"/>
        </w:rPr>
      </w:pPr>
    </w:p>
    <w:p>
      <w:pPr>
        <w:pStyle w:val="Heading3"/>
        <w:ind w:left="133" w:right="374"/>
        <w:rPr>
          <w:b/>
        </w:rPr>
      </w:pPr>
      <w:r>
        <w:rPr>
          <w:b/>
          <w:color w:val="D19F2A"/>
        </w:rPr>
        <w:t>Obligations générales dans le cadre de la CDPH</w:t>
      </w:r>
    </w:p>
    <w:p>
      <w:pPr>
        <w:pStyle w:val="BodyText"/>
        <w:spacing w:line="266" w:lineRule="auto" w:before="127"/>
        <w:ind w:left="133" w:right="2945"/>
        <w:rPr>
          <w:b w:val="0"/>
        </w:rPr>
      </w:pPr>
      <w:r>
        <w:rPr>
          <w:b w:val="0"/>
          <w:color w:val="231F20"/>
        </w:rPr>
        <w:t>Même si ce module n’approfondit pas les mesures que les États parties et autres acteurs doivent prendre pour assurer l’application effective des dispositions essentielles de la Convention, il est important de noter que l’article 4 de la CDPH définit les « Obligations générales » de ses États parties. Ces dernières incluent une série de mesures spécifiques comprenant notamment des réformes politiques et législatives, des efforts de recherche et de formation en vue de l’application de la Convention.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8"/>
        </w:rPr>
      </w:pPr>
    </w:p>
    <w:p>
      <w:pPr>
        <w:spacing w:line="192" w:lineRule="exact" w:before="74"/>
        <w:ind w:left="330" w:right="374"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207" w:right="374"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408"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757;top:16142;width:908;height:321" type="#_x0000_t202" filled="true" fillcolor="#d19f2a" stroked="false">
              <v:textbox inset="0,0,0,0">
                <w:txbxContent>
                  <w:p>
                    <w:pPr>
                      <w:spacing w:line="310" w:lineRule="exact" w:before="10"/>
                      <w:ind w:left="0" w:right="54" w:firstLine="0"/>
                      <w:jc w:val="right"/>
                      <w:rPr>
                        <w:rFonts w:ascii="Myriad Pro"/>
                        <w:sz w:val="26"/>
                      </w:rPr>
                    </w:pPr>
                    <w:r>
                      <w:rPr>
                        <w:rFonts w:ascii="Myriad Pro"/>
                        <w:color w:val="FFFFFF"/>
                        <w:sz w:val="26"/>
                      </w:rPr>
                      <w:t>4</w:t>
                    </w:r>
                  </w:p>
                </w:txbxContent>
              </v:textbox>
              <v:fill type="solid"/>
              <w10:wrap type="none"/>
            </v:shape>
            <w10:wrap type="none"/>
          </v:group>
        </w:pict>
      </w:r>
    </w:p>
    <w:p>
      <w:pPr>
        <w:spacing w:before="75"/>
        <w:ind w:left="2892"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302.05pt;mso-position-horizontal-relative:page;mso-position-vertical-relative:paragraph;z-index:1792;mso-wrap-distance-left:0;mso-wrap-distance-right:0" coordorigin="2881,365" coordsize="7901,6041">
            <v:rect style="position:absolute;left:2891;top:365;width:7880;height:363" filled="true" fillcolor="#d19f2a" stroked="false">
              <v:fill type="solid"/>
            </v:rect>
            <v:rect style="position:absolute;left:2891;top:729;width:7880;height:5667" filled="true" fillcolor="#f8f0e2" stroked="false">
              <v:fill type="solid"/>
            </v:rect>
            <v:line style="position:absolute" from="2891,6396" to="10772,6396" stroked="true" strokeweight="1pt" strokecolor="#d19f2a"/>
            <v:shape style="position:absolute;left:2881;top:365;width:7901;height:6041" type="#_x0000_t202" filled="false" stroked="false">
              <v:textbox inset="0,0,0,0">
                <w:txbxContent>
                  <w:p>
                    <w:pPr>
                      <w:spacing w:before="32"/>
                      <w:ind w:left="2046" w:right="2046" w:firstLine="0"/>
                      <w:jc w:val="center"/>
                      <w:rPr>
                        <w:rFonts w:ascii="Myriad Pro" w:hAnsi="Myriad Pro"/>
                        <w:b/>
                        <w:sz w:val="22"/>
                      </w:rPr>
                    </w:pPr>
                    <w:r>
                      <w:rPr>
                        <w:rFonts w:ascii="Myriad Pro" w:hAnsi="Myriad Pro"/>
                        <w:b/>
                        <w:color w:val="FFFFFF"/>
                        <w:sz w:val="22"/>
                      </w:rPr>
                      <w:t>Mesures à adopter par les États parties</w:t>
                    </w:r>
                  </w:p>
                  <w:p>
                    <w:pPr>
                      <w:spacing w:before="188"/>
                      <w:ind w:left="803" w:right="534" w:hanging="284"/>
                      <w:jc w:val="left"/>
                      <w:rPr>
                        <w:rFonts w:ascii="Myriad Pro" w:hAnsi="Myriad Pro"/>
                        <w:sz w:val="20"/>
                      </w:rPr>
                    </w:pPr>
                    <w:r>
                      <w:rPr>
                        <w:rFonts w:ascii="Arial" w:hAnsi="Arial"/>
                        <w:color w:val="231F20"/>
                        <w:w w:val="120"/>
                        <w:sz w:val="20"/>
                      </w:rPr>
                      <w:t>z</w:t>
                    </w:r>
                    <w:r>
                      <w:rPr>
                        <w:rFonts w:ascii="Arial" w:hAnsi="Arial"/>
                        <w:color w:val="231F20"/>
                        <w:spacing w:val="-4"/>
                        <w:w w:val="120"/>
                        <w:sz w:val="20"/>
                      </w:rPr>
                      <w:t> </w:t>
                    </w:r>
                    <w:r>
                      <w:rPr>
                        <w:rFonts w:ascii="Myriad Pro" w:hAnsi="Myriad Pro"/>
                        <w:color w:val="231F20"/>
                        <w:w w:val="105"/>
                        <w:sz w:val="20"/>
                      </w:rPr>
                      <w:t>Adopter</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mesures</w:t>
                    </w:r>
                    <w:r>
                      <w:rPr>
                        <w:rFonts w:ascii="Myriad Pro" w:hAnsi="Myriad Pro"/>
                        <w:color w:val="231F20"/>
                        <w:spacing w:val="-25"/>
                        <w:w w:val="105"/>
                        <w:sz w:val="20"/>
                      </w:rPr>
                      <w:t> </w:t>
                    </w:r>
                    <w:r>
                      <w:rPr>
                        <w:rFonts w:ascii="Myriad Pro" w:hAnsi="Myriad Pro"/>
                        <w:color w:val="231F20"/>
                        <w:w w:val="105"/>
                        <w:sz w:val="20"/>
                      </w:rPr>
                      <w:t>législatives</w:t>
                    </w:r>
                    <w:r>
                      <w:rPr>
                        <w:rFonts w:ascii="Myriad Pro" w:hAnsi="Myriad Pro"/>
                        <w:color w:val="231F20"/>
                        <w:spacing w:val="-25"/>
                        <w:w w:val="105"/>
                        <w:sz w:val="20"/>
                      </w:rPr>
                      <w:t> </w:t>
                    </w:r>
                    <w:r>
                      <w:rPr>
                        <w:rFonts w:ascii="Myriad Pro" w:hAnsi="Myriad Pro"/>
                        <w:color w:val="231F20"/>
                        <w:w w:val="105"/>
                        <w:sz w:val="20"/>
                      </w:rPr>
                      <w:t>et</w:t>
                    </w:r>
                    <w:r>
                      <w:rPr>
                        <w:rFonts w:ascii="Myriad Pro" w:hAnsi="Myriad Pro"/>
                        <w:color w:val="231F20"/>
                        <w:spacing w:val="-25"/>
                        <w:w w:val="105"/>
                        <w:sz w:val="20"/>
                      </w:rPr>
                      <w:t> </w:t>
                    </w:r>
                    <w:r>
                      <w:rPr>
                        <w:rFonts w:ascii="Myriad Pro" w:hAnsi="Myriad Pro"/>
                        <w:color w:val="231F20"/>
                        <w:w w:val="105"/>
                        <w:sz w:val="20"/>
                      </w:rPr>
                      <w:t>administratives</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promotion</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droits</w:t>
                    </w:r>
                    <w:r>
                      <w:rPr>
                        <w:rFonts w:ascii="Myriad Pro" w:hAnsi="Myriad Pro"/>
                        <w:color w:val="231F20"/>
                        <w:spacing w:val="-25"/>
                        <w:w w:val="105"/>
                        <w:sz w:val="20"/>
                      </w:rPr>
                      <w:t> </w:t>
                    </w:r>
                    <w:r>
                      <w:rPr>
                        <w:rFonts w:ascii="Myriad Pro" w:hAnsi="Myriad Pro"/>
                        <w:color w:val="231F20"/>
                        <w:w w:val="105"/>
                        <w:sz w:val="20"/>
                      </w:rPr>
                      <w:t>de </w:t>
                    </w:r>
                    <w:r>
                      <w:rPr>
                        <w:rFonts w:ascii="Myriad Pro" w:hAnsi="Myriad Pro"/>
                        <w:color w:val="231F20"/>
                        <w:sz w:val="20"/>
                      </w:rPr>
                      <w:t>l’homme des personnes</w:t>
                    </w:r>
                    <w:r>
                      <w:rPr>
                        <w:rFonts w:ascii="Myriad Pro" w:hAnsi="Myriad Pro"/>
                        <w:color w:val="231F20"/>
                        <w:spacing w:val="-2"/>
                        <w:sz w:val="20"/>
                      </w:rPr>
                      <w:t> </w:t>
                    </w:r>
                    <w:r>
                      <w:rPr>
                        <w:rFonts w:ascii="Myriad Pro" w:hAnsi="Myriad Pro"/>
                        <w:color w:val="231F20"/>
                        <w:sz w:val="20"/>
                      </w:rPr>
                      <w:t>handicapées.</w:t>
                    </w:r>
                  </w:p>
                  <w:p>
                    <w:pPr>
                      <w:spacing w:before="56"/>
                      <w:ind w:left="519" w:right="534"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Adopter des mesures législatives et autres pour abolir la discrimination.</w:t>
                    </w:r>
                  </w:p>
                  <w:p>
                    <w:pPr>
                      <w:spacing w:before="56"/>
                      <w:ind w:left="803" w:right="534" w:hanging="284"/>
                      <w:jc w:val="left"/>
                      <w:rPr>
                        <w:rFonts w:ascii="Myriad Pro" w:hAnsi="Myriad Pro"/>
                        <w:sz w:val="20"/>
                      </w:rPr>
                    </w:pPr>
                    <w:r>
                      <w:rPr>
                        <w:rFonts w:ascii="Arial" w:hAnsi="Arial"/>
                        <w:color w:val="231F20"/>
                        <w:w w:val="120"/>
                        <w:sz w:val="20"/>
                      </w:rPr>
                      <w:t>z </w:t>
                    </w:r>
                    <w:r>
                      <w:rPr>
                        <w:rFonts w:ascii="Myriad Pro" w:hAnsi="Myriad Pro"/>
                        <w:color w:val="231F20"/>
                        <w:sz w:val="20"/>
                      </w:rPr>
                      <w:t>Protéger et promouvoir les droits des personnes handicapées dans toutes les politiques et dans tous les programmes.</w:t>
                    </w:r>
                  </w:p>
                  <w:p>
                    <w:pPr>
                      <w:spacing w:before="56"/>
                      <w:ind w:left="519" w:right="143"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Mettre fin à toute pratique enfreignant les droits des personnes handicapées.</w:t>
                    </w:r>
                  </w:p>
                  <w:p>
                    <w:pPr>
                      <w:spacing w:before="56"/>
                      <w:ind w:left="519" w:right="143"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Veiller à ce que le secteur public respecte les droits des personnes handicapées.</w:t>
                    </w:r>
                  </w:p>
                  <w:p>
                    <w:pPr>
                      <w:spacing w:before="56"/>
                      <w:ind w:left="802"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Veiller à ce que le secteur privé et les individus respectent les droits des personnes handicapées.</w:t>
                    </w:r>
                  </w:p>
                  <w:p>
                    <w:pPr>
                      <w:spacing w:before="56"/>
                      <w:ind w:left="802"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Entreprendre et encourager la recherche et le développement de biens, de services et de technologies accessibles aux personnes handicapées.</w:t>
                    </w:r>
                  </w:p>
                  <w:p>
                    <w:pPr>
                      <w:spacing w:before="56"/>
                      <w:ind w:left="802" w:right="811" w:hanging="284"/>
                      <w:jc w:val="left"/>
                      <w:rPr>
                        <w:rFonts w:ascii="Myriad Pro" w:hAnsi="Myriad Pro"/>
                        <w:sz w:val="20"/>
                      </w:rPr>
                    </w:pPr>
                    <w:r>
                      <w:rPr>
                        <w:rFonts w:ascii="Arial" w:hAnsi="Arial"/>
                        <w:color w:val="231F20"/>
                        <w:w w:val="120"/>
                        <w:sz w:val="20"/>
                      </w:rPr>
                      <w:t>z</w:t>
                    </w:r>
                    <w:r>
                      <w:rPr>
                        <w:rFonts w:ascii="Arial" w:hAnsi="Arial"/>
                        <w:color w:val="231F20"/>
                        <w:spacing w:val="-6"/>
                        <w:w w:val="120"/>
                        <w:sz w:val="20"/>
                      </w:rPr>
                      <w:t> </w:t>
                    </w:r>
                    <w:r>
                      <w:rPr>
                        <w:rFonts w:ascii="Myriad Pro" w:hAnsi="Myriad Pro"/>
                        <w:color w:val="231F20"/>
                        <w:w w:val="105"/>
                        <w:sz w:val="20"/>
                      </w:rPr>
                      <w:t>Fournir</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informations</w:t>
                    </w:r>
                    <w:r>
                      <w:rPr>
                        <w:rFonts w:ascii="Myriad Pro" w:hAnsi="Myriad Pro"/>
                        <w:color w:val="231F20"/>
                        <w:spacing w:val="-25"/>
                        <w:w w:val="105"/>
                        <w:sz w:val="20"/>
                      </w:rPr>
                      <w:t> </w:t>
                    </w:r>
                    <w:r>
                      <w:rPr>
                        <w:rFonts w:ascii="Myriad Pro" w:hAnsi="Myriad Pro"/>
                        <w:color w:val="231F20"/>
                        <w:w w:val="105"/>
                        <w:sz w:val="20"/>
                      </w:rPr>
                      <w:t>sur</w:t>
                    </w:r>
                    <w:r>
                      <w:rPr>
                        <w:rFonts w:ascii="Myriad Pro" w:hAnsi="Myriad Pro"/>
                        <w:color w:val="231F20"/>
                        <w:spacing w:val="-25"/>
                        <w:w w:val="105"/>
                        <w:sz w:val="20"/>
                      </w:rPr>
                      <w:t> </w:t>
                    </w:r>
                    <w:r>
                      <w:rPr>
                        <w:rFonts w:ascii="Myriad Pro" w:hAnsi="Myriad Pro"/>
                        <w:color w:val="231F20"/>
                        <w:w w:val="105"/>
                        <w:sz w:val="20"/>
                      </w:rPr>
                      <w:t>les</w:t>
                    </w:r>
                    <w:r>
                      <w:rPr>
                        <w:rFonts w:ascii="Myriad Pro" w:hAnsi="Myriad Pro"/>
                        <w:color w:val="231F20"/>
                        <w:spacing w:val="-25"/>
                        <w:w w:val="105"/>
                        <w:sz w:val="20"/>
                      </w:rPr>
                      <w:t> </w:t>
                    </w:r>
                    <w:r>
                      <w:rPr>
                        <w:rFonts w:ascii="Myriad Pro" w:hAnsi="Myriad Pro"/>
                        <w:color w:val="231F20"/>
                        <w:w w:val="105"/>
                        <w:sz w:val="20"/>
                      </w:rPr>
                      <w:t>aides</w:t>
                    </w:r>
                    <w:r>
                      <w:rPr>
                        <w:rFonts w:ascii="Myriad Pro" w:hAnsi="Myriad Pro"/>
                        <w:color w:val="231F20"/>
                        <w:spacing w:val="-25"/>
                        <w:w w:val="105"/>
                        <w:sz w:val="20"/>
                      </w:rPr>
                      <w:t> </w:t>
                    </w:r>
                    <w:r>
                      <w:rPr>
                        <w:rFonts w:ascii="Myriad Pro" w:hAnsi="Myriad Pro"/>
                        <w:color w:val="231F20"/>
                        <w:w w:val="105"/>
                        <w:sz w:val="20"/>
                      </w:rPr>
                      <w:t>techniques</w:t>
                    </w:r>
                    <w:r>
                      <w:rPr>
                        <w:rFonts w:ascii="Myriad Pro" w:hAnsi="Myriad Pro"/>
                        <w:color w:val="231F20"/>
                        <w:spacing w:val="-25"/>
                        <w:w w:val="105"/>
                        <w:sz w:val="20"/>
                      </w:rPr>
                      <w:t> </w:t>
                    </w:r>
                    <w:r>
                      <w:rPr>
                        <w:rFonts w:ascii="Myriad Pro" w:hAnsi="Myriad Pro"/>
                        <w:color w:val="231F20"/>
                        <w:w w:val="105"/>
                        <w:sz w:val="20"/>
                      </w:rPr>
                      <w:t>accessibles</w:t>
                    </w:r>
                    <w:r>
                      <w:rPr>
                        <w:rFonts w:ascii="Myriad Pro" w:hAnsi="Myriad Pro"/>
                        <w:color w:val="231F20"/>
                        <w:spacing w:val="-25"/>
                        <w:w w:val="105"/>
                        <w:sz w:val="20"/>
                      </w:rPr>
                      <w:t> </w:t>
                    </w:r>
                    <w:r>
                      <w:rPr>
                        <w:rFonts w:ascii="Myriad Pro" w:hAnsi="Myriad Pro"/>
                        <w:color w:val="231F20"/>
                        <w:w w:val="105"/>
                        <w:sz w:val="20"/>
                      </w:rPr>
                      <w:t>aux</w:t>
                    </w:r>
                    <w:r>
                      <w:rPr>
                        <w:rFonts w:ascii="Myriad Pro" w:hAnsi="Myriad Pro"/>
                        <w:color w:val="231F20"/>
                        <w:spacing w:val="-25"/>
                        <w:w w:val="105"/>
                        <w:sz w:val="20"/>
                      </w:rPr>
                      <w:t> </w:t>
                    </w:r>
                    <w:r>
                      <w:rPr>
                        <w:rFonts w:ascii="Myriad Pro" w:hAnsi="Myriad Pro"/>
                        <w:color w:val="231F20"/>
                        <w:w w:val="105"/>
                        <w:sz w:val="20"/>
                      </w:rPr>
                      <w:t>personnes handicapées.</w:t>
                    </w:r>
                  </w:p>
                  <w:p>
                    <w:pPr>
                      <w:spacing w:before="56"/>
                      <w:ind w:left="801"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Encourager la formation aux droits reconnus dans la Convention des professionnels et personnels qui travaillent avec des personnes handicapées.</w:t>
                    </w:r>
                  </w:p>
                  <w:p>
                    <w:pPr>
                      <w:spacing w:before="56"/>
                      <w:ind w:left="801"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Consulter et faire participer les personnes handicapées au développement et à la mise en œuvre des lois et politiques, ainsi qu’au processus d’adoption de toutes les mesures qui les concernent.</w:t>
                    </w:r>
                  </w:p>
                  <w:p>
                    <w:pPr>
                      <w:spacing w:line="180" w:lineRule="exact" w:before="157"/>
                      <w:ind w:left="180" w:right="143" w:firstLine="0"/>
                      <w:jc w:val="left"/>
                      <w:rPr>
                        <w:b w:val="0"/>
                        <w:i/>
                        <w:sz w:val="16"/>
                      </w:rPr>
                    </w:pPr>
                    <w:r>
                      <w:rPr>
                        <w:b w:val="0"/>
                        <w:i/>
                        <w:color w:val="231F20"/>
                        <w:sz w:val="16"/>
                      </w:rPr>
                      <w:t>Source : UNDESA, HCDH, UIP, Handbook for Parliamentarians: From Exclusion to Equality: realizing the rights of persons with </w:t>
                    </w:r>
                    <w:r>
                      <w:rPr>
                        <w:b w:val="0"/>
                        <w:i/>
                        <w:color w:val="231F20"/>
                        <w:sz w:val="16"/>
                      </w:rPr>
                      <w:t>disabilities (2007)</w:t>
                    </w:r>
                  </w:p>
                </w:txbxContent>
              </v:textbox>
              <w10:wrap type="none"/>
            </v:shape>
            <w10:wrap type="topAndBottom"/>
          </v:group>
        </w:pict>
      </w:r>
    </w:p>
    <w:p>
      <w:pPr>
        <w:pStyle w:val="BodyText"/>
        <w:spacing w:before="4"/>
        <w:rPr>
          <w:rFonts w:ascii="Myriad Pro"/>
          <w:sz w:val="8"/>
        </w:rPr>
      </w:pPr>
    </w:p>
    <w:p>
      <w:pPr>
        <w:pStyle w:val="BodyText"/>
        <w:spacing w:line="266" w:lineRule="auto" w:before="68"/>
        <w:ind w:left="2891" w:right="526"/>
        <w:rPr>
          <w:b w:val="0"/>
        </w:rPr>
      </w:pPr>
      <w:r>
        <w:rPr>
          <w:b w:val="0"/>
          <w:color w:val="231F20"/>
        </w:rPr>
        <w:t>D’autres mesures spécifiques exigées des États parties sont énoncées dans d’autres dispositions de la CDPH, qui précisent les actions attendues en lien avec les différents droits affirmés par la Convention.</w:t>
      </w:r>
    </w:p>
    <w:p>
      <w:pPr>
        <w:pStyle w:val="BodyText"/>
        <w:spacing w:line="266" w:lineRule="auto" w:before="114"/>
        <w:ind w:left="2891"/>
        <w:rPr>
          <w:b w:val="0"/>
        </w:rPr>
      </w:pPr>
      <w:r>
        <w:rPr>
          <w:b w:val="0"/>
          <w:color w:val="231F20"/>
        </w:rPr>
        <w:t>En ce qui concerne la ratification des traités relatifs aux droits de l’homme, il arrive souvent que l’application immédiate de tous les droits proclamés par le texte ratifié constitue</w:t>
      </w:r>
    </w:p>
    <w:p>
      <w:pPr>
        <w:pStyle w:val="BodyText"/>
        <w:spacing w:line="266" w:lineRule="auto"/>
        <w:ind w:left="2891" w:right="317"/>
        <w:rPr>
          <w:b w:val="0"/>
        </w:rPr>
      </w:pPr>
      <w:r>
        <w:rPr>
          <w:b w:val="0"/>
          <w:color w:val="231F20"/>
        </w:rPr>
        <w:t>une préoccupation pour les gouvernements. L’article 4 répond à cette préoccupation en réaffirmant que les États parties doivent assurer l’exercice progressif des droits économiques, sociaux et culturels.</w:t>
      </w:r>
    </w:p>
    <w:p>
      <w:pPr>
        <w:pStyle w:val="BodyText"/>
        <w:spacing w:before="1"/>
        <w:rPr>
          <w:b w:val="0"/>
          <w:sz w:val="23"/>
        </w:rPr>
      </w:pPr>
      <w:r>
        <w:rPr/>
        <w:pict>
          <v:group style="position:absolute;margin-left:144.066895pt;margin-top:15.666245pt;width:395.05pt;height:222.2pt;mso-position-horizontal-relative:page;mso-position-vertical-relative:paragraph;z-index:1840;mso-wrap-distance-left:0;mso-wrap-distance-right:0" coordorigin="2881,313" coordsize="7901,4444">
            <v:rect style="position:absolute;left:2891;top:313;width:7880;height:653" filled="true" fillcolor="#d19f2a" stroked="false">
              <v:fill type="solid"/>
            </v:rect>
            <v:rect style="position:absolute;left:2891;top:967;width:7880;height:3780" filled="true" fillcolor="#f8f0e2" stroked="false">
              <v:fill type="solid"/>
            </v:rect>
            <v:line style="position:absolute" from="2891,4747" to="10772,4747" stroked="true" strokeweight="1pt" strokecolor="#d19f2a"/>
            <v:shape style="position:absolute;left:2881;top:313;width:7901;height:4444" type="#_x0000_t202" filled="false" stroked="false">
              <v:textbox inset="0,0,0,0">
                <w:txbxContent>
                  <w:p>
                    <w:pPr>
                      <w:spacing w:line="254" w:lineRule="auto" w:before="32"/>
                      <w:ind w:left="2981" w:right="617" w:hanging="2123"/>
                      <w:jc w:val="left"/>
                      <w:rPr>
                        <w:rFonts w:ascii="Myriad Pro" w:hAnsi="Myriad Pro"/>
                        <w:b/>
                        <w:sz w:val="22"/>
                      </w:rPr>
                    </w:pPr>
                    <w:r>
                      <w:rPr>
                        <w:rFonts w:ascii="Myriad Pro" w:hAnsi="Myriad Pro"/>
                        <w:b/>
                        <w:color w:val="FFFFFF"/>
                        <w:sz w:val="22"/>
                      </w:rPr>
                      <w:t>Exercice progressif des droits économiques, sociaux et culturels en vertu de la CDPH</w:t>
                    </w:r>
                  </w:p>
                  <w:p>
                    <w:pPr>
                      <w:spacing w:line="259" w:lineRule="auto" w:before="171"/>
                      <w:ind w:left="180" w:right="143" w:firstLine="0"/>
                      <w:jc w:val="left"/>
                      <w:rPr>
                        <w:rFonts w:ascii="Myriad Pro" w:hAnsi="Myriad Pro"/>
                        <w:sz w:val="20"/>
                      </w:rPr>
                    </w:pPr>
                    <w:r>
                      <w:rPr>
                        <w:rFonts w:ascii="Myriad Pro" w:hAnsi="Myriad Pro"/>
                        <w:color w:val="231F20"/>
                        <w:sz w:val="20"/>
                      </w:rPr>
                      <w:t>L’article 4 de la CDPH réaffirme l’obligation des États de mettre en œuvre progressivement les droits économiques, sociaux et culturels. La reconnaissance du fait que le plein exercice des droits économiques, sociaux et culturels peut être entravé par des ressources limitées est contrebalancée par l’exigence d’une action au maximum des ressources dont dispose l’État et, s’il y a lieu, dans le cadre de la coopération internationale.</w:t>
                    </w:r>
                  </w:p>
                  <w:p>
                    <w:pPr>
                      <w:spacing w:line="259" w:lineRule="auto" w:before="113"/>
                      <w:ind w:left="180" w:right="456" w:firstLine="0"/>
                      <w:jc w:val="left"/>
                      <w:rPr>
                        <w:rFonts w:ascii="Myriad Pro" w:hAnsi="Myriad Pro"/>
                        <w:sz w:val="20"/>
                      </w:rPr>
                    </w:pPr>
                    <w:r>
                      <w:rPr>
                        <w:rFonts w:ascii="Myriad Pro" w:hAnsi="Myriad Pro"/>
                        <w:color w:val="231F20"/>
                        <w:spacing w:val="-5"/>
                        <w:sz w:val="20"/>
                      </w:rPr>
                      <w:t>L’exercice </w:t>
                    </w:r>
                    <w:r>
                      <w:rPr>
                        <w:rFonts w:ascii="Myriad Pro" w:hAnsi="Myriad Pro"/>
                        <w:color w:val="231F20"/>
                        <w:sz w:val="20"/>
                      </w:rPr>
                      <w:t>progressif laisse aux États parties, et notamment aux pays en développement, une certaine flexibilité pour atteindre certains objectifs de la Convention. Cependant, les États parties ont l’obligation immédiate d’assurer un niveau minimum essentiel de jouissance de chaque droit économique, social et culturel et de prendre des mesures en faveur de </w:t>
                    </w:r>
                    <w:r>
                      <w:rPr>
                        <w:rFonts w:ascii="Myriad Pro" w:hAnsi="Myriad Pro"/>
                        <w:color w:val="231F20"/>
                        <w:spacing w:val="-3"/>
                        <w:sz w:val="20"/>
                      </w:rPr>
                      <w:t>l’exercice </w:t>
                    </w:r>
                    <w:r>
                      <w:rPr>
                        <w:rFonts w:ascii="Myriad Pro" w:hAnsi="Myriad Pro"/>
                        <w:color w:val="231F20"/>
                        <w:sz w:val="20"/>
                      </w:rPr>
                      <w:t>progressif desdits droits. Pour ce faire, un État peut par exemple développer un plan d’action qui devra inclure les éléments suivants : un calendrier</w:t>
                    </w:r>
                    <w:r>
                      <w:rPr>
                        <w:rFonts w:ascii="Myriad Pro" w:hAnsi="Myriad Pro"/>
                        <w:color w:val="231F20"/>
                        <w:spacing w:val="-9"/>
                        <w:sz w:val="20"/>
                      </w:rPr>
                      <w:t> </w:t>
                    </w:r>
                    <w:r>
                      <w:rPr>
                        <w:rFonts w:ascii="Myriad Pro" w:hAnsi="Myriad Pro"/>
                        <w:color w:val="231F20"/>
                        <w:sz w:val="20"/>
                      </w:rPr>
                      <w:t>de</w:t>
                    </w:r>
                  </w:p>
                  <w:p>
                    <w:pPr>
                      <w:spacing w:line="259" w:lineRule="auto" w:before="0"/>
                      <w:ind w:left="180" w:right="143" w:firstLine="0"/>
                      <w:jc w:val="left"/>
                      <w:rPr>
                        <w:rFonts w:ascii="Myriad Pro" w:hAnsi="Myriad Pro"/>
                        <w:sz w:val="20"/>
                      </w:rPr>
                    </w:pPr>
                    <w:r>
                      <w:rPr>
                        <w:rFonts w:ascii="Myriad Pro" w:hAnsi="Myriad Pro"/>
                        <w:color w:val="231F20"/>
                        <w:sz w:val="20"/>
                      </w:rPr>
                      <w:t>mise en œuvre des droits économiques, sociaux et culturels ; des échéances de réalisation précises ; et des indicateurs de succès.</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19"/>
        </w:rPr>
      </w:pPr>
    </w:p>
    <w:p>
      <w:pPr>
        <w:spacing w:before="1"/>
        <w:ind w:left="3634" w:right="24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080"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794;top:3891;width:1107;height:1310" coordorigin="9794,3891" coordsize="1107,1310" path="m10176,5201l10176,5009,10123,5009,10075,5006,9983,4968,9929,4909,9905,4848,9901,4817,9901,4698,9839,4698,9825,4698,9815,4695,9808,4688,9794,4675,9794,4668,9794,4652,9809,4610,9841,4528,9874,4446,9891,4404,9898,4385,9902,4370,9904,4354,9906,4333,9911,4292,9930,4216,9960,4151,9994,4099,10034,4052,10095,3999,10160,3956,10230,3923,10303,3901,10379,3891,10424,3891,10498,3900,10566,3919,10651,3957,10712,3999,10770,4052,10773,4057,10776,4061,10779,4064,10781,4065,10784,4068,10822,4121,10854,4178,10880,4245,10895,4306,10901,4374,10901,4413,10899,4449,10883,4528,10847,4619,10787,4710,10746,4754,10736,4764,10724,4775,10714,4786,10710,4793,10710,5191e" filled="false" stroked="true" strokeweight="3.457pt" strokecolor="#d19f2a">
              <v:path arrowok="t"/>
            </v:shape>
            <v:shape style="position:absolute;left:10014;top:3993;width:722;height:526" coordorigin="10014,3993" coordsize="722,526" path="m10174,4477l10114,4477,10118,4481,10119,4487,10121,4499,10124,4511,10126,4519,10163,4519,10165,4509,10166,4499,10168,4489,10170,4481,10174,4477xm10065,4285l10047,4303,10040,4313,10042,4317,10050,4327,10053,4333,10057,4339,10062,4345,10058,4351,10058,4355,10054,4365,10048,4365,10045,4367,10033,4369,10014,4373,10015,4411,10025,4411,10035,4413,10048,4415,10049,4415,10055,4417,10055,4421,10057,4425,10060,4433,10060,4439,10055,4447,10045,4461,10041,4467,10042,4473,10050,4481,10067,4495,10073,4489,10084,4481,10099,4471,10098,4471,10245,4471,10248,4467,10243,4461,10236,4451,10225,4437,10226,4435,10227,4431,10134,4431,10110,4419,10097,4393,10104,4367,10125,4349,10227,4349,10225,4345,10230,4339,10238,4325,10242,4319,10461,4319,10465,4317,10550,4317,10552,4315,10711,4315,10712,4313,10711,4311,10101,4311,10082,4297,10073,4293,10065,4285xm10245,4471l10188,4471,10196,4477,10205,4483,10214,4489,10222,4495,10245,4471xm10651,4447l10614,4447,10615,4453,10620,4479,10646,4477,10648,4469,10648,4461,10651,4447xm10188,4471l10099,4471,10099,4471,10110,4477,10180,4477,10188,4471xm10711,4315l10552,4315,10564,4331,10566,4339,10562,4345,10559,4357,10550,4359,10539,4359,10529,4363,10530,4389,10557,4393,10562,4399,10561,4407,10568,4413,10564,4417,10561,4423,10558,4427,10553,4437,10553,4441,10559,4447,10570,4457,10578,4449,10586,4447,10593,4439,10713,4439,10715,4437,10713,4435,10699,4417,10626,4417,10603,4405,10594,4393,10591,4377,10594,4361,10603,4347,10627,4333,10699,4333,10708,4319,10711,4315xm10713,4439l10671,4439,10675,4443,10681,4447,10685,4449,10694,4455,10699,4455,10704,4449,10713,4439xm10671,4439l10593,4439,10597,4443,10601,4445,10612,4449,10614,4447,10651,4447,10652,4445,10665,4445,10671,4439xm10665,4445l10652,4445,10663,4447,10665,4445xm10227,4349l10155,4349,10167,4355,10175,4365,10180,4377,10182,4387,10176,4411,10158,4427,10134,4431,10227,4431,10232,4421,10231,4417,10239,4415,10273,4409,10271,4371,10267,4369,10264,4369,10241,4367,10234,4363,10231,4357,10227,4349xm10699,4333l10627,4333,10652,4339,10670,4355,10676,4377,10667,4403,10649,4417,10699,4417,10698,4415,10698,4413,10705,4397,10706,4393,10711,4393,10717,4391,10718,4391,10726,4389,10730,4389,10735,4387,10734,4361,10725,4359,10715,4359,10706,4357,10705,4353,10704,4349,10700,4339,10696,4339,10699,4333xm10461,4319l10328,4319,10342,4325,10348,4329,10354,4329,10365,4375,10366,4381,10366,4387,10368,4391,10425,4391,10428,4381,10429,4371,10432,4351,10433,4341,10435,4331,10449,4325,10456,4321,10461,4319xm10322,4319l10242,4319,10277,4353,10291,4343,10297,4337,10322,4319xm10550,4317l10465,4317,10491,4335,10506,4343,10516,4351,10550,4317xm10699,4337l10696,4339,10700,4339,10699,4337xm10119,4299l10102,4307,10101,4311,10192,4311,10183,4305,10173,4301,10119,4301,10119,4299xm10220,4285l10216,4289,10211,4293,10196,4303,10192,4311,10597,4311,10589,4307,10555,4307,10553,4305,10240,4305,10220,4285xm10659,4303l10607,4303,10597,4307,10597,4311,10711,4311,10711,4309,10669,4309,10665,4307,10659,4303xm10694,4293l10674,4309,10711,4309,10709,4305,10694,4293xm10569,4293l10555,4307,10589,4307,10571,4295,10569,4293xm10275,4031l10234,4075,10241,4083,10248,4091,10254,4101,10260,4109,10265,4115,10271,4119,10267,4127,10262,4139,10259,4147,10255,4151,10247,4155,10208,4161,10196,4165,10197,4221,10207,4223,10216,4225,10227,4227,10253,4229,10257,4233,10260,4241,10266,4257,10268,4263,10264,4271,10253,4287,10248,4293,10245,4299,10240,4305,10553,4305,10549,4301,10543,4291,10532,4277,10526,4269,10522,4263,10534,4233,10392,4233,10377,4231,10363,4223,10360,4219,10355,4211,10353,4207,10349,4195,10350,4183,10355,4171,10364,4159,10393,4147,10533,4147,10532,4145,10526,4127,10521,4121,10529,4111,10539,4097,10549,4081,10556,4069,10554,4067,10325,4067,10318,4059,10308,4055,10292,4043,10287,4041,10282,4037,10280,4035,10275,4031xm10645,4271l10619,4273,10617,4283,10616,4291,10614,4301,10610,4303,10656,4303,10651,4301,10649,4291,10647,4283,10645,4271xm10169,4299l10120,4299,10119,4301,10173,4301,10169,4299xm10162,4261l10124,4261,10122,4265,10123,4269,10119,4299,10120,4299,10169,4299,10168,4293,10166,4281,10164,4273,10163,4267,10162,4261xm10533,4147l10393,4147,10421,4161,10435,4187,10421,4221,10408,4229,10392,4233,10534,4233,10535,4231,10573,4223,10587,4223,10594,4219,10593,4161,10534,4153,10533,4147xm10423,3993l10365,3993,10358,4039,10358,4043,10356,4053,10353,4055,10351,4055,10345,4057,10344,4057,10335,4061,10331,4063,10325,4067,10469,4067,10462,4063,10447,4057,10439,4055,10435,4051,10433,4045,10423,3993xm10514,4029l10506,4037,10497,4043,10479,4057,10473,4061,10469,4067,10554,4067,10514,4029xe" filled="true" fillcolor="#d19f2a"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5</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106.35pt;mso-position-horizontal-relative:page;mso-position-vertical-relative:paragraph;z-index:1936;mso-wrap-distance-left:0;mso-wrap-distance-right:0" coordorigin="1124,365" coordsize="7901,2127">
            <v:rect style="position:absolute;left:1134;top:375;width:7880;height:2107" filled="true" fillcolor="#f8f0e2" stroked="false">
              <v:fill type="solid"/>
            </v:rect>
            <v:rect style="position:absolute;left:1134;top:365;width:7880;height:20" filled="true" fillcolor="#d19f2a" stroked="false">
              <v:fill type="solid"/>
            </v:rect>
            <v:line style="position:absolute" from="1134,2482" to="9014,2482" stroked="true" strokeweight="1pt" strokecolor="#d19f2a"/>
            <v:shape style="position:absolute;left:1134;top:375;width:7881;height:2107" type="#_x0000_t202" filled="false" stroked="false">
              <v:textbox inset="0,0,0,0">
                <w:txbxContent>
                  <w:p>
                    <w:pPr>
                      <w:spacing w:line="259" w:lineRule="auto" w:before="129"/>
                      <w:ind w:left="170" w:right="302" w:firstLine="0"/>
                      <w:jc w:val="left"/>
                      <w:rPr>
                        <w:rFonts w:ascii="Myriad Pro" w:hAnsi="Myriad Pro"/>
                        <w:sz w:val="20"/>
                      </w:rPr>
                    </w:pPr>
                    <w:r>
                      <w:rPr>
                        <w:rFonts w:ascii="Myriad Pro" w:hAnsi="Myriad Pro"/>
                        <w:color w:val="231F20"/>
                        <w:sz w:val="20"/>
                      </w:rPr>
                      <w:t>L’article 4 précise en outre qu’en mettant en œuvre l’exercice progressif des droits, l’État ne peut compromettre en aucun cas les obligations immédiatement applicables en vertu du droit international, énoncées dans la Convention. Par exemple, toute discrimination, y compris en raison du handicap, est interdite, quel que soit le degré d’exercice des droits</w:t>
                    </w:r>
                  </w:p>
                  <w:p>
                    <w:pPr>
                      <w:spacing w:line="259" w:lineRule="auto" w:before="0"/>
                      <w:ind w:left="170" w:right="13" w:firstLine="0"/>
                      <w:jc w:val="left"/>
                      <w:rPr>
                        <w:rFonts w:ascii="Myriad Pro" w:hAnsi="Myriad Pro"/>
                        <w:sz w:val="20"/>
                      </w:rPr>
                    </w:pPr>
                    <w:r>
                      <w:rPr>
                        <w:rFonts w:ascii="Myriad Pro" w:hAnsi="Myriad Pro"/>
                        <w:color w:val="231F20"/>
                        <w:sz w:val="20"/>
                      </w:rPr>
                      <w:t>économiques, sociaux et culturels. De plus, contrairement aux droits économiques, sociaux et culturels, les droits civils et politiques ne font pas l’objet d’un exercice progressif. En d’autres termes, les États parties doivent permettre leur exercice immédiat.</w:t>
                    </w:r>
                  </w:p>
                </w:txbxContent>
              </v:textbox>
              <w10:wrap type="none"/>
            </v:shape>
            <w10:wrap type="topAndBottom"/>
          </v:group>
        </w:pict>
      </w:r>
    </w:p>
    <w:p>
      <w:pPr>
        <w:pStyle w:val="BodyText"/>
        <w:rPr>
          <w:rFonts w:ascii="Myriad Pro"/>
          <w:sz w:val="20"/>
        </w:rPr>
      </w:pPr>
    </w:p>
    <w:p>
      <w:pPr>
        <w:pStyle w:val="BodyText"/>
        <w:spacing w:before="7"/>
        <w:rPr>
          <w:rFonts w:ascii="Myriad Pro"/>
          <w:sz w:val="12"/>
        </w:rPr>
      </w:pPr>
      <w:r>
        <w:rPr/>
        <w:pict>
          <v:line style="position:absolute;mso-position-horizontal-relative:page;mso-position-vertical-relative:paragraph;z-index:1960;mso-wrap-distance-left:0;mso-wrap-distance-right:0" from="56.692902pt,10.5181pt" to="450.708902pt,10.5181pt" stroked="true" strokeweight="2pt" strokecolor="#d19f2a">
            <w10:wrap type="topAndBottom"/>
          </v:line>
        </w:pict>
      </w:r>
    </w:p>
    <w:p>
      <w:pPr>
        <w:spacing w:line="271" w:lineRule="exact" w:before="0"/>
        <w:ind w:left="1529" w:right="374" w:firstLine="186"/>
        <w:jc w:val="left"/>
        <w:rPr>
          <w:rFonts w:ascii="Myriad Pro" w:hAnsi="Myriad Pro"/>
          <w:b/>
          <w:sz w:val="24"/>
        </w:rPr>
      </w:pPr>
      <w:r>
        <w:rPr>
          <w:rFonts w:ascii="Myriad Pro" w:hAnsi="Myriad Pro"/>
          <w:b/>
          <w:color w:val="D19F2A"/>
          <w:sz w:val="24"/>
        </w:rPr>
        <w:t>Voir l’activité d’apprentissage 2.C.1 intitulée</w:t>
      </w:r>
    </w:p>
    <w:p>
      <w:pPr>
        <w:spacing w:line="294" w:lineRule="exact" w:before="0"/>
        <w:ind w:left="1529" w:right="374" w:firstLine="0"/>
        <w:jc w:val="left"/>
        <w:rPr>
          <w:rFonts w:ascii="Myriad Pro" w:hAnsi="Myriad Pro"/>
          <w:b/>
          <w:sz w:val="24"/>
        </w:rPr>
      </w:pPr>
      <w:r>
        <w:rPr/>
        <w:pict>
          <v:line style="position:absolute;mso-position-horizontal-relative:page;mso-position-vertical-relative:paragraph;z-index:1984;mso-wrap-distance-left:0;mso-wrap-distance-right:0" from="56.692902pt,17.855295pt" to="450.708902pt,17.855295pt" stroked="true" strokeweight="1pt" strokecolor="#d19f2a">
            <w10:wrap type="topAndBottom"/>
          </v:line>
        </w:pict>
      </w:r>
      <w:r>
        <w:rPr>
          <w:rFonts w:ascii="Myriad Pro" w:hAnsi="Myriad Pro"/>
          <w:b/>
          <w:i/>
          <w:color w:val="D19F2A"/>
          <w:sz w:val="24"/>
        </w:rPr>
        <w:t>Difficultés liées à l’application réussie de la CDPH</w:t>
      </w:r>
      <w:r>
        <w:rPr>
          <w:rFonts w:ascii="Myriad Pro" w:hAnsi="Myriad Pro"/>
          <w:b/>
          <w:color w:val="D19F2A"/>
          <w:sz w:val="24"/>
        </w:rPr>
        <w:t>.</w:t>
      </w:r>
    </w:p>
    <w:p>
      <w:pPr>
        <w:pStyle w:val="BodyText"/>
        <w:spacing w:before="4"/>
        <w:rPr>
          <w:rFonts w:ascii="Myriad Pro"/>
          <w:b/>
          <w:sz w:val="27"/>
        </w:rPr>
      </w:pPr>
    </w:p>
    <w:p>
      <w:pPr>
        <w:pStyle w:val="Heading3"/>
        <w:ind w:left="133" w:right="374"/>
        <w:rPr>
          <w:b/>
        </w:rPr>
      </w:pPr>
      <w:r>
        <w:rPr>
          <w:b/>
          <w:color w:val="D19F2A"/>
        </w:rPr>
        <w:t>Cadres d’application et de suivi</w:t>
      </w:r>
    </w:p>
    <w:p>
      <w:pPr>
        <w:pStyle w:val="BodyText"/>
        <w:spacing w:line="266" w:lineRule="auto" w:before="127"/>
        <w:ind w:left="133" w:right="3241"/>
        <w:rPr>
          <w:b w:val="0"/>
        </w:rPr>
      </w:pPr>
      <w:r>
        <w:rPr>
          <w:b w:val="0"/>
          <w:color w:val="231F20"/>
        </w:rPr>
        <w:t>Les articles 33 à 40 de la CDPH énoncent les dispositions des cadres de suivi et d’application de la Convention. Les thèmes généraux de ces articles sont présentés ci- après.</w:t>
      </w:r>
    </w:p>
    <w:p>
      <w:pPr>
        <w:pStyle w:val="BodyText"/>
        <w:spacing w:before="6"/>
        <w:rPr>
          <w:b w:val="0"/>
          <w:sz w:val="13"/>
        </w:rPr>
      </w:pPr>
      <w:r>
        <w:rPr/>
        <w:pict>
          <v:group style="position:absolute;margin-left:56.192902pt;margin-top:9.992932pt;width:395.05pt;height:158.050pt;mso-position-horizontal-relative:page;mso-position-vertical-relative:paragraph;z-index:2032;mso-wrap-distance-left:0;mso-wrap-distance-right:0" coordorigin="1124,200" coordsize="7901,3161">
            <v:rect style="position:absolute;left:1134;top:200;width:7880;height:363" filled="true" fillcolor="#d19f2a" stroked="false">
              <v:fill type="solid"/>
            </v:rect>
            <v:rect style="position:absolute;left:1134;top:563;width:7880;height:2787" filled="true" fillcolor="#f8f0e2" stroked="false">
              <v:fill type="solid"/>
            </v:rect>
            <v:line style="position:absolute" from="1134,3350" to="9014,3350" stroked="true" strokeweight="1pt" strokecolor="#d19f2a"/>
            <v:shape style="position:absolute;left:1124;top:200;width:7901;height:3161" type="#_x0000_t202" filled="false" stroked="false">
              <v:textbox inset="0,0,0,0">
                <w:txbxContent>
                  <w:p>
                    <w:pPr>
                      <w:spacing w:line="388" w:lineRule="auto" w:before="32"/>
                      <w:ind w:left="180" w:right="2839" w:firstLine="2674"/>
                      <w:jc w:val="left"/>
                      <w:rPr>
                        <w:rFonts w:ascii="Myriad Pro" w:hAnsi="Myriad Pro"/>
                        <w:sz w:val="20"/>
                      </w:rPr>
                    </w:pPr>
                    <w:r>
                      <w:rPr>
                        <w:rFonts w:ascii="Myriad Pro" w:hAnsi="Myriad Pro"/>
                        <w:b/>
                        <w:color w:val="FFFFFF"/>
                        <w:sz w:val="22"/>
                      </w:rPr>
                      <w:t>Articles 33 à 40 CDPH : </w:t>
                    </w:r>
                    <w:r>
                      <w:rPr>
                        <w:rFonts w:ascii="Myriad Pro" w:hAnsi="Myriad Pro"/>
                        <w:color w:val="231F20"/>
                        <w:sz w:val="20"/>
                      </w:rPr>
                      <w:t>Article 34 – Comité des droits des personnes handicapées Article 35 – Rapports des États parties</w:t>
                    </w:r>
                  </w:p>
                  <w:p>
                    <w:pPr>
                      <w:spacing w:line="224" w:lineRule="exact" w:before="0"/>
                      <w:ind w:left="180" w:right="534" w:firstLine="0"/>
                      <w:jc w:val="left"/>
                      <w:rPr>
                        <w:rFonts w:ascii="Myriad Pro" w:hAnsi="Myriad Pro"/>
                        <w:sz w:val="20"/>
                      </w:rPr>
                    </w:pPr>
                    <w:r>
                      <w:rPr>
                        <w:rFonts w:ascii="Myriad Pro" w:hAnsi="Myriad Pro"/>
                        <w:color w:val="231F20"/>
                        <w:sz w:val="20"/>
                      </w:rPr>
                      <w:t>Article 36 – Examen des rapports</w:t>
                    </w:r>
                  </w:p>
                  <w:p>
                    <w:pPr>
                      <w:spacing w:before="133"/>
                      <w:ind w:left="180" w:right="534" w:firstLine="0"/>
                      <w:jc w:val="left"/>
                      <w:rPr>
                        <w:rFonts w:ascii="Myriad Pro" w:hAnsi="Myriad Pro"/>
                        <w:sz w:val="20"/>
                      </w:rPr>
                    </w:pPr>
                    <w:r>
                      <w:rPr>
                        <w:rFonts w:ascii="Myriad Pro" w:hAnsi="Myriad Pro"/>
                        <w:color w:val="231F20"/>
                        <w:sz w:val="20"/>
                      </w:rPr>
                      <w:t>Article 37 – Coopération entre les États parties et le Comité</w:t>
                    </w:r>
                  </w:p>
                  <w:p>
                    <w:pPr>
                      <w:spacing w:line="372" w:lineRule="auto" w:before="133"/>
                      <w:ind w:left="180" w:right="1992" w:firstLine="0"/>
                      <w:jc w:val="left"/>
                      <w:rPr>
                        <w:rFonts w:ascii="Myriad Pro" w:hAnsi="Myriad Pro"/>
                        <w:sz w:val="20"/>
                      </w:rPr>
                    </w:pPr>
                    <w:r>
                      <w:rPr>
                        <w:rFonts w:ascii="Myriad Pro" w:hAnsi="Myriad Pro"/>
                        <w:color w:val="231F20"/>
                        <w:sz w:val="20"/>
                      </w:rPr>
                      <w:t>Article 38 – Rapports du Comité avec d’autres organismes et organes Article 39 – Rapport du Comité</w:t>
                    </w:r>
                  </w:p>
                  <w:p>
                    <w:pPr>
                      <w:spacing w:before="0"/>
                      <w:ind w:left="180" w:right="534" w:firstLine="0"/>
                      <w:jc w:val="left"/>
                      <w:rPr>
                        <w:rFonts w:ascii="Myriad Pro" w:hAnsi="Myriad Pro"/>
                        <w:sz w:val="20"/>
                      </w:rPr>
                    </w:pPr>
                    <w:r>
                      <w:rPr>
                        <w:rFonts w:ascii="Myriad Pro" w:hAnsi="Myriad Pro"/>
                        <w:color w:val="231F20"/>
                        <w:sz w:val="20"/>
                      </w:rPr>
                      <w:t>Article 40 – Conférence des États parties</w:t>
                    </w:r>
                  </w:p>
                </w:txbxContent>
              </v:textbox>
              <w10:wrap type="none"/>
            </v:shape>
            <w10:wrap type="topAndBottom"/>
          </v:group>
        </w:pict>
      </w:r>
    </w:p>
    <w:p>
      <w:pPr>
        <w:pStyle w:val="BodyText"/>
        <w:spacing w:before="3"/>
        <w:rPr>
          <w:b w:val="0"/>
          <w:sz w:val="13"/>
        </w:rPr>
      </w:pPr>
    </w:p>
    <w:p>
      <w:pPr>
        <w:pStyle w:val="BodyText"/>
        <w:spacing w:line="266" w:lineRule="auto" w:before="68"/>
        <w:ind w:left="133" w:right="3088"/>
        <w:rPr>
          <w:b w:val="0"/>
        </w:rPr>
      </w:pPr>
      <w:r>
        <w:rPr>
          <w:b w:val="0"/>
          <w:color w:val="231F20"/>
        </w:rPr>
        <w:t>L’article 33 de la CDPH définit un cadre d’application et de suivi au niveau national, en demandant aux États parties d’établir des mécanismes spécifiques au niveau national afin de renforcer l’application et le suivi des droits des personnes handicapées. Le cadre de suivi de la CDPH au niveau national envisage les mesures à prendre par les États, les institutions de suivi nationales indépendantes et les organisations de la société civile.</w:t>
      </w:r>
    </w:p>
    <w:p>
      <w:pPr>
        <w:pStyle w:val="BodyText"/>
        <w:spacing w:before="114"/>
        <w:ind w:left="133" w:right="374"/>
        <w:rPr>
          <w:b w:val="0"/>
        </w:rPr>
      </w:pPr>
      <w:r>
        <w:rPr>
          <w:b w:val="0"/>
          <w:color w:val="231F20"/>
        </w:rPr>
        <w:t>L’article 33(1) de la CPDH demande aux États parties :</w:t>
      </w:r>
    </w:p>
    <w:p>
      <w:pPr>
        <w:pStyle w:val="BodyText"/>
        <w:spacing w:line="264" w:lineRule="auto" w:before="48"/>
        <w:ind w:left="813" w:right="3224" w:hanging="341"/>
        <w:rPr>
          <w:b w:val="0"/>
        </w:rPr>
      </w:pPr>
      <w:r>
        <w:rPr>
          <w:rFonts w:ascii="Arial" w:hAnsi="Arial"/>
          <w:color w:val="D19F2A"/>
          <w:sz w:val="26"/>
        </w:rPr>
        <w:t>► </w:t>
      </w:r>
      <w:r>
        <w:rPr>
          <w:b w:val="0"/>
          <w:color w:val="231F20"/>
        </w:rPr>
        <w:t>De désigner, conformément à leur système de gouvernement, un ou plusieurs points de contact pour les questions relatives à l’application ; en d’autres termes, un bureau ou une autre entité principalement chargé de superviser</w:t>
      </w:r>
    </w:p>
    <w:p>
      <w:pPr>
        <w:pStyle w:val="BodyText"/>
        <w:spacing w:line="266" w:lineRule="auto" w:before="3"/>
        <w:ind w:left="813" w:right="2909"/>
        <w:rPr>
          <w:b w:val="0"/>
        </w:rPr>
      </w:pPr>
      <w:r>
        <w:rPr>
          <w:b w:val="0"/>
          <w:color w:val="231F20"/>
        </w:rPr>
        <w:t>l’application de la CDPH. La Convention ne précise pas la forme ou la fonction de ce point de contact qui pourrait, par exemple, être une personne ou un bureau dépendant d’un ou plusieurs ministères ; un ministère ; une institution comme une commission sur le handicap ; ou encore une combinaison de ce qui précède. Quelle que soit sa forme, le point de contact doit être doté des ressources humaines et financières adéquates et être situé au niveau gouvernemental le plus élevé.</w:t>
      </w:r>
    </w:p>
    <w:p>
      <w:pPr>
        <w:pStyle w:val="BodyText"/>
        <w:spacing w:line="264" w:lineRule="auto" w:before="19"/>
        <w:ind w:left="813" w:right="3107" w:hanging="341"/>
        <w:rPr>
          <w:b w:val="0"/>
        </w:rPr>
      </w:pPr>
      <w:r>
        <w:rPr>
          <w:rFonts w:ascii="Arial" w:hAnsi="Arial"/>
          <w:color w:val="D19F2A"/>
          <w:sz w:val="26"/>
        </w:rPr>
        <w:t>► </w:t>
      </w:r>
      <w:r>
        <w:rPr>
          <w:b w:val="0"/>
          <w:color w:val="231F20"/>
        </w:rPr>
        <w:t>D’envisager l’établissement ou la désignation d’un mécanisme de coordination au sein du gouvernement afin de faciliter l’action dans différents secteurs</w:t>
      </w:r>
    </w:p>
    <w:p>
      <w:pPr>
        <w:pStyle w:val="BodyText"/>
        <w:rPr>
          <w:b w:val="0"/>
          <w:sz w:val="20"/>
        </w:rPr>
      </w:pPr>
    </w:p>
    <w:p>
      <w:pPr>
        <w:pStyle w:val="BodyText"/>
        <w:spacing w:before="3"/>
        <w:rPr>
          <w:b w:val="0"/>
          <w:sz w:val="21"/>
        </w:rPr>
      </w:pPr>
    </w:p>
    <w:p>
      <w:pPr>
        <w:spacing w:line="192" w:lineRule="exact" w:before="74"/>
        <w:ind w:left="330" w:right="374"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207" w:right="374"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144"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757;top:16142;width:908;height:321" type="#_x0000_t202" filled="true" fillcolor="#d19f2a" stroked="false">
              <v:textbox inset="0,0,0,0">
                <w:txbxContent>
                  <w:p>
                    <w:pPr>
                      <w:spacing w:line="310" w:lineRule="exact" w:before="10"/>
                      <w:ind w:left="0" w:right="54" w:firstLine="0"/>
                      <w:jc w:val="right"/>
                      <w:rPr>
                        <w:rFonts w:ascii="Myriad Pro"/>
                        <w:sz w:val="26"/>
                      </w:rPr>
                    </w:pPr>
                    <w:r>
                      <w:rPr>
                        <w:rFonts w:ascii="Myriad Pro"/>
                        <w:color w:val="FFFFFF"/>
                        <w:sz w:val="26"/>
                      </w:rPr>
                      <w:t>6</w:t>
                    </w:r>
                  </w:p>
                </w:txbxContent>
              </v:textbox>
              <v:fill type="solid"/>
              <w10:wrap type="none"/>
            </v:shape>
            <w10:wrap type="none"/>
          </v:group>
        </w:pict>
      </w:r>
    </w:p>
    <w:p>
      <w:pPr>
        <w:spacing w:before="75"/>
        <w:ind w:left="2892"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3571" w:right="195"/>
        <w:rPr>
          <w:b w:val="0"/>
        </w:rPr>
      </w:pPr>
      <w:r>
        <w:rPr>
          <w:b w:val="0"/>
          <w:color w:val="231F20"/>
        </w:rPr>
        <w:t>et à différents niveaux. Comme pour le point de contact, la Convention ne précise pas la forme et la fonction du mécanisme de coordination. </w:t>
      </w:r>
      <w:r>
        <w:rPr>
          <w:b w:val="0"/>
          <w:color w:val="231F20"/>
          <w:spacing w:val="-3"/>
        </w:rPr>
        <w:t>Toutefois, </w:t>
      </w:r>
      <w:r>
        <w:rPr>
          <w:b w:val="0"/>
          <w:color w:val="231F20"/>
        </w:rPr>
        <w:t>il pourrait par exemple consister en une structure intersectorielle composée de membres représentant différents ministères, ou des organisations de personnes handicapées et autres parties prenantes. Un mécanisme de coordination peut aider à intégrer réellement le handicap dans les différents ministères, secteurs gouvernementaux et autres autorités publiques locales, régionales et nationales. Coordination et intégration sont des outils très efficaces pour l’application</w:t>
      </w:r>
      <w:r>
        <w:rPr>
          <w:b w:val="0"/>
          <w:color w:val="231F20"/>
          <w:spacing w:val="-10"/>
        </w:rPr>
        <w:t> </w:t>
      </w:r>
      <w:r>
        <w:rPr>
          <w:b w:val="0"/>
          <w:color w:val="231F20"/>
        </w:rPr>
        <w:t>réussie de la CDPH, car elles garantissent qu’un seul ministère ne sera pas chargé</w:t>
      </w:r>
      <w:r>
        <w:rPr>
          <w:b w:val="0"/>
          <w:color w:val="231F20"/>
          <w:spacing w:val="-12"/>
        </w:rPr>
        <w:t> </w:t>
      </w:r>
      <w:r>
        <w:rPr>
          <w:b w:val="0"/>
          <w:color w:val="231F20"/>
        </w:rPr>
        <w:t>du</w:t>
      </w:r>
    </w:p>
    <w:p>
      <w:pPr>
        <w:pStyle w:val="BodyText"/>
        <w:spacing w:line="266" w:lineRule="auto"/>
        <w:ind w:left="3571" w:right="120"/>
        <w:rPr>
          <w:b w:val="0"/>
        </w:rPr>
      </w:pPr>
      <w:r>
        <w:rPr>
          <w:b w:val="0"/>
          <w:color w:val="231F20"/>
        </w:rPr>
        <w:t>traitement de tous les aspects des questions relatives aux personnes handicapées, dont beaucoup peuvent ne pas relever de ses compétences générales.</w:t>
      </w:r>
    </w:p>
    <w:p>
      <w:pPr>
        <w:pStyle w:val="BodyText"/>
        <w:spacing w:before="3"/>
        <w:rPr>
          <w:b w:val="0"/>
          <w:sz w:val="24"/>
        </w:rPr>
      </w:pPr>
    </w:p>
    <w:p>
      <w:pPr>
        <w:pStyle w:val="Heading5"/>
        <w:spacing w:before="58"/>
        <w:ind w:left="5969" w:right="3192"/>
        <w:jc w:val="center"/>
      </w:pPr>
      <w:r>
        <w:rPr/>
        <w:pict>
          <v:group style="position:absolute;margin-left:144.066895pt;margin-top:1.277482pt;width:395.05pt;height:495.05pt;mso-position-horizontal-relative:page;mso-position-vertical-relative:paragraph;z-index:-52120" coordorigin="2881,26" coordsize="7901,9901">
            <v:rect style="position:absolute;left:2891;top:26;width:7880;height:363" filled="true" fillcolor="#d19f2a" stroked="false">
              <v:fill type="solid"/>
            </v:rect>
            <v:rect style="position:absolute;left:2891;top:389;width:7880;height:9527" filled="true" fillcolor="#f8f0e2" stroked="false">
              <v:fill type="solid"/>
            </v:rect>
            <v:line style="position:absolute" from="2891,9916" to="10772,9916" stroked="true" strokeweight="1pt" strokecolor="#d19f2a"/>
            <w10:wrap type="none"/>
          </v:group>
        </w:pict>
      </w:r>
      <w:r>
        <w:rPr>
          <w:color w:val="FFFFFF"/>
        </w:rPr>
        <w:t>Points de contact</w:t>
      </w:r>
    </w:p>
    <w:p>
      <w:pPr>
        <w:spacing w:before="188"/>
        <w:ind w:left="3061" w:right="0" w:firstLine="0"/>
        <w:jc w:val="left"/>
        <w:rPr>
          <w:rFonts w:ascii="Myriad Pro" w:hAnsi="Myriad Pro"/>
          <w:sz w:val="20"/>
        </w:rPr>
      </w:pPr>
      <w:r>
        <w:rPr>
          <w:rFonts w:ascii="Myriad Pro" w:hAnsi="Myriad Pro"/>
          <w:color w:val="231F20"/>
          <w:sz w:val="20"/>
        </w:rPr>
        <w:t>Le travail des points de contact peut consister, entre autres, à :</w:t>
      </w:r>
    </w:p>
    <w:p>
      <w:pPr>
        <w:spacing w:before="56"/>
        <w:ind w:left="3684"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conseiller le chef de l’État/du gouvernement, les décideurs politiques et les planificateurs de programmes sur les effets pour les personnes handicapées du développement des politiques, législations, programmes et projets ;</w:t>
      </w:r>
    </w:p>
    <w:p>
      <w:pPr>
        <w:spacing w:before="56"/>
        <w:ind w:left="3684" w:right="526" w:hanging="284"/>
        <w:jc w:val="left"/>
        <w:rPr>
          <w:rFonts w:ascii="Myriad Pro" w:hAnsi="Myriad Pro"/>
          <w:sz w:val="20"/>
        </w:rPr>
      </w:pPr>
      <w:r>
        <w:rPr>
          <w:rFonts w:ascii="Arial" w:hAnsi="Arial"/>
          <w:color w:val="231F20"/>
          <w:w w:val="120"/>
          <w:sz w:val="20"/>
        </w:rPr>
        <w:t>z </w:t>
      </w:r>
      <w:r>
        <w:rPr>
          <w:rFonts w:ascii="Myriad Pro" w:hAnsi="Myriad Pro"/>
          <w:color w:val="231F20"/>
          <w:sz w:val="20"/>
        </w:rPr>
        <w:t>coordonner les activités des différents ministères et services en matière de droits de l’homme et de handicap ;</w:t>
      </w:r>
    </w:p>
    <w:p>
      <w:pPr>
        <w:spacing w:before="56"/>
        <w:ind w:left="3684" w:right="526" w:hanging="284"/>
        <w:jc w:val="left"/>
        <w:rPr>
          <w:rFonts w:ascii="Myriad Pro" w:hAnsi="Myriad Pro"/>
          <w:sz w:val="20"/>
        </w:rPr>
      </w:pPr>
      <w:r>
        <w:rPr>
          <w:rFonts w:ascii="Arial" w:hAnsi="Arial"/>
          <w:color w:val="231F20"/>
          <w:w w:val="120"/>
          <w:sz w:val="20"/>
        </w:rPr>
        <w:t>z </w:t>
      </w:r>
      <w:r>
        <w:rPr>
          <w:rFonts w:ascii="Myriad Pro" w:hAnsi="Myriad Pro"/>
          <w:color w:val="231F20"/>
          <w:sz w:val="20"/>
        </w:rPr>
        <w:t>coordonner les activités en matière de droits de l’homme et de handicap aux niveaux fédéral, national, régional, provincial et local ;</w:t>
      </w:r>
    </w:p>
    <w:p>
      <w:pPr>
        <w:spacing w:before="56"/>
        <w:ind w:left="3684" w:right="526" w:hanging="284"/>
        <w:jc w:val="left"/>
        <w:rPr>
          <w:rFonts w:ascii="Myriad Pro" w:hAnsi="Myriad Pro"/>
          <w:sz w:val="20"/>
        </w:rPr>
      </w:pPr>
      <w:r>
        <w:rPr>
          <w:rFonts w:ascii="Arial" w:hAnsi="Arial"/>
          <w:color w:val="231F20"/>
          <w:w w:val="120"/>
          <w:sz w:val="20"/>
        </w:rPr>
        <w:t>z </w:t>
      </w:r>
      <w:r>
        <w:rPr>
          <w:rFonts w:ascii="Myriad Pro" w:hAnsi="Myriad Pro"/>
          <w:color w:val="231F20"/>
          <w:sz w:val="20"/>
        </w:rPr>
        <w:t>examiner les stratégies et politiques afin de garantir le respect des droits des personnes handicapées ;</w:t>
      </w:r>
    </w:p>
    <w:p>
      <w:pPr>
        <w:spacing w:before="56"/>
        <w:ind w:left="3400"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élaborer, réviser ou amender la législation pertinente ;</w:t>
      </w:r>
    </w:p>
    <w:p>
      <w:pPr>
        <w:spacing w:before="56"/>
        <w:ind w:left="3400"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sensibiliser le gouvernement à la Convention et au Protocole facultatif ;</w:t>
      </w:r>
    </w:p>
    <w:p>
      <w:pPr>
        <w:spacing w:before="56"/>
        <w:ind w:left="3683" w:right="526" w:hanging="284"/>
        <w:jc w:val="left"/>
        <w:rPr>
          <w:rFonts w:ascii="Myriad Pro" w:hAnsi="Myriad Pro"/>
          <w:sz w:val="20"/>
        </w:rPr>
      </w:pPr>
      <w:r>
        <w:rPr>
          <w:rFonts w:ascii="Arial" w:hAnsi="Arial"/>
          <w:color w:val="231F20"/>
          <w:w w:val="120"/>
          <w:sz w:val="20"/>
        </w:rPr>
        <w:t>z </w:t>
      </w:r>
      <w:r>
        <w:rPr>
          <w:rFonts w:ascii="Myriad Pro" w:hAnsi="Myriad Pro"/>
          <w:color w:val="231F20"/>
          <w:sz w:val="20"/>
        </w:rPr>
        <w:t>veiller à ce que la Convention et le Protocole facultatif soient traduits dans les langues locales et publiés dans des formats accessibles ;</w:t>
      </w:r>
    </w:p>
    <w:p>
      <w:pPr>
        <w:spacing w:before="56"/>
        <w:ind w:left="3400" w:right="0" w:firstLine="0"/>
        <w:jc w:val="left"/>
        <w:rPr>
          <w:rFonts w:ascii="Myriad Pro" w:hAnsi="Myriad Pro"/>
          <w:sz w:val="11"/>
        </w:rPr>
      </w:pPr>
      <w:r>
        <w:rPr>
          <w:rFonts w:ascii="Arial" w:hAnsi="Arial"/>
          <w:color w:val="231F20"/>
          <w:w w:val="120"/>
          <w:sz w:val="20"/>
        </w:rPr>
        <w:t>z </w:t>
      </w:r>
      <w:r>
        <w:rPr>
          <w:rFonts w:ascii="Myriad Pro" w:hAnsi="Myriad Pro"/>
          <w:color w:val="231F20"/>
          <w:w w:val="105"/>
          <w:sz w:val="20"/>
        </w:rPr>
        <w:t>établir un plan d’action pour l’application de la Convention ;</w:t>
      </w:r>
      <w:r>
        <w:rPr>
          <w:rFonts w:ascii="Myriad Pro" w:hAnsi="Myriad Pro"/>
          <w:color w:val="231F20"/>
          <w:w w:val="105"/>
          <w:position w:val="7"/>
          <w:sz w:val="11"/>
        </w:rPr>
        <w:t>1</w:t>
      </w:r>
    </w:p>
    <w:p>
      <w:pPr>
        <w:spacing w:before="57"/>
        <w:ind w:left="3684"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surveiller la mise en œuvre du plan d’action en matière de droits de l’homme et de handicaps ;</w:t>
      </w:r>
    </w:p>
    <w:p>
      <w:pPr>
        <w:spacing w:before="56"/>
        <w:ind w:left="3684" w:right="1115" w:hanging="284"/>
        <w:jc w:val="left"/>
        <w:rPr>
          <w:rFonts w:ascii="Myriad Pro" w:hAnsi="Myriad Pro"/>
          <w:sz w:val="20"/>
        </w:rPr>
      </w:pPr>
      <w:r>
        <w:rPr>
          <w:rFonts w:ascii="Arial" w:hAnsi="Arial"/>
          <w:color w:val="231F20"/>
          <w:w w:val="120"/>
          <w:sz w:val="20"/>
        </w:rPr>
        <w:t>z</w:t>
      </w:r>
      <w:r>
        <w:rPr>
          <w:rFonts w:ascii="Arial" w:hAnsi="Arial"/>
          <w:color w:val="231F20"/>
          <w:spacing w:val="9"/>
          <w:w w:val="120"/>
          <w:sz w:val="20"/>
        </w:rPr>
        <w:t> </w:t>
      </w:r>
      <w:r>
        <w:rPr>
          <w:rFonts w:ascii="Myriad Pro" w:hAnsi="Myriad Pro"/>
          <w:color w:val="231F20"/>
          <w:w w:val="105"/>
          <w:sz w:val="20"/>
        </w:rPr>
        <w:t>sensibiliser</w:t>
      </w:r>
      <w:r>
        <w:rPr>
          <w:rFonts w:ascii="Myriad Pro" w:hAnsi="Myriad Pro"/>
          <w:color w:val="231F20"/>
          <w:spacing w:val="-21"/>
          <w:w w:val="105"/>
          <w:sz w:val="20"/>
        </w:rPr>
        <w:t> </w:t>
      </w:r>
      <w:r>
        <w:rPr>
          <w:rFonts w:ascii="Myriad Pro" w:hAnsi="Myriad Pro"/>
          <w:color w:val="231F20"/>
          <w:w w:val="105"/>
          <w:sz w:val="20"/>
        </w:rPr>
        <w:t>le</w:t>
      </w:r>
      <w:r>
        <w:rPr>
          <w:rFonts w:ascii="Myriad Pro" w:hAnsi="Myriad Pro"/>
          <w:color w:val="231F20"/>
          <w:spacing w:val="-21"/>
          <w:w w:val="105"/>
          <w:sz w:val="20"/>
        </w:rPr>
        <w:t> </w:t>
      </w:r>
      <w:r>
        <w:rPr>
          <w:rFonts w:ascii="Myriad Pro" w:hAnsi="Myriad Pro"/>
          <w:color w:val="231F20"/>
          <w:w w:val="105"/>
          <w:sz w:val="20"/>
        </w:rPr>
        <w:t>public</w:t>
      </w:r>
      <w:r>
        <w:rPr>
          <w:rFonts w:ascii="Myriad Pro" w:hAnsi="Myriad Pro"/>
          <w:color w:val="231F20"/>
          <w:spacing w:val="-21"/>
          <w:w w:val="105"/>
          <w:sz w:val="20"/>
        </w:rPr>
        <w:t> </w:t>
      </w:r>
      <w:r>
        <w:rPr>
          <w:rFonts w:ascii="Myriad Pro" w:hAnsi="Myriad Pro"/>
          <w:color w:val="231F20"/>
          <w:w w:val="105"/>
          <w:sz w:val="20"/>
        </w:rPr>
        <w:t>aux</w:t>
      </w:r>
      <w:r>
        <w:rPr>
          <w:rFonts w:ascii="Myriad Pro" w:hAnsi="Myriad Pro"/>
          <w:color w:val="231F20"/>
          <w:spacing w:val="-21"/>
          <w:w w:val="105"/>
          <w:sz w:val="20"/>
        </w:rPr>
        <w:t> </w:t>
      </w:r>
      <w:r>
        <w:rPr>
          <w:rFonts w:ascii="Myriad Pro" w:hAnsi="Myriad Pro"/>
          <w:color w:val="231F20"/>
          <w:w w:val="105"/>
          <w:sz w:val="20"/>
        </w:rPr>
        <w:t>questions</w:t>
      </w:r>
      <w:r>
        <w:rPr>
          <w:rFonts w:ascii="Myriad Pro" w:hAnsi="Myriad Pro"/>
          <w:color w:val="231F20"/>
          <w:spacing w:val="-21"/>
          <w:w w:val="105"/>
          <w:sz w:val="20"/>
        </w:rPr>
        <w:t> </w:t>
      </w:r>
      <w:r>
        <w:rPr>
          <w:rFonts w:ascii="Myriad Pro" w:hAnsi="Myriad Pro"/>
          <w:color w:val="231F20"/>
          <w:w w:val="105"/>
          <w:sz w:val="20"/>
        </w:rPr>
        <w:t>relatives</w:t>
      </w:r>
      <w:r>
        <w:rPr>
          <w:rFonts w:ascii="Myriad Pro" w:hAnsi="Myriad Pro"/>
          <w:color w:val="231F20"/>
          <w:spacing w:val="-21"/>
          <w:w w:val="105"/>
          <w:sz w:val="20"/>
        </w:rPr>
        <w:t> </w:t>
      </w:r>
      <w:r>
        <w:rPr>
          <w:rFonts w:ascii="Myriad Pro" w:hAnsi="Myriad Pro"/>
          <w:color w:val="231F20"/>
          <w:w w:val="105"/>
          <w:sz w:val="20"/>
        </w:rPr>
        <w:t>au</w:t>
      </w:r>
      <w:r>
        <w:rPr>
          <w:rFonts w:ascii="Myriad Pro" w:hAnsi="Myriad Pro"/>
          <w:color w:val="231F20"/>
          <w:spacing w:val="-21"/>
          <w:w w:val="105"/>
          <w:sz w:val="20"/>
        </w:rPr>
        <w:t> </w:t>
      </w:r>
      <w:r>
        <w:rPr>
          <w:rFonts w:ascii="Myriad Pro" w:hAnsi="Myriad Pro"/>
          <w:color w:val="231F20"/>
          <w:w w:val="105"/>
          <w:sz w:val="20"/>
        </w:rPr>
        <w:t>handicap</w:t>
      </w:r>
      <w:r>
        <w:rPr>
          <w:rFonts w:ascii="Myriad Pro" w:hAnsi="Myriad Pro"/>
          <w:color w:val="231F20"/>
          <w:spacing w:val="-21"/>
          <w:w w:val="105"/>
          <w:sz w:val="20"/>
        </w:rPr>
        <w:t> </w:t>
      </w:r>
      <w:r>
        <w:rPr>
          <w:rFonts w:ascii="Myriad Pro" w:hAnsi="Myriad Pro"/>
          <w:color w:val="231F20"/>
          <w:w w:val="105"/>
          <w:sz w:val="20"/>
        </w:rPr>
        <w:t>et</w:t>
      </w:r>
      <w:r>
        <w:rPr>
          <w:rFonts w:ascii="Myriad Pro" w:hAnsi="Myriad Pro"/>
          <w:color w:val="231F20"/>
          <w:spacing w:val="-21"/>
          <w:w w:val="105"/>
          <w:sz w:val="20"/>
        </w:rPr>
        <w:t> </w:t>
      </w:r>
      <w:r>
        <w:rPr>
          <w:rFonts w:ascii="Myriad Pro" w:hAnsi="Myriad Pro"/>
          <w:color w:val="231F20"/>
          <w:w w:val="105"/>
          <w:sz w:val="20"/>
        </w:rPr>
        <w:t>aux</w:t>
      </w:r>
      <w:r>
        <w:rPr>
          <w:rFonts w:ascii="Myriad Pro" w:hAnsi="Myriad Pro"/>
          <w:color w:val="231F20"/>
          <w:spacing w:val="-21"/>
          <w:w w:val="105"/>
          <w:sz w:val="20"/>
        </w:rPr>
        <w:t> </w:t>
      </w:r>
      <w:r>
        <w:rPr>
          <w:rFonts w:ascii="Myriad Pro" w:hAnsi="Myriad Pro"/>
          <w:color w:val="231F20"/>
          <w:w w:val="105"/>
          <w:sz w:val="20"/>
        </w:rPr>
        <w:t>droits</w:t>
      </w:r>
      <w:r>
        <w:rPr>
          <w:rFonts w:ascii="Myriad Pro" w:hAnsi="Myriad Pro"/>
          <w:color w:val="231F20"/>
          <w:spacing w:val="-21"/>
          <w:w w:val="105"/>
          <w:sz w:val="20"/>
        </w:rPr>
        <w:t> </w:t>
      </w:r>
      <w:r>
        <w:rPr>
          <w:rFonts w:ascii="Myriad Pro" w:hAnsi="Myriad Pro"/>
          <w:color w:val="231F20"/>
          <w:w w:val="105"/>
          <w:sz w:val="20"/>
        </w:rPr>
        <w:t>des </w:t>
      </w:r>
      <w:r>
        <w:rPr>
          <w:rFonts w:ascii="Myriad Pro" w:hAnsi="Myriad Pro"/>
          <w:color w:val="231F20"/>
          <w:sz w:val="20"/>
        </w:rPr>
        <w:t>personnes handicapées ;</w:t>
      </w:r>
    </w:p>
    <w:p>
      <w:pPr>
        <w:spacing w:before="56"/>
        <w:ind w:left="3401"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renforcer les capacités du gouvernement sur les questions relatives au handicap ;</w:t>
      </w:r>
    </w:p>
    <w:p>
      <w:pPr>
        <w:spacing w:before="56"/>
        <w:ind w:left="3684"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veiller à ce que des personnes handicapées participent au développement des politiques et des lois qui les concernent ;</w:t>
      </w:r>
    </w:p>
    <w:p>
      <w:pPr>
        <w:spacing w:before="56"/>
        <w:ind w:left="3684"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encourager les personnes handicapées à participer aux organisations et à la société civile, et stimuler la création d’organisations de personnes handicapées.</w:t>
      </w:r>
    </w:p>
    <w:p>
      <w:pPr>
        <w:spacing w:line="180" w:lineRule="exact" w:before="156"/>
        <w:ind w:left="3061" w:right="0" w:firstLine="0"/>
        <w:jc w:val="left"/>
        <w:rPr>
          <w:b w:val="0"/>
          <w:i/>
          <w:sz w:val="16"/>
        </w:rPr>
      </w:pPr>
      <w:r>
        <w:rPr>
          <w:b w:val="0"/>
          <w:i/>
          <w:color w:val="231F20"/>
          <w:sz w:val="16"/>
        </w:rPr>
        <w:t>Source : UNDESA, HCDH, UIP, Handbook for Parliamentarians: From Exclusion to Equality: Realizing the Rights of Persons with </w:t>
      </w:r>
      <w:r>
        <w:rPr>
          <w:b w:val="0"/>
          <w:i/>
          <w:color w:val="231F20"/>
          <w:sz w:val="16"/>
        </w:rPr>
        <w:t>Disabilities (2007).</w:t>
      </w:r>
    </w:p>
    <w:p>
      <w:pPr>
        <w:spacing w:line="259" w:lineRule="auto" w:before="139"/>
        <w:ind w:left="3061" w:right="614" w:firstLine="0"/>
        <w:jc w:val="left"/>
        <w:rPr>
          <w:rFonts w:ascii="Myriad Pro" w:hAnsi="Myriad Pro"/>
          <w:sz w:val="20"/>
        </w:rPr>
      </w:pPr>
      <w:r>
        <w:rPr>
          <w:rFonts w:ascii="Myriad Pro" w:hAnsi="Myriad Pro"/>
          <w:b/>
          <w:color w:val="231F20"/>
          <w:sz w:val="20"/>
        </w:rPr>
        <w:t>Exemple : </w:t>
      </w:r>
      <w:r>
        <w:rPr>
          <w:rFonts w:ascii="Myriad Pro" w:hAnsi="Myriad Pro"/>
          <w:color w:val="231F20"/>
          <w:sz w:val="20"/>
        </w:rPr>
        <w:t>En Afrique du Sud, tous les départements du gouvernement national, toutes les administrations provinciales et toutes les municipalités locales et de district doivent nommer ou désigner un coordinateur ou un service de coordination chargé</w:t>
      </w:r>
      <w:r>
        <w:rPr>
          <w:rFonts w:ascii="Myriad Pro" w:hAnsi="Myriad Pro"/>
          <w:color w:val="231F20"/>
          <w:spacing w:val="-16"/>
          <w:sz w:val="20"/>
        </w:rPr>
        <w:t> </w:t>
      </w:r>
      <w:r>
        <w:rPr>
          <w:rFonts w:ascii="Myriad Pro" w:hAnsi="Myriad Pro"/>
          <w:color w:val="231F20"/>
          <w:sz w:val="20"/>
        </w:rPr>
        <w:t>de l’intégration du handicap au sein de chacune de ces institutions. Ces points de</w:t>
      </w:r>
      <w:r>
        <w:rPr>
          <w:rFonts w:ascii="Myriad Pro" w:hAnsi="Myriad Pro"/>
          <w:color w:val="231F20"/>
          <w:spacing w:val="-24"/>
          <w:sz w:val="20"/>
        </w:rPr>
        <w:t> </w:t>
      </w:r>
      <w:r>
        <w:rPr>
          <w:rFonts w:ascii="Myriad Pro" w:hAnsi="Myriad Pro"/>
          <w:color w:val="231F20"/>
          <w:sz w:val="20"/>
        </w:rPr>
        <w:t>contact</w:t>
      </w:r>
    </w:p>
    <w:p>
      <w:pPr>
        <w:spacing w:line="259" w:lineRule="auto" w:before="0"/>
        <w:ind w:left="3061" w:right="317" w:firstLine="0"/>
        <w:jc w:val="left"/>
        <w:rPr>
          <w:rFonts w:ascii="Myriad Pro" w:hAnsi="Myriad Pro"/>
          <w:sz w:val="20"/>
        </w:rPr>
      </w:pPr>
      <w:r>
        <w:rPr>
          <w:rFonts w:ascii="Myriad Pro" w:hAnsi="Myriad Pro"/>
          <w:color w:val="231F20"/>
          <w:sz w:val="20"/>
        </w:rPr>
        <w:t>se rejoignent au sein d’un mécanisme national sur les droits des personnes handicapées constitué, entre autres, d’un comité de coordination interministériel, d’un forum de coordination provincial et du forum national sur les droits des personnes handicapées, ce qui permet à la société civile de participer.</w:t>
      </w:r>
    </w:p>
    <w:p>
      <w:pPr>
        <w:pStyle w:val="BodyText"/>
        <w:rPr>
          <w:rFonts w:ascii="Myriad Pro"/>
          <w:sz w:val="20"/>
        </w:rPr>
      </w:pPr>
    </w:p>
    <w:p>
      <w:pPr>
        <w:pStyle w:val="BodyText"/>
        <w:rPr>
          <w:rFonts w:ascii="Myriad Pro"/>
          <w:sz w:val="20"/>
        </w:rPr>
      </w:pPr>
    </w:p>
    <w:p>
      <w:pPr>
        <w:pStyle w:val="BodyText"/>
        <w:spacing w:before="4"/>
        <w:rPr>
          <w:rFonts w:ascii="Myriad Pro"/>
          <w:sz w:val="20"/>
        </w:rPr>
      </w:pPr>
      <w:r>
        <w:rPr/>
        <w:pict>
          <v:line style="position:absolute;mso-position-horizontal-relative:page;mso-position-vertical-relative:paragraph;z-index:2104;mso-wrap-distance-left:0;mso-wrap-distance-right:0" from="144.566895pt,14.451098pt" to="243.779895pt,14.451098pt" stroked="true" strokeweight=".5pt" strokecolor="#231f20">
            <w10:wrap type="topAndBottom"/>
          </v:line>
        </w:pict>
      </w:r>
    </w:p>
    <w:p>
      <w:pPr>
        <w:tabs>
          <w:tab w:pos="3151" w:val="left" w:leader="none"/>
        </w:tabs>
        <w:spacing w:before="72"/>
        <w:ind w:left="2891" w:right="0" w:firstLine="0"/>
        <w:jc w:val="left"/>
        <w:rPr>
          <w:b w:val="0"/>
          <w:sz w:val="17"/>
        </w:rPr>
      </w:pPr>
      <w:r>
        <w:rPr>
          <w:b w:val="0"/>
          <w:color w:val="231F20"/>
          <w:position w:val="6"/>
          <w:sz w:val="10"/>
        </w:rPr>
        <w:t>1</w:t>
        <w:tab/>
      </w:r>
      <w:r>
        <w:rPr>
          <w:b w:val="0"/>
          <w:color w:val="231F20"/>
          <w:sz w:val="17"/>
        </w:rPr>
        <w:t>Voir le module consacré aux plans et programmes nationaux pour les personnes handicapées en</w:t>
      </w:r>
      <w:r>
        <w:rPr>
          <w:b w:val="0"/>
          <w:color w:val="231F20"/>
          <w:spacing w:val="-13"/>
          <w:sz w:val="17"/>
        </w:rPr>
        <w:t> </w:t>
      </w:r>
      <w:r>
        <w:rPr>
          <w:b w:val="0"/>
          <w:color w:val="231F20"/>
          <w:sz w:val="17"/>
        </w:rPr>
        <w:t>Afrique.</w:t>
      </w:r>
    </w:p>
    <w:p>
      <w:pPr>
        <w:pStyle w:val="BodyText"/>
        <w:spacing w:before="5"/>
        <w:rPr>
          <w:b w:val="0"/>
          <w:sz w:val="24"/>
        </w:rPr>
      </w:pPr>
    </w:p>
    <w:p>
      <w:pPr>
        <w:spacing w:before="75"/>
        <w:ind w:left="3634" w:right="24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272"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7</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3503"/>
        <w:rPr>
          <w:b w:val="0"/>
        </w:rPr>
      </w:pPr>
      <w:r>
        <w:rPr>
          <w:b w:val="0"/>
          <w:color w:val="231F20"/>
        </w:rPr>
        <w:t>L’article 33(2) demande aux États parties de désigner ou d’établir un dispositif indépendant tel qu’une institution nationale chargée des droits de l’homme, afin de promouvoir, de protéger et de suivre l’application de la CDPH. Cette structure</w:t>
      </w:r>
    </w:p>
    <w:p>
      <w:pPr>
        <w:pStyle w:val="BodyText"/>
        <w:spacing w:line="266" w:lineRule="auto"/>
        <w:ind w:left="113" w:right="2956"/>
        <w:rPr>
          <w:b w:val="0"/>
        </w:rPr>
      </w:pPr>
      <w:r>
        <w:rPr>
          <w:b w:val="0"/>
          <w:color w:val="231F20"/>
        </w:rPr>
        <w:t>indépendante peut être une commission nationale pour les droits de l’homme ou un conseil national pour le handicap. Lors de la désignation ou de l’établissement d’un tel mécanisme, les États parties doivent tenir compte des principes concernant le statut et le fonctionnement des institutions nationales de protection et de promotion des droits de l’homme, connus sous le nom de « Principes de Paris ».</w:t>
      </w:r>
    </w:p>
    <w:p>
      <w:pPr>
        <w:pStyle w:val="BodyText"/>
        <w:spacing w:line="266" w:lineRule="auto" w:before="114"/>
        <w:ind w:left="113" w:right="2956"/>
        <w:rPr>
          <w:b w:val="0"/>
        </w:rPr>
      </w:pPr>
      <w:r>
        <w:rPr>
          <w:b w:val="0"/>
          <w:color w:val="231F20"/>
        </w:rPr>
        <w:t>Les Principes de Paris sont un ensemble de lignes directrices fondamentales recommandées, adopté par l’Assemblée générale des Nations Unies en matière de statut et de fonctionnement des institutions nationales de protection et de promotion des droits de l’homme. En vertu des Principes de Paris, ces mécanismes doivent :</w:t>
      </w:r>
    </w:p>
    <w:p>
      <w:pPr>
        <w:pStyle w:val="BodyText"/>
        <w:spacing w:line="264" w:lineRule="auto" w:before="19"/>
        <w:ind w:left="793" w:right="2981" w:hanging="341"/>
        <w:rPr>
          <w:b w:val="0"/>
        </w:rPr>
      </w:pPr>
      <w:r>
        <w:rPr>
          <w:rFonts w:ascii="Arial" w:hAnsi="Arial"/>
          <w:color w:val="D19F2A"/>
          <w:sz w:val="26"/>
        </w:rPr>
        <w:t>► </w:t>
      </w:r>
      <w:r>
        <w:rPr>
          <w:b w:val="0"/>
          <w:color w:val="231F20"/>
        </w:rPr>
        <w:t>être indépendants du gouvernement, cette indépendance étant garantie par des dispositions soit législatives, soit constitutionnelles ;</w:t>
      </w:r>
    </w:p>
    <w:p>
      <w:pPr>
        <w:pStyle w:val="BodyText"/>
        <w:spacing w:before="21"/>
        <w:ind w:left="453"/>
        <w:rPr>
          <w:b w:val="0"/>
        </w:rPr>
      </w:pPr>
      <w:r>
        <w:rPr>
          <w:rFonts w:ascii="Arial" w:hAnsi="Arial"/>
          <w:color w:val="D19F2A"/>
          <w:sz w:val="26"/>
        </w:rPr>
        <w:t>► </w:t>
      </w:r>
      <w:r>
        <w:rPr>
          <w:b w:val="0"/>
          <w:color w:val="231F20"/>
        </w:rPr>
        <w:t>être pluralistes dans leurs rôles et leur composition ;</w:t>
      </w:r>
    </w:p>
    <w:p>
      <w:pPr>
        <w:pStyle w:val="BodyText"/>
        <w:spacing w:line="266" w:lineRule="auto" w:before="47"/>
        <w:ind w:left="793" w:right="2956" w:hanging="341"/>
        <w:rPr>
          <w:b w:val="0"/>
        </w:rPr>
      </w:pPr>
      <w:r>
        <w:rPr>
          <w:rFonts w:ascii="Arial" w:hAnsi="Arial"/>
          <w:color w:val="D19F2A"/>
          <w:sz w:val="26"/>
        </w:rPr>
        <w:t>► </w:t>
      </w:r>
      <w:r>
        <w:rPr>
          <w:b w:val="0"/>
          <w:color w:val="231F20"/>
        </w:rPr>
        <w:t>disposer d’un mandat aussi large que possible, capable, dans le contexte de la Convention, de promouvoir, protéger et suivre collectivement l’application de tous les aspects de la Convention, par différents moyens y compris la capacité de faire des recommandations et des propositions concernant les lois et politiques existantes et proposées ;</w:t>
      </w:r>
    </w:p>
    <w:p>
      <w:pPr>
        <w:pStyle w:val="BodyText"/>
        <w:spacing w:line="264" w:lineRule="auto" w:before="19"/>
        <w:ind w:left="793" w:right="2956" w:hanging="341"/>
        <w:rPr>
          <w:b w:val="0"/>
        </w:rPr>
      </w:pPr>
      <w:r>
        <w:rPr>
          <w:rFonts w:ascii="Arial" w:hAnsi="Arial"/>
          <w:color w:val="D19F2A"/>
          <w:sz w:val="26"/>
        </w:rPr>
        <w:t>► </w:t>
      </w:r>
      <w:r>
        <w:rPr>
          <w:b w:val="0"/>
          <w:color w:val="231F20"/>
        </w:rPr>
        <w:t>disposer de compétences adéquates en matière d’investigation, avec la capacité d’entendre les plaintes et de les transmettre aux autorités compétentes ;</w:t>
      </w:r>
    </w:p>
    <w:p>
      <w:pPr>
        <w:pStyle w:val="BodyText"/>
        <w:spacing w:before="21"/>
        <w:ind w:left="453"/>
        <w:rPr>
          <w:b w:val="0"/>
        </w:rPr>
      </w:pPr>
      <w:r>
        <w:rPr>
          <w:rFonts w:ascii="Arial" w:hAnsi="Arial"/>
          <w:color w:val="D19F2A"/>
          <w:sz w:val="26"/>
        </w:rPr>
        <w:t>► </w:t>
      </w:r>
      <w:r>
        <w:rPr>
          <w:b w:val="0"/>
          <w:color w:val="231F20"/>
        </w:rPr>
        <w:t>être caractérisés par un fonctionnement régulier et effectif ;</w:t>
      </w:r>
    </w:p>
    <w:p>
      <w:pPr>
        <w:pStyle w:val="BodyText"/>
        <w:spacing w:line="264" w:lineRule="auto" w:before="47"/>
        <w:ind w:left="793" w:right="3333" w:hanging="341"/>
        <w:rPr>
          <w:b w:val="0"/>
        </w:rPr>
      </w:pPr>
      <w:r>
        <w:rPr>
          <w:rFonts w:ascii="Arial" w:hAnsi="Arial"/>
          <w:color w:val="D19F2A"/>
          <w:sz w:val="26"/>
        </w:rPr>
        <w:t>► </w:t>
      </w:r>
      <w:r>
        <w:rPr>
          <w:b w:val="0"/>
          <w:color w:val="231F20"/>
        </w:rPr>
        <w:t>être financés de façon adéquate et ne pas être soumis à un contrôle financier susceptible d’affecter leur indépendance ; et</w:t>
      </w:r>
    </w:p>
    <w:p>
      <w:pPr>
        <w:pStyle w:val="BodyText"/>
        <w:spacing w:line="264" w:lineRule="auto" w:before="21"/>
        <w:ind w:left="793" w:right="2954" w:hanging="341"/>
        <w:rPr>
          <w:b w:val="0"/>
        </w:rPr>
      </w:pPr>
      <w:r>
        <w:rPr>
          <w:rFonts w:ascii="Arial" w:hAnsi="Arial"/>
          <w:color w:val="D19F2A"/>
          <w:sz w:val="26"/>
        </w:rPr>
        <w:t>► </w:t>
      </w:r>
      <w:r>
        <w:rPr>
          <w:b w:val="0"/>
          <w:color w:val="231F20"/>
        </w:rPr>
        <w:t>être accessibles au public et, dans le contexte de la Convention, en particulier aux personnes handicapées, y compris aux femmes et aux enfants handicapés, ainsi qu’à leurs organisations représentatives.</w:t>
      </w:r>
    </w:p>
    <w:p>
      <w:pPr>
        <w:spacing w:line="180" w:lineRule="exact" w:before="125"/>
        <w:ind w:left="113" w:right="2956" w:firstLine="0"/>
        <w:jc w:val="left"/>
        <w:rPr>
          <w:b w:val="0"/>
          <w:i/>
          <w:sz w:val="16"/>
        </w:rPr>
      </w:pPr>
      <w:r>
        <w:rPr>
          <w:b w:val="0"/>
          <w:i/>
          <w:color w:val="231F20"/>
          <w:sz w:val="16"/>
        </w:rPr>
        <w:t>Source : UNDESA, HCDH, UIP, Handbook for Parliamentarians: From Exclusion to Equality: realizing the rights of persons with </w:t>
      </w:r>
      <w:r>
        <w:rPr>
          <w:b w:val="0"/>
          <w:i/>
          <w:color w:val="231F20"/>
          <w:sz w:val="16"/>
        </w:rPr>
        <w:t>disabilities (2007)</w:t>
      </w:r>
    </w:p>
    <w:p>
      <w:pPr>
        <w:pStyle w:val="BodyText"/>
        <w:spacing w:before="4"/>
        <w:rPr>
          <w:b w:val="0"/>
          <w:i/>
        </w:rPr>
      </w:pPr>
      <w:r>
        <w:rPr/>
        <w:pict>
          <v:group style="position:absolute;margin-left:56.192902pt;margin-top:15.208187pt;width:395.05pt;height:209.9pt;mso-position-horizontal-relative:page;mso-position-vertical-relative:paragraph;z-index:2224;mso-wrap-distance-left:0;mso-wrap-distance-right:0" coordorigin="1124,304" coordsize="7901,4198">
            <v:rect style="position:absolute;left:1134;top:304;width:7880;height:363" filled="true" fillcolor="#d19f2a" stroked="false">
              <v:fill type="solid"/>
            </v:rect>
            <v:rect style="position:absolute;left:1134;top:668;width:7880;height:3824" filled="true" fillcolor="#f8f0e2" stroked="false">
              <v:fill type="solid"/>
            </v:rect>
            <v:line style="position:absolute" from="1134,4491" to="9014,4491" stroked="true" strokeweight="1pt" strokecolor="#d19f2a"/>
            <v:shape style="position:absolute;left:1124;top:304;width:7901;height:4198" type="#_x0000_t202" filled="false" stroked="false">
              <v:textbox inset="0,0,0,0">
                <w:txbxContent>
                  <w:p>
                    <w:pPr>
                      <w:spacing w:before="32"/>
                      <w:ind w:left="2046" w:right="2046" w:firstLine="0"/>
                      <w:jc w:val="center"/>
                      <w:rPr>
                        <w:rFonts w:ascii="Myriad Pro"/>
                        <w:b/>
                        <w:sz w:val="22"/>
                      </w:rPr>
                    </w:pPr>
                    <w:r>
                      <w:rPr>
                        <w:rFonts w:ascii="Myriad Pro"/>
                        <w:b/>
                        <w:color w:val="FFFFFF"/>
                        <w:sz w:val="22"/>
                      </w:rPr>
                      <w:t>Points de contact</w:t>
                    </w:r>
                  </w:p>
                  <w:p>
                    <w:pPr>
                      <w:spacing w:before="188"/>
                      <w:ind w:left="180" w:right="534" w:firstLine="0"/>
                      <w:jc w:val="left"/>
                      <w:rPr>
                        <w:rFonts w:ascii="Myriad Pro" w:hAnsi="Myriad Pro"/>
                        <w:sz w:val="20"/>
                      </w:rPr>
                    </w:pPr>
                    <w:r>
                      <w:rPr>
                        <w:rFonts w:ascii="Myriad Pro" w:hAnsi="Myriad Pro"/>
                        <w:color w:val="231F20"/>
                        <w:sz w:val="20"/>
                      </w:rPr>
                      <w:t>Les potentielles fonctions d’un cadre indépendant incluent, entre autres :</w:t>
                    </w:r>
                  </w:p>
                  <w:p>
                    <w:pPr>
                      <w:spacing w:before="56"/>
                      <w:ind w:left="803"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le suivi de la mise en œuvre des obligations des États parties et la préparation d’un rapport régulier ;</w:t>
                    </w:r>
                  </w:p>
                  <w:p>
                    <w:pPr>
                      <w:spacing w:before="56"/>
                      <w:ind w:left="803" w:right="229" w:hanging="284"/>
                      <w:jc w:val="left"/>
                      <w:rPr>
                        <w:rFonts w:ascii="Myriad Pro" w:hAnsi="Myriad Pro"/>
                        <w:sz w:val="20"/>
                      </w:rPr>
                    </w:pPr>
                    <w:r>
                      <w:rPr>
                        <w:rFonts w:ascii="Arial" w:hAnsi="Arial"/>
                        <w:color w:val="231F20"/>
                        <w:w w:val="120"/>
                        <w:sz w:val="20"/>
                      </w:rPr>
                      <w:t>z </w:t>
                    </w:r>
                    <w:r>
                      <w:rPr>
                        <w:rFonts w:ascii="Myriad Pro" w:hAnsi="Myriad Pro"/>
                        <w:color w:val="231F20"/>
                        <w:sz w:val="20"/>
                      </w:rPr>
                      <w:t>l’émission de recommandations au gouvernement sur des sujets relatifs aux droits et à l’intégration des personnes handicapées, notamment sur des questions de législations et de politiques ;</w:t>
                    </w:r>
                  </w:p>
                  <w:p>
                    <w:pPr>
                      <w:spacing w:before="56"/>
                      <w:ind w:left="519" w:right="143"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 promotion de l’harmonisation des lois et politiques nationales avec la CDPH ;</w:t>
                    </w:r>
                  </w:p>
                  <w:p>
                    <w:pPr>
                      <w:spacing w:before="56"/>
                      <w:ind w:left="519" w:right="534"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l’examen des plaintes individuelles ;</w:t>
                    </w:r>
                  </w:p>
                  <w:p>
                    <w:pPr>
                      <w:spacing w:before="56"/>
                      <w:ind w:left="802"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la préparation de rapports alternatifs au Comité de la CDPH, à l’Examen périodique universel et à d’autres mécanismes de suivi internationaux ;</w:t>
                    </w:r>
                  </w:p>
                  <w:p>
                    <w:pPr>
                      <w:spacing w:before="56"/>
                      <w:ind w:left="802" w:right="555" w:hanging="284"/>
                      <w:jc w:val="left"/>
                      <w:rPr>
                        <w:rFonts w:ascii="Myriad Pro" w:hAnsi="Myriad Pro"/>
                        <w:sz w:val="20"/>
                      </w:rPr>
                    </w:pPr>
                    <w:r>
                      <w:rPr>
                        <w:rFonts w:ascii="Arial" w:hAnsi="Arial"/>
                        <w:color w:val="231F20"/>
                        <w:w w:val="120"/>
                        <w:sz w:val="20"/>
                      </w:rPr>
                      <w:t>z </w:t>
                    </w:r>
                    <w:r>
                      <w:rPr>
                        <w:rFonts w:ascii="Myriad Pro" w:hAnsi="Myriad Pro"/>
                        <w:color w:val="231F20"/>
                        <w:sz w:val="20"/>
                      </w:rPr>
                      <w:t>l’engagement dans des activités de sensibilisation du public aux droits des personnes handicapées et dans des efforts de lutte contre la discrimination ; et</w:t>
                    </w:r>
                  </w:p>
                  <w:p>
                    <w:pPr>
                      <w:spacing w:before="56"/>
                      <w:ind w:left="518" w:right="-14"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 participation à l’élaboration de programmes d’éducation aux droits de l’homme.</w:t>
                    </w:r>
                  </w:p>
                </w:txbxContent>
              </v:textbox>
              <w10:wrap type="none"/>
            </v:shape>
            <w10:wrap type="topAndBottom"/>
          </v:group>
        </w:pict>
      </w: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spacing w:line="192" w:lineRule="exact" w:before="75"/>
        <w:ind w:left="310" w:right="0"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187" w:right="0"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1904"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963;top:6840;width:176;height:288" type="#_x0000_t75" stroked="false">
              <v:imagedata r:id="rId18" o:title=""/>
            </v:shape>
            <v:shape style="position:absolute;left:957;top:5971;width:1128;height:1298" coordorigin="957,5971" coordsize="1128,1298" path="m2079,6430l2079,6431,2080,6433,2080,6434,2081,6433,2082,6436,2082,6440,2083,6443,2083,6446,2083,6450,2084,6452,2084,6458,2084,6458,2084,6458,2084,6462,2078,6473,2077,6477,2072,6488,2065,6504,2057,6520,2050,6534,2045,6547,2037,6556,2029,6567,2021,6579,2021,6581,2011,6590,1988,6609,1976,6620,1967,6627,1958,6636,1947,6650,1937,6662,1927,6673,1917,6685,1883,6751,1881,6757,1884,6756,1887,6760,1893,6769,1890,6786,1891,6797,1894,6811,1899,6819,1904,6826,1909,6834,1910,6838,1908,6854,1908,6860,1909,6879,1910,6898,1907,6916,1900,6932,1890,6943,1877,6950,1864,6957,1851,6965,1846,6968,1837,6980,1830,6986,1828,6988,1826,6990,1823,6992,1818,6997,1814,7002,1809,7005,1811,7015,1816,7031,1819,7050,1818,7074,1816,7086,1808,7087,1797,7092,1793,7095,1788,7097,1784,7099,1779,7102,1776,7105,1772,7107,1774,7115,1775,7118,1775,7124,1771,7138,1764,7153,1756,7162,1748,7171,1739,7184,1733,7194,1727,7201,1721,7208,1712,7216,1705,7223,1678,7246,1676,7248,1650,7254,1637,7256,1618,7256,1600,7258,1583,7263,1567,7268,1552,7269,1546,7268,1544,7264,1541,7260,1536,7254,1537,7257,1535,7247,1534,7242,1532,7235,1533,7231,1534,7224,1535,7219,1533,7213,1530,7204,1524,7196,1520,7187,1516,7177,1512,7168,1507,7160,1502,7151,1496,7147,1491,7137,1487,7123,1483,7105,1480,7088,1479,7072,1476,7053,1472,7041,1466,7030,1459,7014,1455,7005,1451,6995,1446,6987,1440,6976,1436,6977,1434,6960,1448,6887,1472,6856,1467,6840,1464,6831,1458,6822,1456,6813,1456,6806,1458,6801,1458,6794,1433,6728,1412,6702,1400,6689,1390,6674,1385,6655,1389,6653,1389,6653,1394,6653,1395,6648,1394,6645,1395,6639,1396,6628,1399,6616,1401,6604,1404,6595,1365,6563,1359,6565,1352,6568,1345,6570,1336,6566,1326,6550,1323,6545,1320,6536,1316,6532,1311,6531,1287,6532,1281,6533,1273,6535,1262,6540,1253,6543,1235,6551,1223,6557,1212,6559,1198,6558,1180,6554,1166,6554,1152,6557,1136,6562,1123,6566,1120,6570,1107,6564,1090,6554,1076,6542,1061,6529,1043,6517,1037,6513,1027,6504,1025,6498,1021,6488,1024,6477,1015,6469,1006,6460,1007,6465,997,6451,983,6435,974,6428,969,6422,969,6405,969,6393,964,6389,957,6379,959,6377,964,6374,966,6372,975,6362,977,6348,980,6335,982,6321,980,6308,978,6298,977,6293,979,6288,981,6286,981,6279,972,6273,969,6264,970,6255,1002,6207,1006,6201,1009,6195,1009,6189,1012,6183,1019,6171,1028,6165,1035,6154,1040,6145,1037,6147,1048,6142,1053,6140,1060,6138,1066,6135,1075,6130,1087,6119,1092,6110,1094,6103,1094,6096,1095,6085,1100,6069,1107,6052,1110,6050,1126,6043,1143,6032,1151,6021,1155,6011,1161,6003,1167,5998,1171,6005,1176,6008,1183,6012,1189,6011,1197,6011,1206,6010,1212,6013,1221,6013,1229,6013,1231,6008,1238,6004,1255,5996,1276,5989,1299,5984,1318,5983,1325,5983,1333,5985,1341,5983,1350,5981,1351,5980,1362,5980,1380,5980,1387,5979,1389,5978,1396,5975,1413,5971,1405,5977,1415,5979,1419,5980,1422,5981,1425,5983,1423,5987,1417,5993,1417,5998,1420,6001,1429,6011,1424,6018,1420,6024,1412,6027,1410,6035,1414,6039,1422,6042,1427,6045,1433,6049,1438,6051,1447,6053,1458,6054,1469,6056,1480,6059,1489,6065,1494,6072,1493,6077,1501,6081,1510,6083,1517,6085,1527,6087,1542,6095,1548,6099,1558,6100,1563,6094,1564,6087,1562,6083,1561,6076,1564,6066,1573,6058,1586,6053,1598,6054,1609,6057,1616,6064,1626,6067,1632,6070,1637,6069,1642,6072,1654,6077,1666,6080,1679,6082,1691,6085,1696,6087,1703,6089,1708,6089,1716,6090,1717,6085,1722,6082,1733,6075,1741,6076,1754,6080,1771,6085,1774,6084,1790,6081,1797,6099,1801,6111,1801,6123,1796,6143,1794,6147,1784,6146,1787,6157,1795,6173,1803,6188,1809,6200,1816,6213,1817,6207,1822,6214,1820,6224,1820,6229,1825,6235,1836,6243,1843,6249,1839,6245,1843,6253,1846,6267,1870,6318,1875,6326,1884,6349,1890,6363,1897,6371,1905,6376,1916,6384,1955,6426,1953,6431,1951,6439,1951,6437,1955,6442,1968,6455,1975,6457,1984,6453,2000,6450,2012,6449,2014,6444,2027,6442,2075,6425,2079,6430xe" filled="false" stroked="true" strokeweight="2.726pt" strokecolor="#d19f2a">
              <v:path arrowok="t"/>
            </v:shape>
            <v:shape style="position:absolute;left:1757;top:16142;width:908;height:321" type="#_x0000_t202" filled="true" fillcolor="#d19f2a" stroked="false">
              <v:textbox inset="0,0,0,0">
                <w:txbxContent>
                  <w:p>
                    <w:pPr>
                      <w:spacing w:line="310" w:lineRule="exact" w:before="10"/>
                      <w:ind w:left="0" w:right="54" w:firstLine="0"/>
                      <w:jc w:val="right"/>
                      <w:rPr>
                        <w:rFonts w:ascii="Myriad Pro"/>
                        <w:sz w:val="26"/>
                      </w:rPr>
                    </w:pPr>
                    <w:r>
                      <w:rPr>
                        <w:rFonts w:ascii="Myriad Pro"/>
                        <w:color w:val="FFFFFF"/>
                        <w:sz w:val="26"/>
                      </w:rPr>
                      <w:t>8</w:t>
                    </w:r>
                  </w:p>
                </w:txbxContent>
              </v:textbox>
              <v:fill type="solid"/>
              <w10:wrap type="none"/>
            </v:shape>
            <w10:wrap type="none"/>
          </v:group>
        </w:pict>
      </w:r>
    </w:p>
    <w:p>
      <w:pPr>
        <w:spacing w:before="75"/>
        <w:ind w:left="2892" w:right="105"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105"/>
        <w:rPr>
          <w:b w:val="0"/>
        </w:rPr>
      </w:pPr>
      <w:r>
        <w:rPr>
          <w:b w:val="0"/>
          <w:color w:val="231F20"/>
        </w:rPr>
        <w:t>L’article 33(3) demande aussi que la société civile, notamment les personnes handicapées et les organisations qui les représentent, soit impliquée et participe pleinement à</w:t>
      </w:r>
    </w:p>
    <w:p>
      <w:pPr>
        <w:pStyle w:val="BodyText"/>
        <w:spacing w:line="266" w:lineRule="auto"/>
        <w:ind w:left="2891" w:right="562"/>
        <w:rPr>
          <w:b w:val="0"/>
        </w:rPr>
      </w:pPr>
      <w:r>
        <w:rPr>
          <w:b w:val="0"/>
          <w:color w:val="231F20"/>
        </w:rPr>
        <w:t>tous les aspects du suivi. Les OPH ont donc un rôle important à jouer dans le suivi de l’application de la CDPH au niveau national, que ce soit en participant aux efforts de suivi gouvernementaux ou en menant des efforts de suivi en parallèle ou de façon indépendante.</w:t>
      </w:r>
    </w:p>
    <w:p>
      <w:pPr>
        <w:pStyle w:val="BodyText"/>
        <w:spacing w:line="266" w:lineRule="auto" w:before="114"/>
        <w:ind w:left="2891" w:right="105"/>
        <w:rPr>
          <w:b w:val="0"/>
          <w:sz w:val="13"/>
        </w:rPr>
      </w:pPr>
      <w:r>
        <w:rPr>
          <w:b w:val="0"/>
          <w:color w:val="231F20"/>
        </w:rPr>
        <w:t>D’autres mécanismes nationaux sont aussi concernés si l’on veut parvenir à une application et un suivi efficaces. Par exemple, les tribunaux nationaux et les Ombudsmen (défenseurs des droits) peuvent jouer un rôle essentiel dans l’application domestique des dispositions de la CDPH.</w:t>
      </w:r>
      <w:r>
        <w:rPr>
          <w:b w:val="0"/>
          <w:color w:val="231F20"/>
          <w:position w:val="7"/>
          <w:sz w:val="13"/>
        </w:rPr>
        <w:t>2 </w:t>
      </w:r>
      <w:r>
        <w:rPr>
          <w:b w:val="0"/>
          <w:color w:val="231F20"/>
        </w:rPr>
        <w:t>Dans de nombreux pays, les parlementaires peuvent aussi faire progresser l’application. En termes de suivi, les processus qui supervisent l’application d’autres mesures pertinentes, telles que les plans d’action relatifs aux droits de l’homme ou au développement, offrent des moyens supplémentaires de suivre l’application des dispositions de la CDPH.</w:t>
      </w:r>
      <w:r>
        <w:rPr>
          <w:b w:val="0"/>
          <w:color w:val="231F20"/>
          <w:position w:val="7"/>
          <w:sz w:val="13"/>
        </w:rPr>
        <w:t>3</w:t>
      </w:r>
    </w:p>
    <w:p>
      <w:pPr>
        <w:pStyle w:val="BodyText"/>
        <w:spacing w:before="1"/>
        <w:rPr>
          <w:b w:val="0"/>
          <w:sz w:val="23"/>
        </w:rPr>
      </w:pPr>
      <w:r>
        <w:rPr/>
        <w:pict>
          <v:group style="position:absolute;margin-left:144.066895pt;margin-top:15.666759pt;width:394.05pt;height:333.55pt;mso-position-horizontal-relative:page;mso-position-vertical-relative:paragraph;z-index:2320;mso-wrap-distance-left:0;mso-wrap-distance-right:0" coordorigin="2881,313" coordsize="7881,6671">
            <v:rect style="position:absolute;left:2891;top:323;width:7860;height:6651" filled="true" fillcolor="#e6e7e8" stroked="false">
              <v:fill type="solid"/>
            </v:rect>
            <v:rect style="position:absolute;left:2891;top:313;width:7860;height:20" filled="true" fillcolor="#231f20" stroked="false">
              <v:fill type="solid"/>
            </v:rect>
            <v:line style="position:absolute" from="2891,6974" to="10752,6974" stroked="true" strokeweight="1pt" strokecolor="#231f20"/>
            <v:shape style="position:absolute;left:2891;top:323;width:7861;height:6651" type="#_x0000_t202" filled="false" stroked="false">
              <v:textbox inset="0,0,0,0">
                <w:txbxContent>
                  <w:p>
                    <w:pPr>
                      <w:spacing w:before="61"/>
                      <w:ind w:left="2435" w:right="95" w:firstLine="0"/>
                      <w:jc w:val="left"/>
                      <w:rPr>
                        <w:rFonts w:ascii="Myriad Pro"/>
                        <w:b/>
                        <w:sz w:val="22"/>
                      </w:rPr>
                    </w:pPr>
                    <w:r>
                      <w:rPr>
                        <w:rFonts w:ascii="Myriad Pro"/>
                        <w:b/>
                        <w:color w:val="231F20"/>
                        <w:sz w:val="22"/>
                      </w:rPr>
                      <w:t>Point sur la situation nationale</w:t>
                    </w:r>
                  </w:p>
                  <w:p>
                    <w:pPr>
                      <w:spacing w:before="51"/>
                      <w:ind w:left="703" w:right="95" w:hanging="284"/>
                      <w:jc w:val="left"/>
                      <w:rPr>
                        <w:rFonts w:ascii="Myriad Pro" w:hAnsi="Myriad Pro"/>
                        <w:sz w:val="20"/>
                      </w:rPr>
                    </w:pPr>
                    <w:r>
                      <w:rPr>
                        <w:rFonts w:ascii="Arial" w:hAnsi="Arial"/>
                        <w:color w:val="231F20"/>
                        <w:w w:val="120"/>
                        <w:sz w:val="20"/>
                      </w:rPr>
                      <w:t>z </w:t>
                    </w:r>
                    <w:r>
                      <w:rPr>
                        <w:rFonts w:ascii="Myriad Pro" w:hAnsi="Myriad Pro"/>
                        <w:color w:val="231F20"/>
                        <w:sz w:val="20"/>
                      </w:rPr>
                      <w:t>Un point de contact a-t-il été désigné au sein du gouvernement pour l’application de la CDPH ?</w:t>
                    </w:r>
                  </w:p>
                  <w:p>
                    <w:pPr>
                      <w:spacing w:before="113"/>
                      <w:ind w:left="703" w:right="95" w:hanging="284"/>
                      <w:jc w:val="left"/>
                      <w:rPr>
                        <w:rFonts w:ascii="Myriad Pro" w:hAnsi="Myriad Pro"/>
                        <w:sz w:val="20"/>
                      </w:rPr>
                    </w:pPr>
                    <w:r>
                      <w:rPr>
                        <w:rFonts w:ascii="Arial" w:hAnsi="Arial"/>
                        <w:color w:val="231F20"/>
                        <w:w w:val="120"/>
                        <w:sz w:val="20"/>
                      </w:rPr>
                      <w:t>z </w:t>
                    </w:r>
                    <w:r>
                      <w:rPr>
                        <w:rFonts w:ascii="Myriad Pro" w:hAnsi="Myriad Pro"/>
                        <w:color w:val="231F20"/>
                        <w:sz w:val="20"/>
                      </w:rPr>
                      <w:t>Un mécanisme de coordination a-t-il été mis en place pour coordonner les mesures concernant le handicap ?</w:t>
                    </w:r>
                  </w:p>
                  <w:p>
                    <w:pPr>
                      <w:spacing w:before="113"/>
                      <w:ind w:left="419" w:right="95"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Un mécanisme de suivi indépendant a-t-il été conçu ?</w:t>
                    </w:r>
                  </w:p>
                  <w:p>
                    <w:pPr>
                      <w:spacing w:before="113"/>
                      <w:ind w:left="702"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Votre gouvernement a-t-il établi un plan d’application de la CDPH ? Si oui, ce plan est-il entré en vigueur ?</w:t>
                    </w:r>
                  </w:p>
                  <w:p>
                    <w:pPr>
                      <w:spacing w:before="113"/>
                      <w:ind w:left="419" w:right="95"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Le suivi de l’application de la CDPH a-t-il lieu en pratique ?</w:t>
                    </w:r>
                  </w:p>
                  <w:p>
                    <w:pPr>
                      <w:spacing w:before="113"/>
                      <w:ind w:left="702" w:right="95" w:hanging="284"/>
                      <w:jc w:val="left"/>
                      <w:rPr>
                        <w:rFonts w:ascii="Myriad Pro" w:hAnsi="Myriad Pro"/>
                        <w:sz w:val="20"/>
                      </w:rPr>
                    </w:pPr>
                    <w:r>
                      <w:rPr>
                        <w:rFonts w:ascii="Arial" w:hAnsi="Arial"/>
                        <w:color w:val="231F20"/>
                        <w:w w:val="120"/>
                        <w:sz w:val="20"/>
                      </w:rPr>
                      <w:t>z </w:t>
                    </w:r>
                    <w:r>
                      <w:rPr>
                        <w:rFonts w:ascii="Myriad Pro" w:hAnsi="Myriad Pro"/>
                        <w:color w:val="231F20"/>
                        <w:sz w:val="20"/>
                      </w:rPr>
                      <w:t>L’entité chargée du suivi dispose-t-elle des ressources suffisantes pour mener à bien son mandat en vertu de la CDPH ?</w:t>
                    </w:r>
                  </w:p>
                  <w:p>
                    <w:pPr>
                      <w:spacing w:before="113"/>
                      <w:ind w:left="702" w:right="287" w:hanging="284"/>
                      <w:jc w:val="left"/>
                      <w:rPr>
                        <w:rFonts w:ascii="Myriad Pro" w:hAnsi="Myriad Pro"/>
                        <w:sz w:val="20"/>
                      </w:rPr>
                    </w:pPr>
                    <w:r>
                      <w:rPr>
                        <w:rFonts w:ascii="Arial" w:hAnsi="Arial"/>
                        <w:color w:val="231F20"/>
                        <w:w w:val="120"/>
                        <w:sz w:val="20"/>
                      </w:rPr>
                      <w:t>z </w:t>
                    </w:r>
                    <w:r>
                      <w:rPr>
                        <w:rFonts w:ascii="Myriad Pro" w:hAnsi="Myriad Pro"/>
                        <w:color w:val="231F20"/>
                        <w:w w:val="105"/>
                        <w:sz w:val="20"/>
                      </w:rPr>
                      <w:t>Les</w:t>
                    </w:r>
                    <w:r>
                      <w:rPr>
                        <w:rFonts w:ascii="Myriad Pro" w:hAnsi="Myriad Pro"/>
                        <w:color w:val="231F20"/>
                        <w:spacing w:val="-24"/>
                        <w:w w:val="105"/>
                        <w:sz w:val="20"/>
                      </w:rPr>
                      <w:t> </w:t>
                    </w:r>
                    <w:r>
                      <w:rPr>
                        <w:rFonts w:ascii="Myriad Pro" w:hAnsi="Myriad Pro"/>
                        <w:color w:val="231F20"/>
                        <w:w w:val="105"/>
                        <w:sz w:val="20"/>
                      </w:rPr>
                      <w:t>personnes</w:t>
                    </w:r>
                    <w:r>
                      <w:rPr>
                        <w:rFonts w:ascii="Myriad Pro" w:hAnsi="Myriad Pro"/>
                        <w:color w:val="231F20"/>
                        <w:spacing w:val="-24"/>
                        <w:w w:val="105"/>
                        <w:sz w:val="20"/>
                      </w:rPr>
                      <w:t> </w:t>
                    </w:r>
                    <w:r>
                      <w:rPr>
                        <w:rFonts w:ascii="Myriad Pro" w:hAnsi="Myriad Pro"/>
                        <w:color w:val="231F20"/>
                        <w:w w:val="105"/>
                        <w:sz w:val="20"/>
                      </w:rPr>
                      <w:t>handicapées</w:t>
                    </w:r>
                    <w:r>
                      <w:rPr>
                        <w:rFonts w:ascii="Myriad Pro" w:hAnsi="Myriad Pro"/>
                        <w:color w:val="231F20"/>
                        <w:spacing w:val="-24"/>
                        <w:w w:val="105"/>
                        <w:sz w:val="20"/>
                      </w:rPr>
                      <w:t> </w:t>
                    </w:r>
                    <w:r>
                      <w:rPr>
                        <w:rFonts w:ascii="Myriad Pro" w:hAnsi="Myriad Pro"/>
                        <w:color w:val="231F20"/>
                        <w:w w:val="105"/>
                        <w:sz w:val="20"/>
                      </w:rPr>
                      <w:t>et</w:t>
                    </w:r>
                    <w:r>
                      <w:rPr>
                        <w:rFonts w:ascii="Myriad Pro" w:hAnsi="Myriad Pro"/>
                        <w:color w:val="231F20"/>
                        <w:spacing w:val="-24"/>
                        <w:w w:val="105"/>
                        <w:sz w:val="20"/>
                      </w:rPr>
                      <w:t> </w:t>
                    </w:r>
                    <w:r>
                      <w:rPr>
                        <w:rFonts w:ascii="Myriad Pro" w:hAnsi="Myriad Pro"/>
                        <w:color w:val="231F20"/>
                        <w:w w:val="105"/>
                        <w:sz w:val="20"/>
                      </w:rPr>
                      <w:t>les</w:t>
                    </w:r>
                    <w:r>
                      <w:rPr>
                        <w:rFonts w:ascii="Myriad Pro" w:hAnsi="Myriad Pro"/>
                        <w:color w:val="231F20"/>
                        <w:spacing w:val="-24"/>
                        <w:w w:val="105"/>
                        <w:sz w:val="20"/>
                      </w:rPr>
                      <w:t> </w:t>
                    </w:r>
                    <w:r>
                      <w:rPr>
                        <w:rFonts w:ascii="Myriad Pro" w:hAnsi="Myriad Pro"/>
                        <w:color w:val="231F20"/>
                        <w:w w:val="105"/>
                        <w:sz w:val="20"/>
                      </w:rPr>
                      <w:t>OPH</w:t>
                    </w:r>
                    <w:r>
                      <w:rPr>
                        <w:rFonts w:ascii="Myriad Pro" w:hAnsi="Myriad Pro"/>
                        <w:color w:val="231F20"/>
                        <w:spacing w:val="-24"/>
                        <w:w w:val="105"/>
                        <w:sz w:val="20"/>
                      </w:rPr>
                      <w:t> </w:t>
                    </w:r>
                    <w:r>
                      <w:rPr>
                        <w:rFonts w:ascii="Myriad Pro" w:hAnsi="Myriad Pro"/>
                        <w:color w:val="231F20"/>
                        <w:w w:val="105"/>
                        <w:sz w:val="20"/>
                      </w:rPr>
                      <w:t>sont-elles</w:t>
                    </w:r>
                    <w:r>
                      <w:rPr>
                        <w:rFonts w:ascii="Myriad Pro" w:hAnsi="Myriad Pro"/>
                        <w:color w:val="231F20"/>
                        <w:spacing w:val="-24"/>
                        <w:w w:val="105"/>
                        <w:sz w:val="20"/>
                      </w:rPr>
                      <w:t> </w:t>
                    </w:r>
                    <w:r>
                      <w:rPr>
                        <w:rFonts w:ascii="Myriad Pro" w:hAnsi="Myriad Pro"/>
                        <w:color w:val="231F20"/>
                        <w:w w:val="105"/>
                        <w:sz w:val="20"/>
                      </w:rPr>
                      <w:t>consultées</w:t>
                    </w:r>
                    <w:r>
                      <w:rPr>
                        <w:rFonts w:ascii="Myriad Pro" w:hAnsi="Myriad Pro"/>
                        <w:color w:val="231F20"/>
                        <w:spacing w:val="-24"/>
                        <w:w w:val="105"/>
                        <w:sz w:val="20"/>
                      </w:rPr>
                      <w:t> </w:t>
                    </w:r>
                    <w:r>
                      <w:rPr>
                        <w:rFonts w:ascii="Myriad Pro" w:hAnsi="Myriad Pro"/>
                        <w:color w:val="231F20"/>
                        <w:w w:val="105"/>
                        <w:sz w:val="20"/>
                      </w:rPr>
                      <w:t>pour</w:t>
                    </w:r>
                    <w:r>
                      <w:rPr>
                        <w:rFonts w:ascii="Myriad Pro" w:hAnsi="Myriad Pro"/>
                        <w:color w:val="231F20"/>
                        <w:spacing w:val="-24"/>
                        <w:w w:val="105"/>
                        <w:sz w:val="20"/>
                      </w:rPr>
                      <w:t> </w:t>
                    </w:r>
                    <w:r>
                      <w:rPr>
                        <w:rFonts w:ascii="Myriad Pro" w:hAnsi="Myriad Pro"/>
                        <w:color w:val="231F20"/>
                        <w:w w:val="105"/>
                        <w:sz w:val="20"/>
                      </w:rPr>
                      <w:t>l’application</w:t>
                    </w:r>
                    <w:r>
                      <w:rPr>
                        <w:rFonts w:ascii="Myriad Pro" w:hAnsi="Myriad Pro"/>
                        <w:color w:val="231F20"/>
                        <w:spacing w:val="-24"/>
                        <w:w w:val="105"/>
                        <w:sz w:val="20"/>
                      </w:rPr>
                      <w:t> </w:t>
                    </w:r>
                    <w:r>
                      <w:rPr>
                        <w:rFonts w:ascii="Myriad Pro" w:hAnsi="Myriad Pro"/>
                        <w:color w:val="231F20"/>
                        <w:w w:val="105"/>
                        <w:sz w:val="20"/>
                      </w:rPr>
                      <w:t>et</w:t>
                    </w:r>
                    <w:r>
                      <w:rPr>
                        <w:rFonts w:ascii="Myriad Pro" w:hAnsi="Myriad Pro"/>
                        <w:color w:val="231F20"/>
                        <w:spacing w:val="-24"/>
                        <w:w w:val="105"/>
                        <w:sz w:val="20"/>
                      </w:rPr>
                      <w:t> </w:t>
                    </w:r>
                    <w:r>
                      <w:rPr>
                        <w:rFonts w:ascii="Myriad Pro" w:hAnsi="Myriad Pro"/>
                        <w:color w:val="231F20"/>
                        <w:w w:val="105"/>
                        <w:sz w:val="20"/>
                      </w:rPr>
                      <w:t>le suivi</w:t>
                    </w:r>
                    <w:r>
                      <w:rPr>
                        <w:rFonts w:ascii="Myriad Pro" w:hAnsi="Myriad Pro"/>
                        <w:color w:val="231F20"/>
                        <w:spacing w:val="-26"/>
                        <w:w w:val="105"/>
                        <w:sz w:val="20"/>
                      </w:rPr>
                      <w:t> </w:t>
                    </w:r>
                    <w:r>
                      <w:rPr>
                        <w:rFonts w:ascii="Myriad Pro" w:hAnsi="Myriad Pro"/>
                        <w:color w:val="231F20"/>
                        <w:w w:val="105"/>
                        <w:sz w:val="20"/>
                      </w:rPr>
                      <w:t>?</w:t>
                    </w:r>
                  </w:p>
                  <w:p>
                    <w:pPr>
                      <w:spacing w:before="113"/>
                      <w:ind w:left="702" w:right="95" w:hanging="284"/>
                      <w:jc w:val="left"/>
                      <w:rPr>
                        <w:rFonts w:ascii="Myriad Pro" w:hAnsi="Myriad Pro"/>
                        <w:sz w:val="20"/>
                      </w:rPr>
                    </w:pPr>
                    <w:r>
                      <w:rPr>
                        <w:rFonts w:ascii="Arial" w:hAnsi="Arial"/>
                        <w:color w:val="231F20"/>
                        <w:w w:val="120"/>
                        <w:sz w:val="20"/>
                      </w:rPr>
                      <w:t>z </w:t>
                    </w:r>
                    <w:r>
                      <w:rPr>
                        <w:rFonts w:ascii="Myriad Pro" w:hAnsi="Myriad Pro"/>
                        <w:color w:val="231F20"/>
                        <w:sz w:val="20"/>
                      </w:rPr>
                      <w:t>En quoi la société civile, y compris les OPH, est-elle engagée dans le suivi des droits des personnes handicapées et de l’intégration du handicap dans le développement ?</w:t>
                    </w:r>
                  </w:p>
                  <w:p>
                    <w:pPr>
                      <w:spacing w:before="113"/>
                      <w:ind w:left="701"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Existe-t-il des barrières à la participation et à l’engagement des personnes handicapées et des OPH ? Si oui, quelles sont-elles ?</w:t>
                    </w:r>
                  </w:p>
                  <w:p>
                    <w:pPr>
                      <w:spacing w:before="113"/>
                      <w:ind w:left="701" w:right="227" w:hanging="284"/>
                      <w:jc w:val="left"/>
                      <w:rPr>
                        <w:rFonts w:ascii="Myriad Pro" w:hAnsi="Myriad Pro"/>
                        <w:sz w:val="20"/>
                      </w:rPr>
                    </w:pPr>
                    <w:r>
                      <w:rPr>
                        <w:rFonts w:ascii="Arial" w:hAnsi="Arial"/>
                        <w:color w:val="231F20"/>
                        <w:w w:val="120"/>
                        <w:sz w:val="20"/>
                      </w:rPr>
                      <w:t>z</w:t>
                    </w:r>
                    <w:r>
                      <w:rPr>
                        <w:rFonts w:ascii="Arial" w:hAnsi="Arial"/>
                        <w:color w:val="231F20"/>
                        <w:spacing w:val="-9"/>
                        <w:w w:val="120"/>
                        <w:sz w:val="20"/>
                      </w:rPr>
                      <w:t> </w:t>
                    </w:r>
                    <w:r>
                      <w:rPr>
                        <w:rFonts w:ascii="Myriad Pro" w:hAnsi="Myriad Pro"/>
                        <w:color w:val="231F20"/>
                        <w:w w:val="105"/>
                        <w:sz w:val="20"/>
                      </w:rPr>
                      <w:t>Quelles</w:t>
                    </w:r>
                    <w:r>
                      <w:rPr>
                        <w:rFonts w:ascii="Myriad Pro" w:hAnsi="Myriad Pro"/>
                        <w:color w:val="231F20"/>
                        <w:spacing w:val="-26"/>
                        <w:w w:val="105"/>
                        <w:sz w:val="20"/>
                      </w:rPr>
                      <w:t> </w:t>
                    </w:r>
                    <w:r>
                      <w:rPr>
                        <w:rFonts w:ascii="Myriad Pro" w:hAnsi="Myriad Pro"/>
                        <w:color w:val="231F20"/>
                        <w:w w:val="105"/>
                        <w:sz w:val="20"/>
                      </w:rPr>
                      <w:t>pourraient</w:t>
                    </w:r>
                    <w:r>
                      <w:rPr>
                        <w:rFonts w:ascii="Myriad Pro" w:hAnsi="Myriad Pro"/>
                        <w:color w:val="231F20"/>
                        <w:spacing w:val="-26"/>
                        <w:w w:val="105"/>
                        <w:sz w:val="20"/>
                      </w:rPr>
                      <w:t> </w:t>
                    </w:r>
                    <w:r>
                      <w:rPr>
                        <w:rFonts w:ascii="Myriad Pro" w:hAnsi="Myriad Pro"/>
                        <w:color w:val="231F20"/>
                        <w:w w:val="105"/>
                        <w:sz w:val="20"/>
                      </w:rPr>
                      <w:t>être</w:t>
                    </w:r>
                    <w:r>
                      <w:rPr>
                        <w:rFonts w:ascii="Myriad Pro" w:hAnsi="Myriad Pro"/>
                        <w:color w:val="231F20"/>
                        <w:spacing w:val="-26"/>
                        <w:w w:val="105"/>
                        <w:sz w:val="20"/>
                      </w:rPr>
                      <w:t> </w:t>
                    </w:r>
                    <w:r>
                      <w:rPr>
                        <w:rFonts w:ascii="Myriad Pro" w:hAnsi="Myriad Pro"/>
                        <w:color w:val="231F20"/>
                        <w:w w:val="105"/>
                        <w:sz w:val="20"/>
                      </w:rPr>
                      <w:t>les</w:t>
                    </w:r>
                    <w:r>
                      <w:rPr>
                        <w:rFonts w:ascii="Myriad Pro" w:hAnsi="Myriad Pro"/>
                        <w:color w:val="231F20"/>
                        <w:spacing w:val="-26"/>
                        <w:w w:val="105"/>
                        <w:sz w:val="20"/>
                      </w:rPr>
                      <w:t> </w:t>
                    </w:r>
                    <w:r>
                      <w:rPr>
                        <w:rFonts w:ascii="Myriad Pro" w:hAnsi="Myriad Pro"/>
                        <w:color w:val="231F20"/>
                        <w:w w:val="105"/>
                        <w:sz w:val="20"/>
                      </w:rPr>
                      <w:t>améliorations</w:t>
                    </w:r>
                    <w:r>
                      <w:rPr>
                        <w:rFonts w:ascii="Myriad Pro" w:hAnsi="Myriad Pro"/>
                        <w:color w:val="231F20"/>
                        <w:spacing w:val="-26"/>
                        <w:w w:val="105"/>
                        <w:sz w:val="20"/>
                      </w:rPr>
                      <w:t> </w:t>
                    </w:r>
                    <w:r>
                      <w:rPr>
                        <w:rFonts w:ascii="Myriad Pro" w:hAnsi="Myriad Pro"/>
                        <w:color w:val="231F20"/>
                        <w:w w:val="105"/>
                        <w:sz w:val="20"/>
                      </w:rPr>
                      <w:t>à</w:t>
                    </w:r>
                    <w:r>
                      <w:rPr>
                        <w:rFonts w:ascii="Myriad Pro" w:hAnsi="Myriad Pro"/>
                        <w:color w:val="231F20"/>
                        <w:spacing w:val="-26"/>
                        <w:w w:val="105"/>
                        <w:sz w:val="20"/>
                      </w:rPr>
                      <w:t> </w:t>
                    </w:r>
                    <w:r>
                      <w:rPr>
                        <w:rFonts w:ascii="Myriad Pro" w:hAnsi="Myriad Pro"/>
                        <w:color w:val="231F20"/>
                        <w:w w:val="105"/>
                        <w:sz w:val="20"/>
                      </w:rPr>
                      <w:t>apporter</w:t>
                    </w:r>
                    <w:r>
                      <w:rPr>
                        <w:rFonts w:ascii="Myriad Pro" w:hAnsi="Myriad Pro"/>
                        <w:color w:val="231F20"/>
                        <w:spacing w:val="-26"/>
                        <w:w w:val="105"/>
                        <w:sz w:val="20"/>
                      </w:rPr>
                      <w:t> </w:t>
                    </w:r>
                    <w:r>
                      <w:rPr>
                        <w:rFonts w:ascii="Myriad Pro" w:hAnsi="Myriad Pro"/>
                        <w:color w:val="231F20"/>
                        <w:w w:val="105"/>
                        <w:sz w:val="20"/>
                      </w:rPr>
                      <w:t>pour</w:t>
                    </w:r>
                    <w:r>
                      <w:rPr>
                        <w:rFonts w:ascii="Myriad Pro" w:hAnsi="Myriad Pro"/>
                        <w:color w:val="231F20"/>
                        <w:spacing w:val="-26"/>
                        <w:w w:val="105"/>
                        <w:sz w:val="20"/>
                      </w:rPr>
                      <w:t> </w:t>
                    </w:r>
                    <w:r>
                      <w:rPr>
                        <w:rFonts w:ascii="Myriad Pro" w:hAnsi="Myriad Pro"/>
                        <w:color w:val="231F20"/>
                        <w:w w:val="105"/>
                        <w:sz w:val="20"/>
                      </w:rPr>
                      <w:t>faciliter</w:t>
                    </w:r>
                    <w:r>
                      <w:rPr>
                        <w:rFonts w:ascii="Myriad Pro" w:hAnsi="Myriad Pro"/>
                        <w:color w:val="231F20"/>
                        <w:spacing w:val="-26"/>
                        <w:w w:val="105"/>
                        <w:sz w:val="20"/>
                      </w:rPr>
                      <w:t> </w:t>
                    </w:r>
                    <w:r>
                      <w:rPr>
                        <w:rFonts w:ascii="Myriad Pro" w:hAnsi="Myriad Pro"/>
                        <w:color w:val="231F20"/>
                        <w:w w:val="105"/>
                        <w:sz w:val="20"/>
                      </w:rPr>
                      <w:t>l’engagement</w:t>
                    </w:r>
                    <w:r>
                      <w:rPr>
                        <w:rFonts w:ascii="Myriad Pro" w:hAnsi="Myriad Pro"/>
                        <w:color w:val="231F20"/>
                        <w:spacing w:val="-26"/>
                        <w:w w:val="105"/>
                        <w:sz w:val="20"/>
                      </w:rPr>
                      <w:t> </w:t>
                    </w:r>
                    <w:r>
                      <w:rPr>
                        <w:rFonts w:ascii="Myriad Pro" w:hAnsi="Myriad Pro"/>
                        <w:color w:val="231F20"/>
                        <w:w w:val="105"/>
                        <w:sz w:val="20"/>
                      </w:rPr>
                      <w:t>des OPH</w:t>
                    </w:r>
                    <w:r>
                      <w:rPr>
                        <w:rFonts w:ascii="Myriad Pro" w:hAnsi="Myriad Pro"/>
                        <w:color w:val="231F20"/>
                        <w:spacing w:val="-25"/>
                        <w:w w:val="105"/>
                        <w:sz w:val="20"/>
                      </w:rPr>
                      <w:t> </w:t>
                    </w:r>
                    <w:r>
                      <w:rPr>
                        <w:rFonts w:ascii="Myriad Pro" w:hAnsi="Myriad Pro"/>
                        <w:color w:val="231F20"/>
                        <w:w w:val="105"/>
                        <w:sz w:val="20"/>
                      </w:rPr>
                      <w:t>?</w:t>
                    </w:r>
                  </w:p>
                  <w:p>
                    <w:pPr>
                      <w:spacing w:before="113"/>
                      <w:ind w:left="701" w:right="639" w:hanging="284"/>
                      <w:jc w:val="left"/>
                      <w:rPr>
                        <w:rFonts w:ascii="Myriad Pro" w:hAnsi="Myriad Pro"/>
                        <w:sz w:val="20"/>
                      </w:rPr>
                    </w:pPr>
                    <w:r>
                      <w:rPr>
                        <w:rFonts w:ascii="Arial" w:hAnsi="Arial"/>
                        <w:color w:val="231F20"/>
                        <w:w w:val="120"/>
                        <w:sz w:val="20"/>
                      </w:rPr>
                      <w:t>z </w:t>
                    </w:r>
                    <w:r>
                      <w:rPr>
                        <w:rFonts w:ascii="Myriad Pro" w:hAnsi="Myriad Pro"/>
                        <w:color w:val="231F20"/>
                        <w:sz w:val="20"/>
                      </w:rPr>
                      <w:t>La société civile représente-t-elle la diversité de la communauté des personnes handicapées ? Sinon, quels sont les groupes qui en sont exclus ? Comment pourraient-ils être impliqués ?</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8"/>
        </w:rPr>
      </w:pPr>
      <w:r>
        <w:rPr/>
        <w:pict>
          <v:line style="position:absolute;mso-position-horizontal-relative:page;mso-position-vertical-relative:paragraph;z-index:2344;mso-wrap-distance-left:0;mso-wrap-distance-right:0" from="144.566895pt,19.2139pt" to="243.779895pt,19.2139pt" stroked="true" strokeweight=".5pt" strokecolor="#231f20">
            <w10:wrap type="topAndBottom"/>
          </v:line>
        </w:pict>
      </w:r>
    </w:p>
    <w:p>
      <w:pPr>
        <w:tabs>
          <w:tab w:pos="3151" w:val="left" w:leader="none"/>
        </w:tabs>
        <w:spacing w:line="180" w:lineRule="exact" w:before="87"/>
        <w:ind w:left="3151" w:right="143" w:hanging="260"/>
        <w:jc w:val="left"/>
        <w:rPr>
          <w:b w:val="0"/>
          <w:sz w:val="17"/>
        </w:rPr>
      </w:pPr>
      <w:r>
        <w:rPr>
          <w:b w:val="0"/>
          <w:color w:val="231F20"/>
          <w:position w:val="6"/>
          <w:sz w:val="10"/>
        </w:rPr>
        <w:t>2</w:t>
        <w:tab/>
      </w:r>
      <w:r>
        <w:rPr>
          <w:b w:val="0"/>
          <w:color w:val="231F20"/>
          <w:sz w:val="17"/>
        </w:rPr>
        <w:t>Reportez-vous au module intitulé « Accès à la justice pour les personnes handicapées » pour</w:t>
      </w:r>
      <w:r>
        <w:rPr>
          <w:b w:val="0"/>
          <w:color w:val="231F20"/>
          <w:spacing w:val="-10"/>
          <w:sz w:val="17"/>
        </w:rPr>
        <w:t> </w:t>
      </w:r>
      <w:r>
        <w:rPr>
          <w:b w:val="0"/>
          <w:color w:val="231F20"/>
          <w:sz w:val="17"/>
        </w:rPr>
        <w:t>plus</w:t>
      </w:r>
      <w:r>
        <w:rPr>
          <w:b w:val="0"/>
          <w:color w:val="231F20"/>
          <w:spacing w:val="-1"/>
          <w:sz w:val="17"/>
        </w:rPr>
        <w:t> </w:t>
      </w:r>
      <w:r>
        <w:rPr>
          <w:b w:val="0"/>
          <w:color w:val="231F20"/>
          <w:sz w:val="17"/>
        </w:rPr>
        <w:t>d’informations sur le rôle des tribunaux</w:t>
      </w:r>
      <w:r>
        <w:rPr>
          <w:b w:val="0"/>
          <w:color w:val="231F20"/>
          <w:spacing w:val="-1"/>
          <w:sz w:val="17"/>
        </w:rPr>
        <w:t> </w:t>
      </w:r>
      <w:r>
        <w:rPr>
          <w:b w:val="0"/>
          <w:color w:val="231F20"/>
          <w:sz w:val="17"/>
        </w:rPr>
        <w:t>nationaux.</w:t>
      </w:r>
    </w:p>
    <w:p>
      <w:pPr>
        <w:tabs>
          <w:tab w:pos="3151" w:val="left" w:leader="none"/>
        </w:tabs>
        <w:spacing w:line="180" w:lineRule="exact" w:before="56"/>
        <w:ind w:left="3151" w:right="186" w:hanging="260"/>
        <w:jc w:val="left"/>
        <w:rPr>
          <w:b w:val="0"/>
          <w:sz w:val="17"/>
        </w:rPr>
      </w:pPr>
      <w:r>
        <w:rPr>
          <w:b w:val="0"/>
          <w:color w:val="231F20"/>
          <w:position w:val="6"/>
          <w:sz w:val="10"/>
        </w:rPr>
        <w:t>3</w:t>
        <w:tab/>
      </w:r>
      <w:r>
        <w:rPr>
          <w:b w:val="0"/>
          <w:color w:val="231F20"/>
          <w:spacing w:val="-3"/>
          <w:sz w:val="17"/>
        </w:rPr>
        <w:t>Les</w:t>
      </w:r>
      <w:r>
        <w:rPr>
          <w:b w:val="0"/>
          <w:color w:val="231F20"/>
          <w:spacing w:val="-11"/>
          <w:sz w:val="17"/>
        </w:rPr>
        <w:t> </w:t>
      </w:r>
      <w:r>
        <w:rPr>
          <w:b w:val="0"/>
          <w:color w:val="231F20"/>
          <w:sz w:val="17"/>
        </w:rPr>
        <w:t>efforts</w:t>
      </w:r>
      <w:r>
        <w:rPr>
          <w:b w:val="0"/>
          <w:color w:val="231F20"/>
          <w:spacing w:val="-11"/>
          <w:sz w:val="17"/>
        </w:rPr>
        <w:t> </w:t>
      </w:r>
      <w:r>
        <w:rPr>
          <w:b w:val="0"/>
          <w:color w:val="231F20"/>
          <w:sz w:val="17"/>
        </w:rPr>
        <w:t>de</w:t>
      </w:r>
      <w:r>
        <w:rPr>
          <w:b w:val="0"/>
          <w:color w:val="231F20"/>
          <w:spacing w:val="-11"/>
          <w:sz w:val="17"/>
        </w:rPr>
        <w:t> </w:t>
      </w:r>
      <w:r>
        <w:rPr>
          <w:b w:val="0"/>
          <w:color w:val="231F20"/>
          <w:sz w:val="17"/>
        </w:rPr>
        <w:t>suivi</w:t>
      </w:r>
      <w:r>
        <w:rPr>
          <w:b w:val="0"/>
          <w:color w:val="231F20"/>
          <w:spacing w:val="-11"/>
          <w:sz w:val="17"/>
        </w:rPr>
        <w:t> </w:t>
      </w:r>
      <w:r>
        <w:rPr>
          <w:b w:val="0"/>
          <w:color w:val="231F20"/>
          <w:sz w:val="17"/>
        </w:rPr>
        <w:t>d’application</w:t>
      </w:r>
      <w:r>
        <w:rPr>
          <w:b w:val="0"/>
          <w:color w:val="231F20"/>
          <w:spacing w:val="-11"/>
          <w:sz w:val="17"/>
        </w:rPr>
        <w:t> </w:t>
      </w:r>
      <w:r>
        <w:rPr>
          <w:b w:val="0"/>
          <w:color w:val="231F20"/>
          <w:spacing w:val="-3"/>
          <w:sz w:val="17"/>
        </w:rPr>
        <w:t>d’autres</w:t>
      </w:r>
      <w:r>
        <w:rPr>
          <w:b w:val="0"/>
          <w:color w:val="231F20"/>
          <w:spacing w:val="-11"/>
          <w:sz w:val="17"/>
        </w:rPr>
        <w:t> </w:t>
      </w:r>
      <w:r>
        <w:rPr>
          <w:b w:val="0"/>
          <w:color w:val="231F20"/>
          <w:sz w:val="17"/>
        </w:rPr>
        <w:t>traités</w:t>
      </w:r>
      <w:r>
        <w:rPr>
          <w:b w:val="0"/>
          <w:color w:val="231F20"/>
          <w:spacing w:val="-11"/>
          <w:sz w:val="17"/>
        </w:rPr>
        <w:t> </w:t>
      </w:r>
      <w:r>
        <w:rPr>
          <w:b w:val="0"/>
          <w:color w:val="231F20"/>
          <w:sz w:val="17"/>
        </w:rPr>
        <w:t>internationaux</w:t>
      </w:r>
      <w:r>
        <w:rPr>
          <w:b w:val="0"/>
          <w:color w:val="231F20"/>
          <w:spacing w:val="-11"/>
          <w:sz w:val="17"/>
        </w:rPr>
        <w:t> </w:t>
      </w:r>
      <w:r>
        <w:rPr>
          <w:b w:val="0"/>
          <w:color w:val="231F20"/>
          <w:sz w:val="17"/>
        </w:rPr>
        <w:t>pour</w:t>
      </w:r>
      <w:r>
        <w:rPr>
          <w:b w:val="0"/>
          <w:color w:val="231F20"/>
          <w:spacing w:val="-11"/>
          <w:sz w:val="17"/>
        </w:rPr>
        <w:t> </w:t>
      </w:r>
      <w:r>
        <w:rPr>
          <w:b w:val="0"/>
          <w:color w:val="231F20"/>
          <w:sz w:val="17"/>
        </w:rPr>
        <w:t>les</w:t>
      </w:r>
      <w:r>
        <w:rPr>
          <w:b w:val="0"/>
          <w:color w:val="231F20"/>
          <w:spacing w:val="-11"/>
          <w:sz w:val="17"/>
        </w:rPr>
        <w:t> </w:t>
      </w:r>
      <w:r>
        <w:rPr>
          <w:b w:val="0"/>
          <w:color w:val="231F20"/>
          <w:spacing w:val="-2"/>
          <w:sz w:val="17"/>
        </w:rPr>
        <w:t>droits</w:t>
      </w:r>
      <w:r>
        <w:rPr>
          <w:b w:val="0"/>
          <w:color w:val="231F20"/>
          <w:spacing w:val="-11"/>
          <w:sz w:val="17"/>
        </w:rPr>
        <w:t> </w:t>
      </w:r>
      <w:r>
        <w:rPr>
          <w:b w:val="0"/>
          <w:color w:val="231F20"/>
          <w:sz w:val="17"/>
        </w:rPr>
        <w:t>de</w:t>
      </w:r>
      <w:r>
        <w:rPr>
          <w:b w:val="0"/>
          <w:color w:val="231F20"/>
          <w:spacing w:val="-11"/>
          <w:sz w:val="17"/>
        </w:rPr>
        <w:t> </w:t>
      </w:r>
      <w:r>
        <w:rPr>
          <w:b w:val="0"/>
          <w:color w:val="231F20"/>
          <w:sz w:val="17"/>
        </w:rPr>
        <w:t>l’homme,</w:t>
      </w:r>
      <w:r>
        <w:rPr>
          <w:b w:val="0"/>
          <w:color w:val="231F20"/>
          <w:spacing w:val="-11"/>
          <w:sz w:val="17"/>
        </w:rPr>
        <w:t> </w:t>
      </w:r>
      <w:r>
        <w:rPr>
          <w:b w:val="0"/>
          <w:color w:val="231F20"/>
          <w:sz w:val="17"/>
        </w:rPr>
        <w:t>tels</w:t>
      </w:r>
      <w:r>
        <w:rPr>
          <w:b w:val="0"/>
          <w:color w:val="231F20"/>
          <w:spacing w:val="-11"/>
          <w:sz w:val="17"/>
        </w:rPr>
        <w:t> </w:t>
      </w:r>
      <w:r>
        <w:rPr>
          <w:b w:val="0"/>
          <w:color w:val="231F20"/>
          <w:sz w:val="17"/>
        </w:rPr>
        <w:t>que</w:t>
      </w:r>
      <w:r>
        <w:rPr>
          <w:b w:val="0"/>
          <w:color w:val="231F20"/>
          <w:spacing w:val="-11"/>
          <w:sz w:val="17"/>
        </w:rPr>
        <w:t> </w:t>
      </w:r>
      <w:r>
        <w:rPr>
          <w:b w:val="0"/>
          <w:color w:val="231F20"/>
          <w:sz w:val="17"/>
        </w:rPr>
        <w:t>la</w:t>
      </w:r>
      <w:r>
        <w:rPr>
          <w:b w:val="0"/>
          <w:color w:val="231F20"/>
          <w:spacing w:val="-11"/>
          <w:sz w:val="17"/>
        </w:rPr>
        <w:t> </w:t>
      </w:r>
      <w:r>
        <w:rPr>
          <w:b w:val="0"/>
          <w:color w:val="231F20"/>
          <w:spacing w:val="-3"/>
          <w:sz w:val="17"/>
        </w:rPr>
        <w:t>Convention</w:t>
      </w:r>
      <w:r>
        <w:rPr>
          <w:b w:val="0"/>
          <w:color w:val="231F20"/>
          <w:spacing w:val="-2"/>
          <w:sz w:val="17"/>
        </w:rPr>
        <w:t> </w:t>
      </w:r>
      <w:r>
        <w:rPr>
          <w:b w:val="0"/>
          <w:color w:val="231F20"/>
          <w:spacing w:val="-3"/>
          <w:sz w:val="17"/>
        </w:rPr>
        <w:t>relative</w:t>
      </w:r>
      <w:r>
        <w:rPr>
          <w:b w:val="0"/>
          <w:color w:val="231F20"/>
          <w:spacing w:val="-7"/>
          <w:sz w:val="17"/>
        </w:rPr>
        <w:t> </w:t>
      </w:r>
      <w:r>
        <w:rPr>
          <w:b w:val="0"/>
          <w:color w:val="231F20"/>
          <w:sz w:val="17"/>
        </w:rPr>
        <w:t>aux</w:t>
      </w:r>
      <w:r>
        <w:rPr>
          <w:b w:val="0"/>
          <w:color w:val="231F20"/>
          <w:spacing w:val="-7"/>
          <w:sz w:val="17"/>
        </w:rPr>
        <w:t> </w:t>
      </w:r>
      <w:r>
        <w:rPr>
          <w:b w:val="0"/>
          <w:color w:val="231F20"/>
          <w:spacing w:val="-2"/>
          <w:sz w:val="17"/>
        </w:rPr>
        <w:t>droits</w:t>
      </w:r>
      <w:r>
        <w:rPr>
          <w:b w:val="0"/>
          <w:color w:val="231F20"/>
          <w:spacing w:val="-7"/>
          <w:sz w:val="17"/>
        </w:rPr>
        <w:t> </w:t>
      </w:r>
      <w:r>
        <w:rPr>
          <w:b w:val="0"/>
          <w:color w:val="231F20"/>
          <w:sz w:val="17"/>
        </w:rPr>
        <w:t>de</w:t>
      </w:r>
      <w:r>
        <w:rPr>
          <w:b w:val="0"/>
          <w:color w:val="231F20"/>
          <w:spacing w:val="-7"/>
          <w:sz w:val="17"/>
        </w:rPr>
        <w:t> </w:t>
      </w:r>
      <w:r>
        <w:rPr>
          <w:b w:val="0"/>
          <w:color w:val="231F20"/>
          <w:spacing w:val="-4"/>
          <w:sz w:val="17"/>
        </w:rPr>
        <w:t>l’enfant</w:t>
      </w:r>
      <w:r>
        <w:rPr>
          <w:b w:val="0"/>
          <w:color w:val="231F20"/>
          <w:spacing w:val="-7"/>
          <w:sz w:val="17"/>
        </w:rPr>
        <w:t> </w:t>
      </w:r>
      <w:r>
        <w:rPr>
          <w:b w:val="0"/>
          <w:color w:val="231F20"/>
          <w:sz w:val="17"/>
        </w:rPr>
        <w:t>ou</w:t>
      </w:r>
      <w:r>
        <w:rPr>
          <w:b w:val="0"/>
          <w:color w:val="231F20"/>
          <w:spacing w:val="-7"/>
          <w:sz w:val="17"/>
        </w:rPr>
        <w:t> </w:t>
      </w:r>
      <w:r>
        <w:rPr>
          <w:b w:val="0"/>
          <w:color w:val="231F20"/>
          <w:sz w:val="17"/>
        </w:rPr>
        <w:t>la</w:t>
      </w:r>
      <w:r>
        <w:rPr>
          <w:b w:val="0"/>
          <w:color w:val="231F20"/>
          <w:spacing w:val="-7"/>
          <w:sz w:val="17"/>
        </w:rPr>
        <w:t> </w:t>
      </w:r>
      <w:r>
        <w:rPr>
          <w:b w:val="0"/>
          <w:color w:val="231F20"/>
          <w:spacing w:val="-3"/>
          <w:sz w:val="17"/>
        </w:rPr>
        <w:t>Convention</w:t>
      </w:r>
      <w:r>
        <w:rPr>
          <w:b w:val="0"/>
          <w:color w:val="231F20"/>
          <w:spacing w:val="-7"/>
          <w:sz w:val="17"/>
        </w:rPr>
        <w:t> </w:t>
      </w:r>
      <w:r>
        <w:rPr>
          <w:b w:val="0"/>
          <w:color w:val="231F20"/>
          <w:sz w:val="17"/>
        </w:rPr>
        <w:t>sur</w:t>
      </w:r>
      <w:r>
        <w:rPr>
          <w:b w:val="0"/>
          <w:color w:val="231F20"/>
          <w:spacing w:val="-7"/>
          <w:sz w:val="17"/>
        </w:rPr>
        <w:t> </w:t>
      </w:r>
      <w:r>
        <w:rPr>
          <w:b w:val="0"/>
          <w:color w:val="231F20"/>
          <w:spacing w:val="-3"/>
          <w:sz w:val="17"/>
        </w:rPr>
        <w:t>l’élimination</w:t>
      </w:r>
      <w:r>
        <w:rPr>
          <w:b w:val="0"/>
          <w:color w:val="231F20"/>
          <w:spacing w:val="-7"/>
          <w:sz w:val="17"/>
        </w:rPr>
        <w:t> </w:t>
      </w:r>
      <w:r>
        <w:rPr>
          <w:b w:val="0"/>
          <w:color w:val="231F20"/>
          <w:sz w:val="17"/>
        </w:rPr>
        <w:t>de</w:t>
      </w:r>
      <w:r>
        <w:rPr>
          <w:b w:val="0"/>
          <w:color w:val="231F20"/>
          <w:spacing w:val="-7"/>
          <w:sz w:val="17"/>
        </w:rPr>
        <w:t> </w:t>
      </w:r>
      <w:r>
        <w:rPr>
          <w:b w:val="0"/>
          <w:color w:val="231F20"/>
          <w:sz w:val="17"/>
        </w:rPr>
        <w:t>toutes</w:t>
      </w:r>
      <w:r>
        <w:rPr>
          <w:b w:val="0"/>
          <w:color w:val="231F20"/>
          <w:spacing w:val="-7"/>
          <w:sz w:val="17"/>
        </w:rPr>
        <w:t> </w:t>
      </w:r>
      <w:r>
        <w:rPr>
          <w:b w:val="0"/>
          <w:color w:val="231F20"/>
          <w:sz w:val="17"/>
        </w:rPr>
        <w:t>les</w:t>
      </w:r>
      <w:r>
        <w:rPr>
          <w:b w:val="0"/>
          <w:color w:val="231F20"/>
          <w:spacing w:val="-7"/>
          <w:sz w:val="17"/>
        </w:rPr>
        <w:t> </w:t>
      </w:r>
      <w:r>
        <w:rPr>
          <w:b w:val="0"/>
          <w:color w:val="231F20"/>
          <w:sz w:val="17"/>
        </w:rPr>
        <w:t>formes</w:t>
      </w:r>
      <w:r>
        <w:rPr>
          <w:b w:val="0"/>
          <w:color w:val="231F20"/>
          <w:spacing w:val="-7"/>
          <w:sz w:val="17"/>
        </w:rPr>
        <w:t> </w:t>
      </w:r>
      <w:r>
        <w:rPr>
          <w:b w:val="0"/>
          <w:color w:val="231F20"/>
          <w:sz w:val="17"/>
        </w:rPr>
        <w:t>de</w:t>
      </w:r>
      <w:r>
        <w:rPr>
          <w:b w:val="0"/>
          <w:color w:val="231F20"/>
          <w:spacing w:val="-7"/>
          <w:sz w:val="17"/>
        </w:rPr>
        <w:t> </w:t>
      </w:r>
      <w:r>
        <w:rPr>
          <w:b w:val="0"/>
          <w:color w:val="231F20"/>
          <w:sz w:val="17"/>
        </w:rPr>
        <w:t>discrimination</w:t>
      </w:r>
      <w:r>
        <w:rPr>
          <w:b w:val="0"/>
          <w:color w:val="231F20"/>
          <w:spacing w:val="-7"/>
          <w:sz w:val="17"/>
        </w:rPr>
        <w:t> </w:t>
      </w:r>
      <w:r>
        <w:rPr>
          <w:b w:val="0"/>
          <w:color w:val="231F20"/>
          <w:sz w:val="17"/>
        </w:rPr>
        <w:t>à</w:t>
      </w:r>
      <w:r>
        <w:rPr>
          <w:b w:val="0"/>
          <w:color w:val="231F20"/>
          <w:spacing w:val="-7"/>
          <w:sz w:val="17"/>
        </w:rPr>
        <w:t> </w:t>
      </w:r>
      <w:r>
        <w:rPr>
          <w:b w:val="0"/>
          <w:color w:val="231F20"/>
          <w:spacing w:val="-4"/>
          <w:sz w:val="17"/>
        </w:rPr>
        <w:t>l’égard</w:t>
      </w:r>
      <w:r>
        <w:rPr>
          <w:b w:val="0"/>
          <w:color w:val="231F20"/>
          <w:spacing w:val="-7"/>
          <w:sz w:val="17"/>
        </w:rPr>
        <w:t> </w:t>
      </w:r>
      <w:r>
        <w:rPr>
          <w:b w:val="0"/>
          <w:color w:val="231F20"/>
          <w:spacing w:val="-2"/>
          <w:sz w:val="17"/>
        </w:rPr>
        <w:t>des </w:t>
      </w:r>
      <w:r>
        <w:rPr>
          <w:b w:val="0"/>
          <w:color w:val="231F20"/>
          <w:spacing w:val="-3"/>
          <w:sz w:val="17"/>
        </w:rPr>
        <w:t>femmes</w:t>
      </w:r>
      <w:r>
        <w:rPr>
          <w:b w:val="0"/>
          <w:color w:val="231F20"/>
          <w:spacing w:val="-13"/>
          <w:sz w:val="17"/>
        </w:rPr>
        <w:t> </w:t>
      </w:r>
      <w:r>
        <w:rPr>
          <w:b w:val="0"/>
          <w:color w:val="231F20"/>
          <w:sz w:val="17"/>
        </w:rPr>
        <w:t>offrent</w:t>
      </w:r>
      <w:r>
        <w:rPr>
          <w:b w:val="0"/>
          <w:color w:val="231F20"/>
          <w:spacing w:val="-13"/>
          <w:sz w:val="17"/>
        </w:rPr>
        <w:t> </w:t>
      </w:r>
      <w:r>
        <w:rPr>
          <w:b w:val="0"/>
          <w:color w:val="231F20"/>
          <w:sz w:val="17"/>
        </w:rPr>
        <w:t>aussi</w:t>
      </w:r>
      <w:r>
        <w:rPr>
          <w:b w:val="0"/>
          <w:color w:val="231F20"/>
          <w:spacing w:val="-13"/>
          <w:sz w:val="17"/>
        </w:rPr>
        <w:t> </w:t>
      </w:r>
      <w:r>
        <w:rPr>
          <w:b w:val="0"/>
          <w:color w:val="231F20"/>
          <w:sz w:val="17"/>
        </w:rPr>
        <w:t>des</w:t>
      </w:r>
      <w:r>
        <w:rPr>
          <w:b w:val="0"/>
          <w:color w:val="231F20"/>
          <w:spacing w:val="-13"/>
          <w:sz w:val="17"/>
        </w:rPr>
        <w:t> </w:t>
      </w:r>
      <w:r>
        <w:rPr>
          <w:b w:val="0"/>
          <w:color w:val="231F20"/>
          <w:sz w:val="17"/>
        </w:rPr>
        <w:t>occasions</w:t>
      </w:r>
      <w:r>
        <w:rPr>
          <w:b w:val="0"/>
          <w:color w:val="231F20"/>
          <w:spacing w:val="-13"/>
          <w:sz w:val="17"/>
        </w:rPr>
        <w:t> </w:t>
      </w:r>
      <w:r>
        <w:rPr>
          <w:b w:val="0"/>
          <w:color w:val="231F20"/>
          <w:sz w:val="17"/>
        </w:rPr>
        <w:t>de</w:t>
      </w:r>
      <w:r>
        <w:rPr>
          <w:b w:val="0"/>
          <w:color w:val="231F20"/>
          <w:spacing w:val="-13"/>
          <w:sz w:val="17"/>
        </w:rPr>
        <w:t> </w:t>
      </w:r>
      <w:r>
        <w:rPr>
          <w:b w:val="0"/>
          <w:color w:val="231F20"/>
          <w:spacing w:val="-2"/>
          <w:sz w:val="17"/>
        </w:rPr>
        <w:t>suivre</w:t>
      </w:r>
      <w:r>
        <w:rPr>
          <w:b w:val="0"/>
          <w:color w:val="231F20"/>
          <w:spacing w:val="-13"/>
          <w:sz w:val="17"/>
        </w:rPr>
        <w:t> </w:t>
      </w:r>
      <w:r>
        <w:rPr>
          <w:b w:val="0"/>
          <w:color w:val="231F20"/>
          <w:sz w:val="17"/>
        </w:rPr>
        <w:t>l’application</w:t>
      </w:r>
      <w:r>
        <w:rPr>
          <w:b w:val="0"/>
          <w:color w:val="231F20"/>
          <w:spacing w:val="-13"/>
          <w:sz w:val="17"/>
        </w:rPr>
        <w:t> </w:t>
      </w:r>
      <w:r>
        <w:rPr>
          <w:b w:val="0"/>
          <w:color w:val="231F20"/>
          <w:sz w:val="17"/>
        </w:rPr>
        <w:t>des</w:t>
      </w:r>
      <w:r>
        <w:rPr>
          <w:b w:val="0"/>
          <w:color w:val="231F20"/>
          <w:spacing w:val="-13"/>
          <w:sz w:val="17"/>
        </w:rPr>
        <w:t> </w:t>
      </w:r>
      <w:r>
        <w:rPr>
          <w:b w:val="0"/>
          <w:color w:val="231F20"/>
          <w:sz w:val="17"/>
        </w:rPr>
        <w:t>dispositions</w:t>
      </w:r>
      <w:r>
        <w:rPr>
          <w:b w:val="0"/>
          <w:color w:val="231F20"/>
          <w:spacing w:val="-13"/>
          <w:sz w:val="17"/>
        </w:rPr>
        <w:t> </w:t>
      </w:r>
      <w:r>
        <w:rPr>
          <w:b w:val="0"/>
          <w:color w:val="231F20"/>
          <w:sz w:val="17"/>
        </w:rPr>
        <w:t>de</w:t>
      </w:r>
      <w:r>
        <w:rPr>
          <w:b w:val="0"/>
          <w:color w:val="231F20"/>
          <w:spacing w:val="-13"/>
          <w:sz w:val="17"/>
        </w:rPr>
        <w:t> </w:t>
      </w:r>
      <w:r>
        <w:rPr>
          <w:b w:val="0"/>
          <w:color w:val="231F20"/>
          <w:sz w:val="17"/>
        </w:rPr>
        <w:t>la</w:t>
      </w:r>
      <w:r>
        <w:rPr>
          <w:b w:val="0"/>
          <w:color w:val="231F20"/>
          <w:spacing w:val="-13"/>
          <w:sz w:val="17"/>
        </w:rPr>
        <w:t> </w:t>
      </w:r>
      <w:r>
        <w:rPr>
          <w:b w:val="0"/>
          <w:color w:val="231F20"/>
          <w:sz w:val="17"/>
        </w:rPr>
        <w:t>CDPH.</w:t>
      </w:r>
    </w:p>
    <w:p>
      <w:pPr>
        <w:pStyle w:val="BodyText"/>
        <w:rPr>
          <w:b w:val="0"/>
          <w:sz w:val="25"/>
        </w:rPr>
      </w:pPr>
    </w:p>
    <w:p>
      <w:pPr>
        <w:spacing w:before="74"/>
        <w:ind w:left="3634" w:right="22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40"/>
        </w:sectPr>
      </w:pPr>
    </w:p>
    <w:p>
      <w:pPr>
        <w:pStyle w:val="BodyText"/>
        <w:spacing w:before="6"/>
        <w:rPr>
          <w:rFonts w:ascii="Myriad Pro"/>
          <w:sz w:val="28"/>
        </w:rPr>
      </w:pPr>
    </w:p>
    <w:p>
      <w:pPr>
        <w:spacing w:before="75"/>
        <w:ind w:left="5054"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spacing w:after="0"/>
        <w:rPr>
          <w:rFonts w:ascii="Myriad Pro"/>
          <w:sz w:val="21"/>
        </w:rPr>
        <w:sectPr>
          <w:pgSz w:w="11910" w:h="16840"/>
          <w:pgMar w:top="0" w:bottom="0" w:left="1000" w:right="0"/>
        </w:sectPr>
      </w:pPr>
    </w:p>
    <w:p>
      <w:pPr>
        <w:pStyle w:val="BodyText"/>
        <w:spacing w:line="266" w:lineRule="auto" w:before="68"/>
        <w:ind w:left="133" w:right="-12"/>
        <w:rPr>
          <w:b w:val="0"/>
        </w:rPr>
      </w:pPr>
      <w:r>
        <w:rPr/>
        <w:pict>
          <v:shape style="position:absolute;margin-left:233.929001pt;margin-top:80.270027pt;width:105.15pt;height:69.150pt;mso-position-horizontal-relative:page;mso-position-vertical-relative:paragraph;z-index:2536" type="#_x0000_t202" filled="false" stroked="false">
            <v:textbox inset="0,0,0,0">
              <w:txbxContent>
                <w:p>
                  <w:pPr>
                    <w:pStyle w:val="BodyText"/>
                    <w:spacing w:before="1"/>
                    <w:rPr>
                      <w:rFonts w:ascii="Myriad Pro"/>
                      <w:sz w:val="31"/>
                    </w:rPr>
                  </w:pPr>
                </w:p>
                <w:p>
                  <w:pPr>
                    <w:pStyle w:val="BodyText"/>
                    <w:spacing w:line="266" w:lineRule="auto"/>
                    <w:ind w:left="509" w:right="504" w:hanging="66"/>
                    <w:rPr>
                      <w:b w:val="0"/>
                    </w:rPr>
                  </w:pPr>
                  <w:r>
                    <w:rPr>
                      <w:b w:val="0"/>
                      <w:color w:val="231F20"/>
                    </w:rPr>
                    <w:t>Société civile (p. ex. OPH)</w:t>
                  </w:r>
                </w:p>
              </w:txbxContent>
            </v:textbox>
            <w10:wrap type="none"/>
          </v:shape>
        </w:pict>
      </w:r>
      <w:r>
        <w:rPr>
          <w:b w:val="0"/>
          <w:color w:val="231F20"/>
        </w:rPr>
        <w:t>La CDPH définit un cadre d’application et de suivi au niveau national. Cela inclut (1) un rôle pour un point de contact du gouvernement dans la</w:t>
      </w:r>
      <w:r>
        <w:rPr>
          <w:b w:val="0"/>
          <w:color w:val="231F20"/>
          <w:spacing w:val="-9"/>
        </w:rPr>
        <w:t> </w:t>
      </w:r>
      <w:r>
        <w:rPr>
          <w:b w:val="0"/>
          <w:color w:val="231F20"/>
        </w:rPr>
        <w:t>progression de l’application ; (2) un rôle d’une institution nationale indépendante dans le suivi de l’application ; et (3) un rôle pour la société</w:t>
      </w:r>
      <w:r>
        <w:rPr>
          <w:b w:val="0"/>
          <w:color w:val="231F20"/>
          <w:spacing w:val="-8"/>
        </w:rPr>
        <w:t> </w:t>
      </w:r>
      <w:r>
        <w:rPr>
          <w:b w:val="0"/>
          <w:color w:val="231F20"/>
        </w:rPr>
        <w:t>civile.</w:t>
      </w:r>
    </w:p>
    <w:p>
      <w:pPr>
        <w:pStyle w:val="BodyText"/>
        <w:rPr>
          <w:b w:val="0"/>
        </w:rPr>
      </w:pPr>
      <w:r>
        <w:rPr/>
        <w:br w:type="column"/>
      </w:r>
      <w:r>
        <w:rPr>
          <w:b w:val="0"/>
        </w:rPr>
      </w:r>
    </w:p>
    <w:p>
      <w:pPr>
        <w:pStyle w:val="BodyText"/>
        <w:spacing w:line="266" w:lineRule="auto" w:before="143"/>
        <w:ind w:left="133" w:right="4171" w:firstLine="449"/>
        <w:rPr>
          <w:b w:val="0"/>
        </w:rPr>
      </w:pPr>
      <w:r>
        <w:rPr>
          <w:b w:val="0"/>
          <w:color w:val="231F20"/>
        </w:rPr>
        <w:t>Agences gouvernementales</w:t>
      </w:r>
    </w:p>
    <w:p>
      <w:pPr>
        <w:spacing w:after="0" w:line="266" w:lineRule="auto"/>
        <w:sectPr>
          <w:type w:val="continuous"/>
          <w:pgSz w:w="11910" w:h="16840"/>
          <w:pgMar w:top="1600" w:bottom="280" w:left="1000" w:right="0"/>
          <w:cols w:num="2" w:equalWidth="0">
            <w:col w:w="3200" w:space="1728"/>
            <w:col w:w="5982"/>
          </w:cols>
        </w:sectPr>
      </w:pPr>
    </w:p>
    <w:p>
      <w:pPr>
        <w:pStyle w:val="BodyText"/>
        <w:rPr>
          <w:b w:val="0"/>
          <w:sz w:val="20"/>
        </w:rPr>
      </w:pPr>
      <w:r>
        <w:rPr/>
        <w:pict>
          <v:group style="position:absolute;margin-left:233.929001pt;margin-top:0pt;width:361.35pt;height:841.9pt;mso-position-horizontal-relative:page;mso-position-vertical-relative:page;z-index:-51784" coordorigin="4679,0" coordsize="7227,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822;top:4529;width:1107;height:1310" coordorigin="9822,4529" coordsize="1107,1310" path="m10205,5839l10205,5647,10151,5647,10103,5643,10011,5606,9957,5547,9933,5486,9930,5455,9930,5336,9867,5336,9853,5336,9843,5333,9836,5326,9822,5313,9822,5306,9822,5290,9837,5248,9869,5165,9902,5083,9919,5042,9926,5023,9930,5008,9932,4992,9934,4970,9939,4930,9958,4854,9988,4789,10022,4737,10063,4690,10123,4637,10188,4594,10258,4561,10331,4539,10408,4529,10452,4529,10526,4538,10594,4557,10679,4595,10741,4637,10798,4690,10802,4695,10805,4698,10807,4701,10809,4703,10812,4706,10850,4759,10883,4816,10908,4883,10923,4944,10929,5012,10929,5051,10927,5087,10911,5166,10875,5257,10815,5348,10774,5392,10764,5401,10753,5413,10743,5424,10738,5431,10738,5829e" filled="false" stroked="true" strokeweight="3.457pt" strokecolor="#d19f2a">
              <v:path arrowok="t"/>
            </v:shape>
            <v:shape style="position:absolute;left:10042;top:4630;width:722;height:526" coordorigin="10042,4630" coordsize="722,526" path="m10202,5114l10143,5114,10146,5118,10148,5124,10150,5136,10152,5148,10154,5156,10192,5156,10193,5146,10194,5136,10196,5126,10198,5118,10202,5114xm10094,4922l10076,4940,10069,4950,10070,4954,10078,4964,10082,4970,10086,4976,10091,4982,10087,4988,10086,4992,10082,5002,10077,5002,10074,5004,10061,5006,10042,5010,10044,5048,10054,5048,10064,5050,10076,5052,10077,5052,10083,5054,10084,5058,10085,5062,10088,5070,10088,5076,10084,5084,10073,5098,10069,5104,10070,5110,10078,5118,10095,5132,10102,5126,10113,5118,10127,5109,10127,5108,10273,5108,10277,5104,10271,5098,10265,5088,10254,5074,10254,5072,10256,5068,10163,5068,10138,5056,10125,5030,10133,5004,10154,4986,10256,4986,10253,4982,10258,4976,10267,4962,10270,4956,10489,4956,10494,4954,10578,4954,10580,4952,10739,4952,10741,4950,10740,4948,10129,4948,10111,4934,10101,4930,10094,4922xm10273,5108l10216,5108,10225,5114,10234,5120,10243,5126,10251,5132,10273,5108xm10680,5084l10642,5084,10643,5090,10648,5116,10674,5114,10676,5106,10676,5098,10680,5084xm10216,5108l10128,5108,10127,5109,10138,5114,10208,5114,10216,5108xm10739,4952l10580,4952,10593,4968,10594,4976,10591,4982,10588,4994,10578,4996,10567,4996,10558,5000,10559,5026,10586,5030,10590,5036,10589,5044,10596,5050,10592,5054,10589,5060,10586,5064,10581,5074,10581,5078,10587,5084,10598,5094,10606,5086,10614,5084,10621,5076,10741,5076,10743,5074,10741,5072,10727,5054,10654,5054,10632,5042,10623,5030,10620,5014,10622,4998,10631,4984,10656,4970,10728,4970,10737,4956,10739,4952xm10741,5076l10699,5076,10703,5080,10709,5084,10714,5086,10722,5092,10727,5092,10733,5086,10741,5076xm10699,5076l10621,5076,10626,5080,10630,5082,10640,5086,10642,5084,10680,5084,10680,5082,10693,5082,10699,5076xm10693,5082l10680,5082,10691,5084,10693,5082xm10256,4986l10184,4986,10195,4992,10203,5002,10209,5014,10211,5024,10204,5048,10186,5064,10163,5068,10256,5068,10260,5058,10260,5054,10267,5052,10301,5046,10300,5008,10296,5006,10292,5006,10270,5004,10262,5000,10260,4994,10256,4986xm10728,4970l10656,4970,10680,4976,10699,4992,10705,5014,10696,5040,10677,5054,10727,5054,10727,5052,10726,5050,10733,5034,10735,5030,10739,5030,10745,5028,10747,5028,10754,5026,10758,5026,10764,5024,10763,4998,10754,4996,10743,4996,10735,4994,10733,4990,10733,4986,10728,4976,10725,4976,10728,4970xm10489,4956l10356,4956,10370,4962,10376,4966,10382,4966,10393,5012,10394,5018,10394,5024,10397,5028,10454,5028,10456,5018,10457,5008,10460,4988,10461,4978,10463,4968,10478,4962,10484,4958,10489,4956xm10351,4956l10270,4956,10306,4990,10319,4980,10326,4974,10351,4956xm10578,4954l10494,4954,10520,4972,10534,4980,10545,4988,10578,4954xm10727,4974l10725,4976,10728,4976,10727,4974xm10147,4937l10130,4944,10129,4948,10221,4948,10211,4942,10202,4938,10147,4938,10147,4937xm10248,4922l10245,4926,10239,4930,10225,4940,10221,4948,10625,4948,10618,4944,10584,4944,10582,4942,10268,4942,10248,4922xm10688,4940l10635,4940,10625,4944,10625,4948,10740,4948,10739,4946,10697,4946,10693,4944,10688,4940xm10723,4930l10703,4946,10739,4946,10737,4942,10723,4930xm10597,4930l10584,4944,10618,4944,10600,4932,10597,4930xm10303,4668l10262,4712,10269,4720,10276,4728,10283,4738,10289,4746,10294,4752,10300,4756,10296,4764,10290,4776,10287,4784,10284,4788,10276,4792,10237,4798,10224,4802,10225,4858,10235,4860,10245,4862,10255,4864,10281,4866,10285,4870,10288,4878,10295,4894,10297,4900,10293,4908,10281,4924,10277,4930,10274,4936,10268,4942,10582,4942,10577,4938,10572,4928,10560,4914,10555,4906,10550,4900,10562,4870,10421,4870,10405,4868,10392,4860,10388,4856,10383,4848,10381,4844,10378,4832,10378,4820,10383,4808,10392,4796,10421,4784,10561,4784,10561,4782,10554,4764,10549,4758,10557,4748,10568,4734,10578,4718,10584,4706,10582,4704,10353,4704,10346,4696,10336,4692,10320,4680,10316,4678,10311,4674,10308,4672,10303,4668xm10673,4908l10647,4910,10645,4920,10645,4928,10642,4938,10638,4940,10684,4940,10679,4938,10677,4928,10675,4920,10673,4908xm10197,4936l10148,4936,10147,4938,10202,4938,10197,4936xm10190,4898l10153,4898,10151,4902,10151,4906,10147,4937,10148,4936,10197,4936,10196,4930,10194,4918,10192,4910,10191,4904,10190,4898xm10561,4784l10421,4784,10449,4798,10463,4824,10449,4858,10436,4866,10421,4870,10562,4870,10563,4868,10602,4860,10615,4860,10623,4856,10621,4798,10562,4790,10561,4784xm10451,4630l10393,4630,10387,4676,10386,4680,10385,4690,10381,4692,10380,4692,10373,4694,10373,4694,10363,4698,10359,4700,10353,4704,10497,4704,10490,4700,10476,4694,10468,4692,10464,4688,10462,4682,10451,4630xm10542,4666l10534,4674,10525,4680,10508,4694,10501,4698,10497,4704,10582,4704,10542,4666xe" filled="true" fillcolor="#d19f2a" stroked="false">
              <v:path arrowok="t"/>
              <v:fill type="solid"/>
            </v:shape>
            <v:shape style="position:absolute;left:10807;top:13594;width:176;height:288" type="#_x0000_t75" stroked="false">
              <v:imagedata r:id="rId19" o:title=""/>
            </v:shape>
            <v:shape style="position:absolute;left:9801;top:12724;width:1128;height:1298" coordorigin="9801,12724" coordsize="1128,1298" path="m10923,13183l10923,13185,10924,13186,10924,13187,10925,13187,10926,13189,10926,13193,10927,13196,10927,13199,10927,13203,10928,13206,10928,13211,10928,13211,10928,13212,10928,13215,10922,13227,10921,13231,10916,13242,10909,13257,10901,13274,10894,13287,10889,13300,10881,13309,10873,13321,10865,13333,10865,13334,10855,13343,10832,13363,10820,13373,10811,13381,10802,13389,10791,13403,10782,13415,10771,13427,10761,13438,10727,13504,10725,13510,10728,13509,10731,13513,10737,13522,10734,13540,10735,13550,10738,13565,10743,13573,10748,13579,10753,13587,10754,13591,10752,13607,10752,13614,10753,13632,10754,13651,10751,13669,10744,13685,10734,13696,10721,13703,10708,13710,10695,13718,10690,13722,10681,13733,10674,13739,10672,13741,10670,13743,10667,13746,10663,13750,10658,13756,10653,13759,10655,13769,10660,13784,10663,13804,10662,13827,10660,13839,10652,13840,10641,13846,10637,13848,10632,13850,10628,13852,10623,13855,10620,13858,10616,13860,10618,13868,10620,13871,10619,13877,10615,13891,10608,13906,10600,13916,10592,13925,10583,13937,10577,13948,10571,13955,10565,13961,10557,13969,10549,13976,10522,13999,10521,14001,10494,14008,10481,14010,10462,14010,10444,14011,10427,14016,10411,14021,10396,14022,10390,14021,10388,14017,10385,14014,10380,14007,10381,14010,10379,14000,10378,13995,10376,13989,10377,13984,10378,13978,10379,13973,10377,13966,10374,13957,10368,13949,10364,13940,10360,13931,10357,13921,10352,13914,10346,13905,10340,13900,10336,13891,10331,13876,10327,13859,10325,13841,10323,13825,10320,13807,10316,13794,10310,13783,10303,13767,10299,13758,10295,13749,10291,13741,10284,13729,10280,13731,10278,13714,10292,13641,10316,13609,10311,13594,10308,13584,10302,13575,10300,13566,10300,13560,10302,13555,10302,13547,10277,13482,10256,13456,10244,13442,10234,13427,10229,13409,10233,13407,10233,13407,10238,13406,10239,13402,10238,13398,10239,13393,10241,13381,10243,13369,10246,13358,10248,13348,10209,13317,10204,13318,10196,13321,10189,13323,10180,13319,10170,13304,10167,13298,10164,13289,10160,13285,10155,13284,10131,13285,10125,13286,10117,13288,10106,13293,10097,13296,10079,13304,10067,13310,10056,13313,10042,13311,10024,13308,10010,13307,9996,13310,9980,13315,9967,13320,9964,13324,9951,13317,9934,13307,9920,13295,9905,13282,9887,13270,9881,13267,9871,13257,9869,13251,9865,13242,9868,13231,9860,13223,9850,13213,9851,13219,9841,13204,9827,13188,9818,13182,9813,13175,9813,13158,9813,13146,9808,13142,9801,13132,9803,13130,9808,13127,9810,13125,9819,13116,9821,13101,9824,13089,9826,13074,9824,13062,9822,13052,9821,13046,9823,13041,9825,13040,9825,13033,9816,13026,9813,13017,9814,13008,9846,12960,9850,12954,9853,12949,9853,12942,9856,12936,9863,12924,9873,12918,9879,12908,9884,12898,9881,12900,9892,12896,9898,12893,9904,12891,9910,12888,9919,12883,9931,12872,9936,12864,9938,12857,9938,12849,9939,12838,9945,12822,9952,12805,9954,12803,9970,12796,9988,12785,9995,12774,9999,12764,10005,12756,10011,12751,10015,12758,10020,12762,10027,12766,10033,12765,10041,12764,10050,12764,10056,12766,10065,12766,10073,12766,10076,12761,10082,12757,10099,12749,10120,12742,10143,12737,10162,12736,10169,12736,10178,12738,10185,12736,10194,12734,10195,12733,10206,12733,10225,12733,10231,12732,10233,12731,10240,12729,10257,12724,10250,12730,10259,12733,10263,12734,10266,12734,10269,12736,10267,12741,10262,12746,10261,12751,10264,12755,10273,12764,10268,12771,10264,12777,10256,12781,10254,12788,10258,12792,10266,12795,10271,12798,10277,12802,10282,12805,10291,12806,10302,12807,10313,12809,10324,12813,10333,12819,10339,12825,10337,12830,10345,12834,10354,12837,10362,12838,10371,12841,10386,12848,10392,12852,10402,12853,10407,12848,10409,12840,10407,12837,10406,12830,10408,12819,10418,12811,10430,12807,10443,12807,10453,12810,10460,12817,10470,12821,10476,12823,10481,12822,10486,12825,10498,12830,10510,12833,10523,12836,10535,12839,10540,12840,10547,12842,10552,12843,10560,12843,10561,12838,10566,12835,10577,12829,10586,12829,10599,12833,10615,12838,10618,12838,10634,12834,10641,12852,10645,12864,10645,12876,10640,12896,10639,12900,10628,12900,10632,12911,10639,12926,10647,12942,10653,12953,10660,12966,10661,12960,10667,12967,10664,12977,10664,12983,10669,12988,10680,12997,10687,13002,10683,12998,10687,13007,10690,13021,10714,13071,10719,13080,10728,13102,10734,13116,10741,13124,10749,13129,10760,13137,10799,13179,10797,13184,10795,13192,10795,13190,10799,13195,10812,13208,10820,13210,10828,13206,10844,13203,10856,13202,10858,13197,10871,13195,10919,13178,10923,13183xe" filled="false" stroked="true" strokeweight="2.726pt" strokecolor="#d19f2a">
              <v:path arrowok="t"/>
            </v:shape>
            <v:line style="position:absolute" from="6781,3606" to="7077,3606" stroked="true" strokeweight="2pt" strokecolor="#231f20"/>
            <v:line style="position:absolute" from="6272,2803" to="6272,2971" stroked="true" strokeweight="2pt" strokecolor="#231f20"/>
            <v:line style="position:absolute" from="7474,2803" to="7474,2974" stroked="true" strokeweight="2pt" strokecolor="#231f20"/>
            <v:rect style="position:absolute;left:5873;top:1421;width:2102;height:1382" filled="true" fillcolor="#231f20" stroked="false">
              <v:fill opacity="22937f" type="solid"/>
            </v:rect>
            <v:shape style="position:absolute;left:5946;top:1494;width:1843;height:1127" coordorigin="5946,1494" coordsize="1843,1127" path="m7618,1494l6116,1494,6018,1497,5967,1515,5948,1566,5946,1664,5946,2451,5948,2549,5967,2599,6018,2618,6116,2621,7618,2621,7716,2618,7767,2599,7785,2549,7788,2451,7788,1664,7785,1566,7767,1515,7716,1497,7618,1494xe" filled="true" fillcolor="#efdcb6" stroked="false">
              <v:path arrowok="t"/>
              <v:fill type="solid"/>
            </v:shape>
            <v:shape style="position:absolute;left:5946;top:1494;width:1843;height:1127" coordorigin="5946,1494" coordsize="1843,1127" path="m6116,1494l6018,1497,5967,1515,5948,1566,5946,1664,5946,2451,5948,2549,5967,2599,6018,2618,6116,2621,7618,2621,7716,2618,7767,2599,7785,2549,7788,2451,7788,1664,7785,1566,7767,1515,7716,1497,7618,1494,6116,1494xe" filled="false" stroked="true" strokeweight="2pt" strokecolor="#d19f2a">
              <v:path arrowok="t"/>
            </v:shape>
            <v:rect style="position:absolute;left:4679;top:2971;width:2102;height:1382" filled="true" fillcolor="#231f20" stroked="false">
              <v:fill opacity="22937f" type="solid"/>
            </v:rect>
            <v:shape style="position:absolute;left:4752;top:3044;width:1843;height:1127" coordorigin="4752,3044" coordsize="1843,1127" path="m6424,3044l4922,3044,4824,3047,4773,3065,4755,3116,4752,3214,4752,4001,4755,4099,4773,4149,4824,4168,4922,4171,6424,4171,6522,4168,6573,4149,6591,4099,6594,4001,6594,3214,6591,3116,6573,3065,6522,3047,6424,3044xe" filled="true" fillcolor="#efdcb6" stroked="false">
              <v:path arrowok="t"/>
              <v:fill type="solid"/>
            </v:shape>
            <v:shape style="position:absolute;left:4752;top:3044;width:1843;height:1127" coordorigin="4752,3044" coordsize="1843,1127" path="m4922,3044l4824,3047,4773,3065,4755,3116,4752,3214,4752,4001,4755,4099,4773,4149,4824,4168,4922,4171,6424,4171,6522,4168,6573,4149,6591,4099,6594,4001,6594,3214,6591,3116,6573,3065,6522,3047,6424,3044,4922,3044xe" filled="false" stroked="true" strokeweight="2pt" strokecolor="#d19f2a">
              <v:path arrowok="t"/>
            </v:shape>
            <v:rect style="position:absolute;left:7077;top:2974;width:2102;height:1382" filled="true" fillcolor="#231f20" stroked="false">
              <v:fill opacity="22937f" type="solid"/>
            </v:rect>
            <v:shape style="position:absolute;left:7151;top:3047;width:1843;height:1127" coordorigin="7151,3047" coordsize="1843,1127" path="m8823,3047l7321,3047,7223,3050,7172,3069,7153,3119,7151,3217,7151,4004,7153,4102,7172,4153,7223,4171,7321,4174,8823,4174,8921,4171,8972,4153,8990,4102,8993,4004,8993,3217,8990,3119,8972,3069,8921,3050,8823,3047xe" filled="true" fillcolor="#efdcb6" stroked="false">
              <v:path arrowok="t"/>
              <v:fill type="solid"/>
            </v:shape>
            <v:shape style="position:absolute;left:7151;top:3047;width:1843;height:1127" coordorigin="7151,3047" coordsize="1843,1127" path="m7321,3047l7223,3050,7172,3069,7153,3119,7151,3217,7151,4004,7153,4102,7172,4153,7223,4171,7321,4174,8823,4174,8921,4171,8972,4153,8990,4102,8993,4004,8993,3217,8990,3119,8972,3069,8921,3050,8823,3047,7321,3047xe" filled="false" stroked="true" strokeweight="2pt" strokecolor="#d19f2a">
              <v:path arrowok="t"/>
            </v:shape>
            <w10:wrap type="none"/>
          </v:group>
        </w:pict>
      </w:r>
    </w:p>
    <w:p>
      <w:pPr>
        <w:pStyle w:val="BodyText"/>
        <w:rPr>
          <w:b w:val="0"/>
          <w:sz w:val="20"/>
        </w:rPr>
      </w:pPr>
    </w:p>
    <w:p>
      <w:pPr>
        <w:pStyle w:val="BodyText"/>
        <w:spacing w:before="9"/>
        <w:rPr>
          <w:b w:val="0"/>
          <w:sz w:val="25"/>
        </w:rPr>
      </w:pPr>
    </w:p>
    <w:p>
      <w:pPr>
        <w:pStyle w:val="BodyText"/>
        <w:spacing w:line="40" w:lineRule="exact"/>
        <w:ind w:left="113"/>
        <w:rPr>
          <w:sz w:val="4"/>
        </w:rPr>
      </w:pPr>
      <w:r>
        <w:rPr>
          <w:position w:val="0"/>
          <w:sz w:val="4"/>
        </w:rPr>
        <w:pict>
          <v:group style="width:396.05pt;height:2pt;mso-position-horizontal-relative:char;mso-position-vertical-relative:line" coordorigin="0,0" coordsize="7921,40">
            <v:line style="position:absolute" from="20,20" to="7900,20" stroked="true" strokeweight="2pt" strokecolor="#d19f2a"/>
          </v:group>
        </w:pict>
      </w:r>
      <w:r>
        <w:rPr>
          <w:position w:val="0"/>
          <w:sz w:val="4"/>
        </w:rPr>
      </w:r>
    </w:p>
    <w:p>
      <w:pPr>
        <w:spacing w:line="290" w:lineRule="exact" w:before="11"/>
        <w:ind w:left="305" w:right="3060" w:firstLine="0"/>
        <w:jc w:val="center"/>
        <w:rPr>
          <w:rFonts w:ascii="Myriad Pro" w:hAnsi="Myriad Pro"/>
          <w:b/>
          <w:i/>
          <w:sz w:val="24"/>
        </w:rPr>
      </w:pPr>
      <w:r>
        <w:rPr/>
        <w:pict>
          <v:line style="position:absolute;mso-position-horizontal-relative:page;mso-position-vertical-relative:paragraph;z-index:2440;mso-wrap-distance-left:0;mso-wrap-distance-right:0" from="56.692902pt,32.819328pt" to="450.708902pt,32.819328pt" stroked="true" strokeweight="1pt" strokecolor="#d19f2a">
            <w10:wrap type="topAndBottom"/>
          </v:line>
        </w:pict>
      </w:r>
      <w:r>
        <w:rPr/>
        <w:pict>
          <v:shape style="position:absolute;margin-left:353.872986pt;margin-top:-94.449471pt;width:105.15pt;height:69.150pt;mso-position-horizontal-relative:page;mso-position-vertical-relative:paragraph;z-index:2560" type="#_x0000_t202" filled="false" stroked="false">
            <v:textbox inset="0,0,0,0">
              <w:txbxContent>
                <w:p>
                  <w:pPr>
                    <w:pStyle w:val="BodyText"/>
                    <w:spacing w:before="11"/>
                    <w:rPr>
                      <w:rFonts w:ascii="Myriad Pro"/>
                      <w:sz w:val="17"/>
                    </w:rPr>
                  </w:pPr>
                </w:p>
                <w:p>
                  <w:pPr>
                    <w:pStyle w:val="BodyText"/>
                    <w:spacing w:line="266" w:lineRule="auto"/>
                    <w:ind w:left="169" w:right="256"/>
                    <w:jc w:val="center"/>
                    <w:rPr>
                      <w:b w:val="0"/>
                    </w:rPr>
                  </w:pPr>
                  <w:r>
                    <w:rPr>
                      <w:b w:val="0"/>
                      <w:color w:val="231F20"/>
                    </w:rPr>
                    <w:t>Structure nationale indépendante ou Ombudsman</w:t>
                  </w:r>
                </w:p>
              </w:txbxContent>
            </v:textbox>
            <w10:wrap type="none"/>
          </v:shape>
        </w:pict>
      </w:r>
      <w:r>
        <w:rPr>
          <w:rFonts w:ascii="Myriad Pro" w:hAnsi="Myriad Pro"/>
          <w:b/>
          <w:color w:val="D19F2A"/>
          <w:sz w:val="24"/>
        </w:rPr>
        <w:t>Voir l’activité d’apprentissage 2.C.2 intitulée </w:t>
      </w:r>
      <w:r>
        <w:rPr>
          <w:rFonts w:ascii="Myriad Pro" w:hAnsi="Myriad Pro"/>
          <w:b/>
          <w:i/>
          <w:color w:val="D19F2A"/>
          <w:sz w:val="24"/>
        </w:rPr>
        <w:t>Rôles et responsabilités en </w:t>
      </w:r>
      <w:r>
        <w:rPr>
          <w:rFonts w:ascii="Myriad Pro" w:hAnsi="Myriad Pro"/>
          <w:b/>
          <w:i/>
          <w:color w:val="D19F2A"/>
          <w:sz w:val="24"/>
        </w:rPr>
        <w:t>matière de suivi</w:t>
      </w:r>
    </w:p>
    <w:p>
      <w:pPr>
        <w:pStyle w:val="BodyText"/>
        <w:spacing w:before="5"/>
        <w:rPr>
          <w:rFonts w:ascii="Myriad Pro"/>
          <w:b/>
          <w:i/>
          <w:sz w:val="27"/>
        </w:rPr>
      </w:pPr>
    </w:p>
    <w:p>
      <w:pPr>
        <w:pStyle w:val="Heading3"/>
        <w:ind w:left="133" w:right="374"/>
        <w:rPr>
          <w:b/>
        </w:rPr>
      </w:pPr>
      <w:r>
        <w:rPr>
          <w:b/>
          <w:color w:val="D19F2A"/>
        </w:rPr>
        <w:t>Exigences de suivi international en vertu de la CDPH</w:t>
      </w:r>
    </w:p>
    <w:p>
      <w:pPr>
        <w:pStyle w:val="BodyText"/>
        <w:spacing w:line="261" w:lineRule="auto" w:before="116"/>
        <w:ind w:left="133" w:right="2945"/>
        <w:rPr>
          <w:b w:val="0"/>
        </w:rPr>
      </w:pPr>
      <w:r>
        <w:rPr>
          <w:b w:val="0"/>
          <w:color w:val="231F20"/>
        </w:rPr>
        <w:t>En plus du suivi au niveau national, l’article 34 de la CDPH exige un suivi au </w:t>
      </w:r>
      <w:r>
        <w:rPr>
          <w:rFonts w:ascii="Myriad Pro" w:hAnsi="Myriad Pro"/>
          <w:b/>
          <w:color w:val="231F20"/>
        </w:rPr>
        <w:t>niveau international </w:t>
      </w:r>
      <w:r>
        <w:rPr>
          <w:b w:val="0"/>
          <w:color w:val="231F20"/>
        </w:rPr>
        <w:t>par la création du Comité des droits des personnes handicapées (ci-après désigné comme le Comité de la CDPH). Le Comité de la CDPH, composé de 18 experts indépendants, se réunit deux fois par an à Genève et remplit les fonctions suivantes :</w:t>
      </w:r>
    </w:p>
    <w:p>
      <w:pPr>
        <w:pStyle w:val="BodyText"/>
        <w:spacing w:before="24"/>
        <w:ind w:left="473" w:right="374"/>
        <w:rPr>
          <w:b w:val="0"/>
        </w:rPr>
      </w:pPr>
      <w:r>
        <w:rPr>
          <w:rFonts w:ascii="Arial" w:hAnsi="Arial"/>
          <w:color w:val="D19F2A"/>
          <w:sz w:val="26"/>
        </w:rPr>
        <w:t>► </w:t>
      </w:r>
      <w:r>
        <w:rPr>
          <w:b w:val="0"/>
          <w:color w:val="231F20"/>
        </w:rPr>
        <w:t>examen des rapports périodiques soumis par les États parties ;</w:t>
      </w:r>
    </w:p>
    <w:p>
      <w:pPr>
        <w:pStyle w:val="BodyText"/>
        <w:spacing w:before="47"/>
        <w:ind w:left="473" w:right="374"/>
        <w:rPr>
          <w:b w:val="0"/>
        </w:rPr>
      </w:pPr>
      <w:r>
        <w:rPr>
          <w:rFonts w:ascii="Arial" w:hAnsi="Arial"/>
          <w:color w:val="D19F2A"/>
          <w:sz w:val="26"/>
        </w:rPr>
        <w:t>► </w:t>
      </w:r>
      <w:r>
        <w:rPr>
          <w:b w:val="0"/>
          <w:color w:val="231F20"/>
        </w:rPr>
        <w:t>élaboration de listes de questions suite aux rapports soumis par les États parties ;</w:t>
      </w:r>
    </w:p>
    <w:p>
      <w:pPr>
        <w:pStyle w:val="BodyText"/>
        <w:spacing w:before="47"/>
        <w:ind w:left="473" w:right="374"/>
        <w:rPr>
          <w:b w:val="0"/>
        </w:rPr>
      </w:pPr>
      <w:r>
        <w:rPr>
          <w:rFonts w:ascii="Arial" w:hAnsi="Arial"/>
          <w:color w:val="D19F2A"/>
          <w:sz w:val="26"/>
        </w:rPr>
        <w:t>► </w:t>
      </w:r>
      <w:r>
        <w:rPr>
          <w:b w:val="0"/>
          <w:color w:val="231F20"/>
        </w:rPr>
        <w:t>rédaction d’observations finales sur les rapports soumis par les États parties ;</w:t>
      </w:r>
    </w:p>
    <w:p>
      <w:pPr>
        <w:pStyle w:val="BodyText"/>
        <w:spacing w:line="264" w:lineRule="auto" w:before="47"/>
        <w:ind w:left="813" w:right="3769" w:hanging="341"/>
        <w:rPr>
          <w:b w:val="0"/>
        </w:rPr>
      </w:pPr>
      <w:r>
        <w:rPr>
          <w:rFonts w:ascii="Arial" w:hAnsi="Arial"/>
          <w:color w:val="D19F2A"/>
          <w:sz w:val="26"/>
        </w:rPr>
        <w:t>► </w:t>
      </w:r>
      <w:r>
        <w:rPr>
          <w:b w:val="0"/>
          <w:color w:val="231F20"/>
        </w:rPr>
        <w:t>formulation de commentaires généraux concernant l’interprétation et la signification des dispositions de la CDPH ;</w:t>
      </w:r>
    </w:p>
    <w:p>
      <w:pPr>
        <w:pStyle w:val="BodyText"/>
        <w:spacing w:line="264" w:lineRule="auto" w:before="21"/>
        <w:ind w:left="813" w:right="3655" w:hanging="341"/>
        <w:rPr>
          <w:b w:val="0"/>
        </w:rPr>
      </w:pPr>
      <w:r>
        <w:rPr>
          <w:rFonts w:ascii="Arial" w:hAnsi="Arial"/>
          <w:color w:val="D19F2A"/>
          <w:sz w:val="26"/>
        </w:rPr>
        <w:t>► </w:t>
      </w:r>
      <w:r>
        <w:rPr>
          <w:b w:val="0"/>
          <w:color w:val="231F20"/>
        </w:rPr>
        <w:t>examen des communications individuelles, tel que prévu par le Protocole facultatif de la CDPH ; et</w:t>
      </w:r>
    </w:p>
    <w:p>
      <w:pPr>
        <w:pStyle w:val="BodyText"/>
        <w:spacing w:before="21"/>
        <w:ind w:left="473" w:right="374"/>
        <w:rPr>
          <w:b w:val="0"/>
        </w:rPr>
      </w:pPr>
      <w:r>
        <w:rPr>
          <w:rFonts w:ascii="Arial" w:hAnsi="Arial"/>
          <w:color w:val="D19F2A"/>
          <w:sz w:val="26"/>
        </w:rPr>
        <w:t>► </w:t>
      </w:r>
      <w:r>
        <w:rPr>
          <w:b w:val="0"/>
          <w:color w:val="231F20"/>
        </w:rPr>
        <w:t>enquêtes, tel que prévu par le Protocole facultatif de la CDPH.</w:t>
      </w:r>
    </w:p>
    <w:p>
      <w:pPr>
        <w:pStyle w:val="BodyText"/>
        <w:spacing w:line="266" w:lineRule="auto" w:before="142"/>
        <w:ind w:left="133" w:right="3088"/>
        <w:rPr>
          <w:b w:val="0"/>
        </w:rPr>
      </w:pPr>
      <w:r>
        <w:rPr>
          <w:b w:val="0"/>
          <w:color w:val="231F20"/>
        </w:rPr>
        <w:t>Bien que les commentaires généraux et les observations finales émis par le Comité de  la CDPH ne soient pas juridiquement contraignants, ils ont du poids et peuvent</w:t>
      </w:r>
      <w:r>
        <w:rPr>
          <w:b w:val="0"/>
          <w:color w:val="231F20"/>
          <w:spacing w:val="-8"/>
        </w:rPr>
        <w:t> </w:t>
      </w:r>
      <w:r>
        <w:rPr>
          <w:b w:val="0"/>
          <w:color w:val="231F20"/>
        </w:rPr>
        <w:t>souvent</w:t>
      </w:r>
    </w:p>
    <w:p>
      <w:pPr>
        <w:pStyle w:val="BodyText"/>
        <w:spacing w:line="266" w:lineRule="auto"/>
        <w:ind w:left="133" w:right="2881"/>
        <w:rPr>
          <w:b w:val="0"/>
        </w:rPr>
      </w:pPr>
      <w:r>
        <w:rPr>
          <w:b w:val="0"/>
          <w:color w:val="231F20"/>
        </w:rPr>
        <w:t>conduire à des évolutions de la loi et des politiques menées. Les commentaires généraux et les observations finales fournissent aussi des orientations utiles pour l’interprétation des dispositions de la CDPH. De plus, ils constituent une base importante sur laquelle les ONG opérant dans un pays en particulier peuvent s’appuyer pour promouvoir l’application des droits de l’homme.</w:t>
      </w:r>
    </w:p>
    <w:p>
      <w:pPr>
        <w:pStyle w:val="BodyText"/>
        <w:spacing w:before="1"/>
        <w:rPr>
          <w:b w:val="0"/>
          <w:sz w:val="23"/>
        </w:rPr>
      </w:pPr>
      <w:r>
        <w:rPr/>
        <w:pict>
          <v:group style="position:absolute;margin-left:56.192902pt;margin-top:15.665953pt;width:395.05pt;height:103.05pt;mso-position-horizontal-relative:page;mso-position-vertical-relative:paragraph;z-index:2488;mso-wrap-distance-left:0;mso-wrap-distance-right:0" coordorigin="1124,313" coordsize="7901,2061">
            <v:rect style="position:absolute;left:1134;top:323;width:7880;height:2040" filled="true" fillcolor="#e6e7e8" stroked="false">
              <v:fill type="solid"/>
            </v:rect>
            <v:rect style="position:absolute;left:1134;top:313;width:7880;height:20" filled="true" fillcolor="#231f20" stroked="false">
              <v:fill type="solid"/>
            </v:rect>
            <v:line style="position:absolute" from="1134,2364" to="9014,2364" stroked="true" strokeweight="1pt" strokecolor="#231f20"/>
            <v:shape style="position:absolute;left:1134;top:323;width:7881;height:2041" type="#_x0000_t202" filled="false" stroked="false">
              <v:textbox inset="0,0,0,0">
                <w:txbxContent>
                  <w:p>
                    <w:pPr>
                      <w:spacing w:before="61"/>
                      <w:ind w:left="2445" w:right="302" w:firstLine="0"/>
                      <w:jc w:val="left"/>
                      <w:rPr>
                        <w:rFonts w:ascii="Myriad Pro"/>
                        <w:b/>
                        <w:sz w:val="22"/>
                      </w:rPr>
                    </w:pPr>
                    <w:r>
                      <w:rPr>
                        <w:rFonts w:ascii="Myriad Pro"/>
                        <w:b/>
                        <w:color w:val="231F20"/>
                        <w:sz w:val="22"/>
                      </w:rPr>
                      <w:t>Point sur la situation nationale</w:t>
                    </w:r>
                  </w:p>
                  <w:p>
                    <w:pPr>
                      <w:spacing w:line="266" w:lineRule="auto" w:before="86"/>
                      <w:ind w:left="359" w:right="302" w:hanging="280"/>
                      <w:jc w:val="left"/>
                      <w:rPr>
                        <w:b w:val="0"/>
                        <w:sz w:val="22"/>
                      </w:rPr>
                    </w:pPr>
                    <w:r>
                      <w:rPr>
                        <w:rFonts w:ascii="Myriad Pro" w:hAnsi="Myriad Pro"/>
                        <w:color w:val="231F20"/>
                        <w:sz w:val="20"/>
                      </w:rPr>
                      <w:t>1. </w:t>
                    </w:r>
                    <w:r>
                      <w:rPr>
                        <w:b w:val="0"/>
                        <w:color w:val="231F20"/>
                        <w:sz w:val="22"/>
                      </w:rPr>
                      <w:t>Dans votre pays, quelle est l’agence gouvernementale responsable de l’élaboration du rapport national sur la CDPH ?</w:t>
                    </w:r>
                  </w:p>
                  <w:p>
                    <w:pPr>
                      <w:spacing w:line="266" w:lineRule="auto" w:before="114"/>
                      <w:ind w:left="359" w:right="769" w:hanging="281"/>
                      <w:jc w:val="both"/>
                      <w:rPr>
                        <w:b w:val="0"/>
                        <w:sz w:val="22"/>
                      </w:rPr>
                    </w:pPr>
                    <w:r>
                      <w:rPr>
                        <w:b w:val="0"/>
                        <w:color w:val="231F20"/>
                        <w:sz w:val="22"/>
                      </w:rPr>
                      <w:t>2. Collaborez-vous avec cette agence gouvernementale, une ONG ou une autre structure afin de fournir des informations ou des critiques au sujet du rapport national sur la CDPH ?</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8"/>
        </w:rPr>
      </w:pPr>
    </w:p>
    <w:p>
      <w:pPr>
        <w:spacing w:line="192" w:lineRule="exact" w:before="74"/>
        <w:ind w:left="330" w:right="374" w:firstLine="0"/>
        <w:jc w:val="left"/>
        <w:rPr>
          <w:rFonts w:ascii="Myriad Pro" w:hAnsi="Myriad Pro"/>
          <w:sz w:val="16"/>
        </w:rPr>
      </w:pPr>
      <w:r>
        <w:rPr/>
        <w:pict>
          <v:shape style="position:absolute;margin-left:462.046997pt;margin-top:8.607926pt;width:45.4pt;height:13pt;mso-position-horizontal-relative:page;mso-position-vertical-relative:paragraph;z-index:2584"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9</w:t>
                    <w:tab/>
                  </w:r>
                </w:p>
              </w:txbxContent>
            </v:textbox>
            <w10:wrap type="none"/>
          </v:shape>
        </w:pict>
      </w:r>
      <w:r>
        <w:rPr>
          <w:rFonts w:ascii="Myriad Pro" w:hAnsi="Myriad Pro"/>
          <w:color w:val="6D6E71"/>
          <w:sz w:val="16"/>
        </w:rPr>
        <w:t>Module 2 - CADRES D’APPLICATION ET DE SUIVI DE LA CONVENTION DES NATIONS UNIES RELATIVE AUX DROITS DES</w:t>
      </w:r>
    </w:p>
    <w:p>
      <w:pPr>
        <w:spacing w:before="0"/>
        <w:ind w:left="6207" w:right="374"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type w:val="continuous"/>
          <w:pgSz w:w="11910" w:h="16840"/>
          <w:pgMar w:top="1600" w:bottom="28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1592"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963;top:12211;width:176;height:288" type="#_x0000_t75" stroked="false">
              <v:imagedata r:id="rId20" o:title=""/>
            </v:shape>
            <v:shape style="position:absolute;left:957;top:11342;width:1128;height:1298" coordorigin="957,11342" coordsize="1128,1298" path="m2079,11801l2079,11802,2080,11804,2080,11804,2081,11804,2082,11807,2082,11811,2083,11813,2083,11817,2083,11821,2084,11823,2084,11829,2084,11829,2084,11829,2084,11833,2078,11844,2077,11848,2072,11859,2065,11875,2057,11891,2050,11904,2045,11917,2037,11927,2029,11938,2021,11950,2021,11951,2011,11961,1988,11980,1976,11990,1967,11998,1958,12007,1947,12021,1937,12032,1927,12044,1917,12056,1883,12121,1881,12128,1884,12127,1887,12131,1893,12140,1890,12157,1891,12168,1894,12182,1899,12190,1904,12196,1909,12205,1910,12209,1908,12225,1908,12231,1909,12250,1910,12268,1907,12286,1900,12303,1890,12313,1877,12321,1864,12328,1851,12336,1846,12339,1837,12351,1830,12357,1828,12359,1826,12361,1823,12363,1818,12368,1814,12373,1809,12376,1811,12386,1816,12402,1819,12421,1818,12445,1816,12457,1808,12458,1797,12463,1793,12465,1788,12468,1784,12470,1779,12472,1776,12476,1772,12478,1774,12486,1775,12489,1775,12494,1771,12509,1764,12524,1756,12533,1748,12542,1739,12555,1733,12565,1727,12572,1721,12579,1712,12587,1705,12593,1678,12617,1676,12619,1650,12625,1637,12627,1618,12627,1600,12629,1583,12634,1567,12638,1552,12640,1546,12639,1544,12635,1541,12631,1536,12625,1537,12628,1535,12618,1534,12613,1532,12606,1533,12602,1534,12595,1535,12590,1533,12584,1530,12574,1524,12567,1520,12558,1516,12548,1512,12539,1507,12531,1502,12522,1496,12518,1491,12508,1487,12494,1483,12476,1480,12458,1479,12443,1476,12424,1472,12412,1466,12401,1459,12385,1455,12376,1451,12366,1446,12358,1440,12347,1436,12348,1434,12331,1448,12258,1472,12227,1467,12211,1464,12202,1458,12193,1456,12183,1456,12177,1458,12172,1458,12165,1433,12099,1412,12073,1400,12060,1390,12044,1385,12026,1389,12024,1389,12024,1394,12024,1395,12019,1394,12015,1395,12010,1396,11999,1399,11987,1401,11975,1404,11965,1365,11934,1359,11935,1352,11938,1345,11940,1336,11936,1326,11921,1323,11916,1320,11907,1316,11902,1311,11902,1287,11903,1281,11904,1273,11905,1262,11911,1253,11914,1235,11921,1223,11927,1212,11930,1198,11929,1180,11925,1166,11925,1152,11928,1136,11933,1123,11937,1120,11941,1107,11935,1090,11925,1076,11913,1061,11900,1043,11887,1037,11884,1027,11874,1025,11868,1021,11859,1024,11848,1015,11840,1006,11831,1007,11836,997,11822,983,11806,974,11799,969,11792,969,11776,969,11764,964,11760,957,11750,959,11748,964,11745,966,11742,975,11733,977,11719,980,11706,982,11692,980,11679,978,11669,977,11664,979,11659,981,11657,981,11650,972,11643,969,11635,970,11626,1002,11578,1006,11572,1009,11566,1009,11560,1012,11553,1019,11542,1028,11536,1035,11525,1040,11516,1037,11518,1048,11513,1053,11511,1060,11509,1066,11506,1075,11500,1087,11490,1092,11481,1094,11474,1094,11467,1095,11456,1100,11440,1107,11423,1110,11421,1126,11414,1143,11403,1151,11392,1155,11382,1161,11373,1167,11369,1171,11376,1176,11379,1183,11383,1189,11382,1197,11382,1206,11381,1212,11384,1221,11384,1229,11384,1231,11379,1238,11375,1255,11367,1276,11359,1299,11355,1318,11354,1325,11354,1333,11356,1341,11354,1350,11352,1351,11351,1362,11351,1380,11351,1387,11350,1389,11349,1396,11346,1413,11342,1405,11348,1415,11350,1419,11351,1422,11352,1425,11353,1423,11358,1417,11364,1417,11369,1420,11372,1429,11382,1424,11389,1420,11394,1412,11398,1410,11405,1414,11410,1422,11413,1427,11416,1433,11420,1438,11422,1447,11424,1458,11425,1469,11427,1480,11430,1489,11436,1494,11442,1493,11448,1501,11452,1510,11454,1517,11455,1527,11458,1542,11466,1548,11470,1558,11471,1563,11465,1564,11457,1562,11454,1561,11447,1564,11437,1573,11429,1586,11424,1598,11425,1609,11428,1616,11435,1626,11438,1632,11440,1637,11440,1642,11443,1654,11447,1666,11451,1679,11453,1691,11456,1696,11457,1703,11460,1708,11460,1716,11461,1717,11456,1722,11453,1733,11446,1741,11447,1754,11451,1771,11455,1774,11455,1790,11452,1797,11470,1801,11481,1801,11493,1796,11514,1794,11517,1784,11517,1787,11528,1795,11544,1803,11559,1809,11571,1816,11584,1817,11578,1822,11584,1820,11594,1820,11600,1825,11605,1836,11614,1843,11620,1839,11616,1843,11624,1846,11638,1870,11689,1875,11697,1884,11719,1890,11734,1897,11741,1905,11747,1916,11755,1955,11797,1953,11802,1951,11810,1951,11807,1955,11813,1968,11826,1975,11828,1984,11824,2000,11820,2012,11820,2014,11815,2027,11813,2075,11795,2079,11801xe" filled="false" stroked="true" strokeweight="2.726pt" strokecolor="#d19f2a">
              <v:path arrowok="t"/>
            </v:shape>
            <v:shape style="position:absolute;left:1757;top:16142;width:908;height:321" type="#_x0000_t202" filled="true" fillcolor="#d19f2a" stroked="false">
              <v:textbox inset="0,0,0,0">
                <w:txbxContent>
                  <w:p>
                    <w:pPr>
                      <w:spacing w:line="310" w:lineRule="exact" w:before="10"/>
                      <w:ind w:left="583" w:right="0" w:firstLine="0"/>
                      <w:jc w:val="left"/>
                      <w:rPr>
                        <w:rFonts w:ascii="Myriad Pro"/>
                        <w:sz w:val="26"/>
                      </w:rPr>
                    </w:pPr>
                    <w:r>
                      <w:rPr>
                        <w:rFonts w:ascii="Myriad Pro"/>
                        <w:color w:val="FFFFFF"/>
                        <w:sz w:val="26"/>
                      </w:rPr>
                      <w:t>10</w:t>
                    </w:r>
                  </w:p>
                </w:txbxContent>
              </v:textbox>
              <v:fill type="solid"/>
              <w10:wrap type="none"/>
            </v:shape>
            <w10:wrap type="none"/>
          </v:group>
        </w:pict>
      </w:r>
    </w:p>
    <w:p>
      <w:pPr>
        <w:spacing w:before="75"/>
        <w:ind w:left="2892"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before="51"/>
        <w:rPr>
          <w:b/>
        </w:rPr>
      </w:pPr>
      <w:r>
        <w:rPr>
          <w:b/>
          <w:color w:val="D19F2A"/>
        </w:rPr>
        <w:t>Rapports périodiques des États parties</w:t>
      </w:r>
    </w:p>
    <w:p>
      <w:pPr>
        <w:pStyle w:val="BodyText"/>
        <w:spacing w:line="266" w:lineRule="auto" w:before="127"/>
        <w:ind w:left="2891" w:right="330"/>
        <w:rPr>
          <w:b w:val="0"/>
        </w:rPr>
      </w:pPr>
      <w:r>
        <w:rPr>
          <w:b w:val="0"/>
          <w:color w:val="231F20"/>
        </w:rPr>
        <w:t>La pratique de rapport périodique au Comité de la CDPH constitue un moyen de suivre systématiquement la façon dont les États parties respectent leurs obligations en vertu de la Convention. Dans le cadre de la CDPH, les rapports sont un outil important grâce auquel les gouvernements, les institutions nationales chargées des droits de l’homme et la société civile peuvent prendre la mesure des progrès accomplis dans l’exercice des droits de l’homme des personnes handicapées au sein d’un État partie en particulier.</w:t>
      </w:r>
    </w:p>
    <w:p>
      <w:pPr>
        <w:pStyle w:val="BodyText"/>
        <w:spacing w:line="266" w:lineRule="auto" w:before="114"/>
        <w:ind w:left="2891" w:right="135"/>
        <w:rPr>
          <w:b w:val="0"/>
          <w:sz w:val="13"/>
        </w:rPr>
      </w:pPr>
      <w:r>
        <w:rPr>
          <w:b w:val="0"/>
          <w:color w:val="231F20"/>
        </w:rPr>
        <w:t>L’article 35 de la CDPH exige des États parties qu’ils soumettent au Comité de la CDPH, dans les deux ans suivant la ratification, un rapport initial complet sur les mesures prises pour appliquer le traité et les progrès réalisés. Le Comité de la CDPH, comme les organes d’autres traités, a émis des directives relatives à l’établissement des rapports, afin d’aider les États parties dans la présentation de leurs rapports.</w:t>
      </w:r>
      <w:r>
        <w:rPr>
          <w:b w:val="0"/>
          <w:color w:val="231F20"/>
          <w:position w:val="7"/>
          <w:sz w:val="13"/>
        </w:rPr>
        <w:t>4</w:t>
      </w:r>
    </w:p>
    <w:p>
      <w:pPr>
        <w:pStyle w:val="BodyText"/>
        <w:spacing w:before="114"/>
        <w:ind w:left="2891"/>
        <w:rPr>
          <w:b w:val="0"/>
        </w:rPr>
      </w:pPr>
      <w:r>
        <w:rPr>
          <w:b w:val="0"/>
          <w:color w:val="231F20"/>
        </w:rPr>
        <w:t>Le rapport initial doit :</w:t>
      </w:r>
    </w:p>
    <w:p>
      <w:pPr>
        <w:pStyle w:val="BodyText"/>
        <w:spacing w:line="266" w:lineRule="auto" w:before="48"/>
        <w:ind w:left="3571" w:right="135" w:hanging="341"/>
        <w:rPr>
          <w:b w:val="0"/>
        </w:rPr>
      </w:pPr>
      <w:r>
        <w:rPr>
          <w:rFonts w:ascii="Arial" w:hAnsi="Arial"/>
          <w:color w:val="D19F2A"/>
          <w:sz w:val="26"/>
        </w:rPr>
        <w:t>► </w:t>
      </w:r>
      <w:r>
        <w:rPr>
          <w:b w:val="0"/>
          <w:color w:val="231F20"/>
        </w:rPr>
        <w:t>établir le cadre constitutionnel, juridique et administratif d’application de la CDPH, en incluant la détermination des lois qui font progresser l’application de la CDPH, ainsi que de celles qui ont été, ou doivent encore être modifiées afin de faire progresser son application ;</w:t>
      </w:r>
    </w:p>
    <w:p>
      <w:pPr>
        <w:pStyle w:val="BodyText"/>
        <w:spacing w:line="264" w:lineRule="auto" w:before="19"/>
        <w:ind w:left="3571" w:right="592" w:hanging="341"/>
        <w:rPr>
          <w:b w:val="0"/>
          <w:i/>
        </w:rPr>
      </w:pPr>
      <w:r>
        <w:rPr>
          <w:rFonts w:ascii="Arial" w:hAnsi="Arial"/>
          <w:color w:val="D19F2A"/>
          <w:sz w:val="26"/>
        </w:rPr>
        <w:t>► </w:t>
      </w:r>
      <w:r>
        <w:rPr>
          <w:b w:val="0"/>
          <w:color w:val="231F20"/>
        </w:rPr>
        <w:t>expliquer les politiques et programmes adoptés pour appliquer chacune des dispositions de la CDPH ; </w:t>
      </w:r>
      <w:r>
        <w:rPr>
          <w:b w:val="0"/>
          <w:i/>
          <w:color w:val="231F20"/>
        </w:rPr>
        <w:t>et</w:t>
      </w:r>
    </w:p>
    <w:p>
      <w:pPr>
        <w:pStyle w:val="BodyText"/>
        <w:spacing w:line="264" w:lineRule="auto" w:before="21"/>
        <w:ind w:left="3571" w:right="120" w:hanging="341"/>
        <w:rPr>
          <w:b w:val="0"/>
        </w:rPr>
      </w:pPr>
      <w:r>
        <w:rPr>
          <w:rFonts w:ascii="Arial" w:hAnsi="Arial"/>
          <w:color w:val="D19F2A"/>
          <w:sz w:val="26"/>
        </w:rPr>
        <w:t>► </w:t>
      </w:r>
      <w:r>
        <w:rPr>
          <w:b w:val="0"/>
          <w:color w:val="231F20"/>
        </w:rPr>
        <w:t>signaler les progrès réalisés dans l’exercice des droits des personnes handicapées en conséquence de la ratification et de l’application de la CDPH.</w:t>
      </w:r>
    </w:p>
    <w:p>
      <w:pPr>
        <w:pStyle w:val="BodyText"/>
        <w:spacing w:line="266" w:lineRule="auto" w:before="116"/>
        <w:ind w:left="2891" w:right="182"/>
        <w:rPr>
          <w:b w:val="0"/>
        </w:rPr>
      </w:pPr>
      <w:r>
        <w:rPr>
          <w:b w:val="0"/>
          <w:color w:val="231F20"/>
        </w:rPr>
        <w:t>Par la suite, chaque État partie doit soumettre un rapport au moins tous les quatre ans ou sur demande du Comité. Les rapports suivants doivent :</w:t>
      </w:r>
    </w:p>
    <w:p>
      <w:pPr>
        <w:pStyle w:val="BodyText"/>
        <w:spacing w:line="264" w:lineRule="auto" w:before="19"/>
        <w:ind w:left="3571" w:right="252" w:hanging="341"/>
        <w:rPr>
          <w:b w:val="0"/>
        </w:rPr>
      </w:pPr>
      <w:r>
        <w:rPr>
          <w:rFonts w:ascii="Arial" w:hAnsi="Arial"/>
          <w:color w:val="D19F2A"/>
          <w:sz w:val="26"/>
        </w:rPr>
        <w:t>► </w:t>
      </w:r>
      <w:r>
        <w:rPr>
          <w:b w:val="0"/>
          <w:color w:val="231F20"/>
        </w:rPr>
        <w:t>répondre aux questions et autres sujets soulignés par le Comité de la CDPH dans ses observations finales sur les rapports précédents ;</w:t>
      </w:r>
    </w:p>
    <w:p>
      <w:pPr>
        <w:pStyle w:val="BodyText"/>
        <w:spacing w:line="264" w:lineRule="auto" w:before="21"/>
        <w:ind w:left="3571" w:hanging="341"/>
        <w:rPr>
          <w:b w:val="0"/>
          <w:i/>
        </w:rPr>
      </w:pPr>
      <w:r>
        <w:rPr>
          <w:rFonts w:ascii="Arial" w:hAnsi="Arial"/>
          <w:color w:val="D19F2A"/>
          <w:sz w:val="26"/>
        </w:rPr>
        <w:t>► </w:t>
      </w:r>
      <w:r>
        <w:rPr>
          <w:b w:val="0"/>
          <w:color w:val="231F20"/>
        </w:rPr>
        <w:t>indiquer les progrès réalisés dans l’exercice des droits des personnes handicapées au cours de la période du rapport ; </w:t>
      </w:r>
      <w:r>
        <w:rPr>
          <w:b w:val="0"/>
          <w:i/>
          <w:color w:val="231F20"/>
        </w:rPr>
        <w:t>et</w:t>
      </w:r>
    </w:p>
    <w:p>
      <w:pPr>
        <w:pStyle w:val="BodyText"/>
        <w:spacing w:line="264" w:lineRule="auto" w:before="21"/>
        <w:ind w:left="3571" w:right="201" w:hanging="341"/>
        <w:rPr>
          <w:b w:val="0"/>
        </w:rPr>
      </w:pPr>
      <w:r>
        <w:rPr>
          <w:rFonts w:ascii="Arial" w:hAnsi="Arial"/>
          <w:color w:val="D19F2A"/>
          <w:sz w:val="26"/>
        </w:rPr>
        <w:t>► </w:t>
      </w:r>
      <w:r>
        <w:rPr>
          <w:b w:val="0"/>
          <w:color w:val="231F20"/>
        </w:rPr>
        <w:t>mettre en exergue tout obstacle auquel le gouvernement et les autres acteurs ont pu être confrontés en ce qui concerne l’application de la CDPH sur la période couverte par le rapport.</w:t>
      </w:r>
    </w:p>
    <w:p>
      <w:pPr>
        <w:pStyle w:val="BodyText"/>
        <w:spacing w:before="4"/>
        <w:rPr>
          <w:b w:val="0"/>
          <w:sz w:val="23"/>
        </w:rPr>
      </w:pPr>
      <w:r>
        <w:rPr/>
        <w:pict>
          <v:group style="position:absolute;margin-left:144.066895pt;margin-top:15.793004pt;width:394.05pt;height:63.85pt;mso-position-horizontal-relative:page;mso-position-vertical-relative:paragraph;z-index:2632;mso-wrap-distance-left:0;mso-wrap-distance-right:0" coordorigin="2881,316" coordsize="7881,1277">
            <v:rect style="position:absolute;left:2891;top:326;width:7860;height:1257" filled="true" fillcolor="#e6e7e8" stroked="false">
              <v:fill type="solid"/>
            </v:rect>
            <v:rect style="position:absolute;left:2891;top:316;width:7860;height:20" filled="true" fillcolor="#231f20" stroked="false">
              <v:fill type="solid"/>
            </v:rect>
            <v:line style="position:absolute" from="2891,1583" to="10752,1583" stroked="true" strokeweight="1pt" strokecolor="#231f20"/>
            <v:shape style="position:absolute;left:2891;top:326;width:7861;height:1257" type="#_x0000_t202" filled="false" stroked="false">
              <v:textbox inset="0,0,0,0">
                <w:txbxContent>
                  <w:p>
                    <w:pPr>
                      <w:spacing w:before="61"/>
                      <w:ind w:left="2435" w:right="95" w:firstLine="0"/>
                      <w:jc w:val="left"/>
                      <w:rPr>
                        <w:rFonts w:ascii="Myriad Pro"/>
                        <w:b/>
                        <w:sz w:val="22"/>
                      </w:rPr>
                    </w:pPr>
                    <w:r>
                      <w:rPr>
                        <w:rFonts w:ascii="Myriad Pro"/>
                        <w:b/>
                        <w:color w:val="231F20"/>
                        <w:sz w:val="22"/>
                      </w:rPr>
                      <w:t>Point sur la situation nationale</w:t>
                    </w:r>
                  </w:p>
                  <w:p>
                    <w:pPr>
                      <w:spacing w:line="259" w:lineRule="auto" w:before="71"/>
                      <w:ind w:left="80" w:right="95" w:firstLine="0"/>
                      <w:jc w:val="left"/>
                      <w:rPr>
                        <w:rFonts w:ascii="Myriad Pro" w:hAnsi="Myriad Pro"/>
                        <w:sz w:val="20"/>
                      </w:rPr>
                    </w:pPr>
                    <w:r>
                      <w:rPr>
                        <w:rFonts w:ascii="Myriad Pro" w:hAnsi="Myriad Pro"/>
                        <w:color w:val="231F20"/>
                        <w:sz w:val="20"/>
                      </w:rPr>
                      <w:t>Si votre pays a ratifié la CDPH, a-t-il soumis son rapport initial et les rapports suivants au Comité de la CDPH ? Si c’est le cas, le Comité de la CDPH a-t-il examiné le rapport de votre pays et quels sont ses commentaires généraux et ses observations finales ?</w:t>
                    </w:r>
                  </w:p>
                </w:txbxContent>
              </v:textbox>
              <w10:wrap type="none"/>
            </v:shape>
            <w10:wrap type="topAndBottom"/>
          </v:group>
        </w:pict>
      </w:r>
    </w:p>
    <w:p>
      <w:pPr>
        <w:pStyle w:val="BodyText"/>
        <w:rPr>
          <w:b w:val="0"/>
          <w:sz w:val="20"/>
        </w:rPr>
      </w:pPr>
    </w:p>
    <w:p>
      <w:pPr>
        <w:pStyle w:val="BodyText"/>
        <w:spacing w:before="7"/>
        <w:rPr>
          <w:b w:val="0"/>
          <w:sz w:val="15"/>
        </w:rPr>
      </w:pPr>
    </w:p>
    <w:p>
      <w:pPr>
        <w:pStyle w:val="Heading3"/>
        <w:spacing w:before="50"/>
        <w:rPr>
          <w:b/>
        </w:rPr>
      </w:pPr>
      <w:r>
        <w:rPr>
          <w:b/>
          <w:color w:val="D19F2A"/>
        </w:rPr>
        <w:t>Le rôle des organisations non gouvernementales</w:t>
      </w:r>
    </w:p>
    <w:p>
      <w:pPr>
        <w:pStyle w:val="BodyText"/>
        <w:spacing w:line="266" w:lineRule="auto" w:before="127"/>
        <w:ind w:left="2891" w:right="135"/>
        <w:rPr>
          <w:b w:val="0"/>
        </w:rPr>
      </w:pPr>
      <w:r>
        <w:rPr>
          <w:b w:val="0"/>
          <w:color w:val="231F20"/>
        </w:rPr>
        <w:t>Les organisations non gouvernementales (ONG), comme les OPH, jouent un rôle essentiel dans la transmission d’informations à la fois fiables et indépendantes au Comité de la CDPH. Une méthode majeure d’information du Comité de la CDPH consiste à recueillir des rapports parallèles (également appelés « contre-rapports », afin de compléter</w:t>
      </w:r>
    </w:p>
    <w:p>
      <w:pPr>
        <w:pStyle w:val="BodyText"/>
        <w:ind w:left="2891"/>
        <w:rPr>
          <w:b w:val="0"/>
        </w:rPr>
      </w:pPr>
      <w:r>
        <w:rPr>
          <w:b w:val="0"/>
          <w:color w:val="231F20"/>
        </w:rPr>
        <w:t>ou « contrebalancer » les rapports officiels du gouvernement. Ces informations</w:t>
      </w:r>
    </w:p>
    <w:p>
      <w:pPr>
        <w:pStyle w:val="BodyText"/>
        <w:spacing w:before="1"/>
        <w:rPr>
          <w:b w:val="0"/>
        </w:rPr>
      </w:pPr>
      <w:r>
        <w:rPr/>
        <w:pict>
          <v:line style="position:absolute;mso-position-horizontal-relative:page;mso-position-vertical-relative:paragraph;z-index:2656;mso-wrap-distance-left:0;mso-wrap-distance-right:0" from="144.567001pt,15.287499pt" to="243.780001pt,15.287499pt" stroked="true" strokeweight=".5pt" strokecolor="#231f20">
            <w10:wrap type="topAndBottom"/>
          </v:line>
        </w:pict>
      </w:r>
    </w:p>
    <w:p>
      <w:pPr>
        <w:tabs>
          <w:tab w:pos="3151" w:val="left" w:leader="none"/>
        </w:tabs>
        <w:spacing w:line="180" w:lineRule="exact" w:before="87"/>
        <w:ind w:left="3151" w:right="117" w:hanging="260"/>
        <w:jc w:val="left"/>
        <w:rPr>
          <w:b w:val="0"/>
          <w:sz w:val="17"/>
        </w:rPr>
      </w:pPr>
      <w:r>
        <w:rPr>
          <w:b w:val="0"/>
          <w:color w:val="231F20"/>
          <w:position w:val="6"/>
          <w:sz w:val="10"/>
        </w:rPr>
        <w:t>4</w:t>
        <w:tab/>
      </w:r>
      <w:r>
        <w:rPr>
          <w:b w:val="0"/>
          <w:color w:val="231F20"/>
          <w:sz w:val="17"/>
        </w:rPr>
        <w:t>CRPD/C/2/3, disponible à l’adresse suivante</w:t>
      </w:r>
      <w:r>
        <w:rPr>
          <w:b w:val="0"/>
          <w:color w:val="231F20"/>
          <w:spacing w:val="-17"/>
          <w:sz w:val="17"/>
        </w:rPr>
        <w:t> </w:t>
      </w:r>
      <w:r>
        <w:rPr>
          <w:b w:val="0"/>
          <w:color w:val="231F20"/>
          <w:sz w:val="17"/>
        </w:rPr>
        <w:t>:</w:t>
      </w:r>
      <w:r>
        <w:rPr>
          <w:b w:val="0"/>
          <w:color w:val="231F20"/>
          <w:spacing w:val="-4"/>
          <w:sz w:val="17"/>
        </w:rPr>
        <w:t> </w:t>
      </w:r>
      <w:hyperlink r:id="rId21">
        <w:r>
          <w:rPr>
            <w:b w:val="0"/>
            <w:color w:val="D19F2A"/>
            <w:sz w:val="17"/>
          </w:rPr>
          <w:t>http://tbinternet.ohchr.org/_layouts/treatybodyexternal/Download.</w:t>
        </w:r>
      </w:hyperlink>
      <w:r>
        <w:rPr>
          <w:b w:val="0"/>
          <w:color w:val="D19F2A"/>
          <w:sz w:val="17"/>
        </w:rPr>
        <w:t> aspx?symbolno=CRPD/</w:t>
      </w:r>
      <w:r>
        <w:rPr>
          <w:b w:val="0"/>
          <w:color w:val="D19F2A"/>
          <w:spacing w:val="-2"/>
          <w:sz w:val="17"/>
        </w:rPr>
        <w:t> </w:t>
      </w:r>
      <w:r>
        <w:rPr>
          <w:b w:val="0"/>
          <w:color w:val="D19F2A"/>
          <w:sz w:val="17"/>
        </w:rPr>
        <w:t>C/2/3&amp;Lang=en</w:t>
      </w:r>
    </w:p>
    <w:p>
      <w:pPr>
        <w:pStyle w:val="BodyText"/>
        <w:rPr>
          <w:b w:val="0"/>
          <w:sz w:val="25"/>
        </w:rPr>
      </w:pPr>
    </w:p>
    <w:p>
      <w:pPr>
        <w:spacing w:before="74"/>
        <w:ind w:left="3634" w:right="24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848"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10807;top:5588;width:176;height:288" type="#_x0000_t75" stroked="false">
              <v:imagedata r:id="rId22" o:title=""/>
            </v:shape>
            <v:shape style="position:absolute;left:9801;top:4718;width:1128;height:1298" coordorigin="9801,4718" coordsize="1128,1298" path="m10923,5177l10923,5179,10924,5180,10924,5181,10925,5181,10926,5183,10926,5187,10927,5190,10927,5193,10927,5197,10928,5200,10928,5205,10928,5205,10928,5206,10928,5209,10922,5221,10921,5225,10916,5236,10909,5251,10901,5268,10894,5281,10889,5294,10881,5303,10873,5315,10865,5327,10865,5328,10855,5337,10832,5356,10820,5367,10811,5375,10802,5383,10791,5397,10782,5409,10771,5421,10761,5432,10727,5498,10725,5504,10728,5503,10731,5507,10737,5516,10734,5534,10735,5544,10738,5559,10743,5567,10748,5573,10753,5581,10754,5585,10752,5601,10752,5608,10753,5626,10754,5645,10751,5663,10744,5679,10734,5690,10721,5697,10708,5704,10695,5712,10690,5716,10681,5727,10674,5733,10672,5735,10670,5737,10667,5739,10663,5744,10658,5750,10653,5753,10655,5763,10660,5778,10663,5798,10662,5821,10660,5833,10652,5834,10641,5840,10637,5842,10632,5844,10628,5846,10623,5849,10620,5852,10616,5854,10618,5862,10620,5865,10619,5871,10615,5885,10608,5900,10600,5910,10592,5919,10583,5931,10577,5941,10571,5949,10565,5955,10557,5963,10549,5970,10522,5993,10521,5995,10494,6002,10481,6004,10462,6004,10444,6005,10427,6010,10411,6015,10396,6016,10390,6015,10388,6011,10385,6008,10380,6001,10381,6004,10379,5994,10378,5989,10376,5983,10377,5978,10378,5972,10379,5967,10377,5960,10374,5951,10368,5943,10364,5934,10360,5925,10357,5915,10352,5907,10346,5899,10340,5894,10336,5885,10331,5870,10327,5853,10325,5835,10323,5819,10320,5801,10316,5788,10310,5777,10303,5761,10299,5752,10295,5742,10291,5734,10284,5723,10280,5725,10278,5708,10292,5635,10316,5603,10311,5588,10308,5578,10302,5569,10300,5560,10300,5554,10302,5549,10302,5541,10277,5475,10256,5450,10244,5436,10234,5421,10229,5403,10233,5401,10233,5401,10238,5400,10239,5396,10238,5392,10239,5387,10241,5375,10243,5363,10246,5352,10248,5342,10209,5311,10204,5312,10196,5315,10189,5317,10180,5313,10170,5298,10167,5292,10164,5283,10160,5279,10155,5278,10131,5279,10125,5280,10117,5282,10106,5287,10097,5290,10079,5298,10067,5304,10056,5307,10042,5305,10024,5302,10010,5301,9996,5304,9980,5309,9967,5314,9964,5318,9951,5311,9934,5301,9920,5289,9905,5276,9887,5264,9881,5261,9871,5251,9869,5245,9865,5235,9868,5224,9860,5216,9850,5207,9851,5212,9841,5198,9827,5182,9818,5176,9813,5169,9813,5152,9813,5140,9808,5136,9801,5126,9803,5124,9808,5121,9810,5119,9819,5110,9821,5095,9824,5083,9826,5068,9824,5055,9822,5046,9821,5040,9823,5035,9825,5033,9825,5026,9816,5020,9813,5011,9814,5002,9846,4954,9850,4948,9853,4943,9853,4936,9856,4930,9863,4918,9873,4912,9879,4902,9884,4892,9881,4894,9892,4890,9898,4887,9904,4885,9910,4882,9919,4877,9931,4866,9936,4858,9938,4851,9938,4843,9939,4832,9945,4816,9952,4799,9954,4797,9970,4790,9988,4779,9995,4768,9999,4758,10005,4750,10011,4745,10015,4752,10020,4756,10027,4760,10033,4759,10041,4758,10050,4757,10056,4760,10065,4760,10073,4760,10076,4755,10082,4751,10099,4743,10120,4736,10143,4731,10162,4730,10169,4730,10178,4732,10185,4730,10194,4728,10195,4727,10206,4727,10225,4727,10231,4726,10233,4725,10240,4723,10257,4718,10250,4724,10259,4727,10263,4728,10266,4728,10269,4730,10267,4735,10262,4740,10261,4745,10264,4748,10273,4758,10268,4765,10264,4771,10256,4775,10254,4782,10258,4786,10266,4789,10271,4792,10277,4796,10282,4799,10291,4800,10302,4801,10313,4803,10324,4807,10333,4813,10339,4819,10337,4824,10345,4828,10354,4831,10362,4832,10371,4835,10386,4842,10392,4846,10402,4847,10407,4842,10409,4834,10407,4831,10406,4824,10408,4813,10418,4805,10430,4801,10443,4801,10453,4804,10460,4811,10470,4815,10476,4817,10481,4816,10486,4819,10498,4824,10510,4827,10523,4830,10535,4832,10540,4834,10547,4836,10552,4837,10560,4837,10561,4832,10566,4829,10577,4823,10586,4823,10599,4827,10615,4832,10618,4832,10634,4828,10641,4846,10645,4858,10645,4870,10640,4890,10639,4894,10628,4894,10632,4904,10639,4920,10647,4936,10653,4947,10660,4960,10661,4954,10667,4961,10664,4971,10664,4976,10669,4982,10680,4991,10687,4996,10683,4992,10687,5001,10690,5015,10714,5065,10719,5074,10728,5096,10734,5110,10741,5118,10749,5123,10760,5131,10799,5173,10797,5178,10795,5186,10795,5184,10799,5189,10812,5202,10820,5204,10828,5200,10844,5197,10856,5196,10858,5191,10871,5189,10919,5172,10923,5177xe" filled="false" stroked="true" strokeweight="2.726pt" strokecolor="#d19f2a">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11</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7"/>
        </w:rPr>
      </w:pPr>
    </w:p>
    <w:p>
      <w:pPr>
        <w:pStyle w:val="BodyText"/>
        <w:spacing w:line="266" w:lineRule="auto" w:before="68"/>
        <w:ind w:left="113" w:right="2852"/>
        <w:rPr>
          <w:b w:val="0"/>
        </w:rPr>
      </w:pPr>
      <w:r>
        <w:rPr>
          <w:b w:val="0"/>
          <w:color w:val="231F20"/>
        </w:rPr>
        <w:t>complémentaires sont souvent très utiles pour aider les organes du traité à développer une compréhension approfondie de la situation des personnes handicapées dans un pays particulier, lorsqu’ils examinent le rapport officiel du gouvernement.</w:t>
      </w:r>
    </w:p>
    <w:p>
      <w:pPr>
        <w:pStyle w:val="BodyText"/>
        <w:spacing w:line="266" w:lineRule="auto" w:before="114"/>
        <w:ind w:left="113" w:right="3159"/>
        <w:rPr>
          <w:b w:val="0"/>
        </w:rPr>
      </w:pPr>
      <w:r>
        <w:rPr>
          <w:b w:val="0"/>
          <w:color w:val="231F20"/>
        </w:rPr>
        <w:t>Bien que les contre-rapports remis aux organes des traités ne respectent pas un format homogène, ils doivent en général :</w:t>
      </w:r>
    </w:p>
    <w:p>
      <w:pPr>
        <w:pStyle w:val="BodyText"/>
        <w:spacing w:line="264" w:lineRule="auto" w:before="19"/>
        <w:ind w:left="793" w:right="3019" w:hanging="341"/>
        <w:rPr>
          <w:b w:val="0"/>
        </w:rPr>
      </w:pPr>
      <w:r>
        <w:rPr>
          <w:rFonts w:ascii="Arial" w:hAnsi="Arial"/>
          <w:color w:val="D19F2A"/>
          <w:sz w:val="26"/>
        </w:rPr>
        <w:t>► </w:t>
      </w:r>
      <w:r>
        <w:rPr>
          <w:b w:val="0"/>
          <w:color w:val="231F20"/>
        </w:rPr>
        <w:t>être organisés conformément aux articles du traité auquel ils font référence, sous la forme de commentaires du rapport de l’État partie ; et</w:t>
      </w:r>
    </w:p>
    <w:p>
      <w:pPr>
        <w:pStyle w:val="BodyText"/>
        <w:spacing w:line="264" w:lineRule="auto" w:before="21"/>
        <w:ind w:left="793" w:right="3220" w:hanging="341"/>
        <w:rPr>
          <w:b w:val="0"/>
        </w:rPr>
      </w:pPr>
      <w:r>
        <w:rPr>
          <w:rFonts w:ascii="Arial" w:hAnsi="Arial"/>
          <w:color w:val="D19F2A"/>
          <w:sz w:val="26"/>
        </w:rPr>
        <w:t>► </w:t>
      </w:r>
      <w:r>
        <w:rPr>
          <w:b w:val="0"/>
          <w:color w:val="231F20"/>
        </w:rPr>
        <w:t>identifier les lacunes d’application, mettre en lumière les sujets d’inquiétude et apporter des recommandations concrètes pour faire progresser l’application.</w:t>
      </w:r>
    </w:p>
    <w:p>
      <w:pPr>
        <w:pStyle w:val="BodyText"/>
        <w:spacing w:before="4"/>
        <w:rPr>
          <w:b w:val="0"/>
          <w:sz w:val="23"/>
        </w:rPr>
      </w:pPr>
      <w:r>
        <w:rPr/>
        <w:pict>
          <v:group style="position:absolute;margin-left:56.192902pt;margin-top:15.790998pt;width:394.05pt;height:114.55pt;mso-position-horizontal-relative:page;mso-position-vertical-relative:paragraph;z-index:2752;mso-wrap-distance-left:0;mso-wrap-distance-right:0" coordorigin="1124,316" coordsize="7881,2291">
            <v:rect style="position:absolute;left:1134;top:326;width:7860;height:2270" filled="true" fillcolor="#e6e7e8" stroked="false">
              <v:fill type="solid"/>
            </v:rect>
            <v:rect style="position:absolute;left:1134;top:316;width:7860;height:20" filled="true" fillcolor="#231f20" stroked="false">
              <v:fill type="solid"/>
            </v:rect>
            <v:line style="position:absolute" from="1134,2596" to="8994,2596" stroked="true" strokeweight="1pt" strokecolor="#231f20"/>
            <v:shape style="position:absolute;left:1134;top:326;width:7861;height:2271" type="#_x0000_t202" filled="false" stroked="false">
              <v:textbox inset="0,0,0,0">
                <w:txbxContent>
                  <w:p>
                    <w:pPr>
                      <w:spacing w:before="61"/>
                      <w:ind w:left="2435" w:right="95" w:firstLine="0"/>
                      <w:jc w:val="left"/>
                      <w:rPr>
                        <w:rFonts w:ascii="Myriad Pro"/>
                        <w:b/>
                        <w:sz w:val="22"/>
                      </w:rPr>
                    </w:pPr>
                    <w:r>
                      <w:rPr>
                        <w:rFonts w:ascii="Myriad Pro"/>
                        <w:b/>
                        <w:color w:val="231F20"/>
                        <w:sz w:val="22"/>
                      </w:rPr>
                      <w:t>Point sur la situation nationale</w:t>
                    </w:r>
                  </w:p>
                  <w:p>
                    <w:pPr>
                      <w:numPr>
                        <w:ilvl w:val="0"/>
                        <w:numId w:val="4"/>
                      </w:numPr>
                      <w:tabs>
                        <w:tab w:pos="360" w:val="left" w:leader="none"/>
                      </w:tabs>
                      <w:spacing w:before="51"/>
                      <w:ind w:left="360" w:right="340" w:hanging="280"/>
                      <w:jc w:val="left"/>
                      <w:rPr>
                        <w:rFonts w:ascii="Myriad Pro" w:hAnsi="Myriad Pro"/>
                        <w:sz w:val="20"/>
                      </w:rPr>
                    </w:pPr>
                    <w:r>
                      <w:rPr>
                        <w:rFonts w:ascii="Myriad Pro" w:hAnsi="Myriad Pro"/>
                        <w:color w:val="231F20"/>
                        <w:sz w:val="20"/>
                      </w:rPr>
                      <w:t>Des OPH ou d’autres ONG réalisent-elles des contre-rapports ou mènent-elles d’autres formes de suivi des droits des personnes handicapées ou de leur intégration dans les processus de développement tels que la planification de la réduction de la pauvreté</w:t>
                    </w:r>
                    <w:r>
                      <w:rPr>
                        <w:rFonts w:ascii="Myriad Pro" w:hAnsi="Myriad Pro"/>
                        <w:color w:val="231F20"/>
                        <w:spacing w:val="-15"/>
                        <w:sz w:val="20"/>
                      </w:rPr>
                      <w:t> </w:t>
                    </w:r>
                    <w:r>
                      <w:rPr>
                        <w:rFonts w:ascii="Myriad Pro" w:hAnsi="Myriad Pro"/>
                        <w:color w:val="231F20"/>
                        <w:sz w:val="20"/>
                      </w:rPr>
                      <w:t>et autres aspects du développement</w:t>
                    </w:r>
                    <w:r>
                      <w:rPr>
                        <w:rFonts w:ascii="Myriad Pro" w:hAnsi="Myriad Pro"/>
                        <w:color w:val="231F20"/>
                        <w:spacing w:val="-3"/>
                        <w:sz w:val="20"/>
                      </w:rPr>
                      <w:t> </w:t>
                    </w:r>
                    <w:r>
                      <w:rPr>
                        <w:rFonts w:ascii="Myriad Pro" w:hAnsi="Myriad Pro"/>
                        <w:color w:val="231F20"/>
                        <w:sz w:val="20"/>
                      </w:rPr>
                      <w:t>?</w:t>
                    </w:r>
                  </w:p>
                  <w:p>
                    <w:pPr>
                      <w:numPr>
                        <w:ilvl w:val="0"/>
                        <w:numId w:val="4"/>
                      </w:numPr>
                      <w:tabs>
                        <w:tab w:pos="360" w:val="left" w:leader="none"/>
                      </w:tabs>
                      <w:spacing w:before="113"/>
                      <w:ind w:left="360" w:right="122" w:hanging="280"/>
                      <w:jc w:val="left"/>
                      <w:rPr>
                        <w:rFonts w:ascii="Myriad Pro" w:hAnsi="Myriad Pro"/>
                        <w:sz w:val="20"/>
                      </w:rPr>
                    </w:pPr>
                    <w:r>
                      <w:rPr>
                        <w:rFonts w:ascii="Myriad Pro" w:hAnsi="Myriad Pro"/>
                        <w:color w:val="231F20"/>
                        <w:sz w:val="20"/>
                      </w:rPr>
                      <w:t>En vous reportant aux « Bonnes pratiques pour la production de contre-rapports » ci- après, discutez de la façon dont les OPH pourraient participer au suivi et dites en quoi</w:t>
                    </w:r>
                    <w:r>
                      <w:rPr>
                        <w:rFonts w:ascii="Myriad Pro" w:hAnsi="Myriad Pro"/>
                        <w:color w:val="231F20"/>
                        <w:spacing w:val="-12"/>
                        <w:sz w:val="20"/>
                      </w:rPr>
                      <w:t> </w:t>
                    </w:r>
                    <w:r>
                      <w:rPr>
                        <w:rFonts w:ascii="Myriad Pro" w:hAnsi="Myriad Pro"/>
                        <w:color w:val="231F20"/>
                        <w:sz w:val="20"/>
                      </w:rPr>
                      <w:t>cet engagement est susceptible de soutenir l’application de la</w:t>
                    </w:r>
                    <w:r>
                      <w:rPr>
                        <w:rFonts w:ascii="Myriad Pro" w:hAnsi="Myriad Pro"/>
                        <w:color w:val="231F20"/>
                        <w:spacing w:val="-9"/>
                        <w:sz w:val="20"/>
                      </w:rPr>
                      <w:t> </w:t>
                    </w:r>
                    <w:r>
                      <w:rPr>
                        <w:rFonts w:ascii="Myriad Pro" w:hAnsi="Myriad Pro"/>
                        <w:color w:val="231F20"/>
                        <w:sz w:val="20"/>
                      </w:rPr>
                      <w:t>CDPH.</w:t>
                    </w:r>
                  </w:p>
                </w:txbxContent>
              </v:textbox>
              <w10:wrap type="none"/>
            </v:shape>
            <w10:wrap type="topAndBottom"/>
          </v:group>
        </w:pict>
      </w:r>
      <w:r>
        <w:rPr/>
        <w:pict>
          <v:group style="position:absolute;margin-left:56.192902pt;margin-top:147.308792pt;width:395.05pt;height:312.05pt;mso-position-horizontal-relative:page;mso-position-vertical-relative:paragraph;z-index:2800;mso-wrap-distance-left:0;mso-wrap-distance-right:0" coordorigin="1124,2946" coordsize="7901,6241">
            <v:rect style="position:absolute;left:1134;top:2946;width:7880;height:363" filled="true" fillcolor="#d19f2a" stroked="false">
              <v:fill type="solid"/>
            </v:rect>
            <v:rect style="position:absolute;left:1134;top:3310;width:7880;height:5867" filled="true" fillcolor="#f8f0e2" stroked="false">
              <v:fill type="solid"/>
            </v:rect>
            <v:line style="position:absolute" from="1134,9177" to="9014,9177" stroked="true" strokeweight="1pt" strokecolor="#d19f2a"/>
            <v:shape style="position:absolute;left:1124;top:2946;width:7901;height:6241" type="#_x0000_t202" filled="false" stroked="false">
              <v:textbox inset="0,0,0,0">
                <w:txbxContent>
                  <w:p>
                    <w:pPr>
                      <w:spacing w:before="32"/>
                      <w:ind w:left="1204" w:right="534" w:firstLine="0"/>
                      <w:jc w:val="left"/>
                      <w:rPr>
                        <w:rFonts w:ascii="Myriad Pro"/>
                        <w:b/>
                        <w:sz w:val="22"/>
                      </w:rPr>
                    </w:pPr>
                    <w:r>
                      <w:rPr>
                        <w:rFonts w:ascii="Myriad Pro"/>
                        <w:b/>
                        <w:color w:val="FFFFFF"/>
                        <w:sz w:val="22"/>
                      </w:rPr>
                      <w:t>Bonnes pratiques pour la production de contre-rapports</w:t>
                    </w:r>
                  </w:p>
                  <w:p>
                    <w:pPr>
                      <w:spacing w:before="188"/>
                      <w:ind w:left="803" w:right="462" w:hanging="284"/>
                      <w:jc w:val="left"/>
                      <w:rPr>
                        <w:rFonts w:ascii="Myriad Pro" w:hAnsi="Myriad Pro"/>
                        <w:sz w:val="20"/>
                      </w:rPr>
                    </w:pPr>
                    <w:r>
                      <w:rPr>
                        <w:rFonts w:ascii="Arial" w:hAnsi="Arial"/>
                        <w:color w:val="231F20"/>
                        <w:w w:val="120"/>
                        <w:sz w:val="20"/>
                      </w:rPr>
                      <w:t>z  </w:t>
                    </w:r>
                    <w:r>
                      <w:rPr>
                        <w:rFonts w:ascii="Myriad Pro" w:hAnsi="Myriad Pro"/>
                        <w:color w:val="231F20"/>
                        <w:sz w:val="20"/>
                      </w:rPr>
                      <w:t>Les OPH peuvent utiliser les directives relatives à l’établissement des rapports du Comité de la CDPH à l’intention des États parties, qui peuvent constituer des listes de contrôle utiles lors de la préparation de rapports alternatifs. Couvrir tous les articles de la CDPH peut s’avérer utile pour le Comité, mais cela </w:t>
                    </w:r>
                    <w:r>
                      <w:rPr>
                        <w:rFonts w:ascii="Myriad Pro" w:hAnsi="Myriad Pro"/>
                        <w:color w:val="231F20"/>
                        <w:spacing w:val="-5"/>
                        <w:sz w:val="20"/>
                      </w:rPr>
                      <w:t>n’est</w:t>
                    </w:r>
                    <w:r>
                      <w:rPr>
                        <w:rFonts w:ascii="Myriad Pro" w:hAnsi="Myriad Pro"/>
                        <w:color w:val="231F20"/>
                        <w:spacing w:val="-20"/>
                        <w:sz w:val="20"/>
                      </w:rPr>
                      <w:t> </w:t>
                    </w:r>
                    <w:r>
                      <w:rPr>
                        <w:rFonts w:ascii="Myriad Pro" w:hAnsi="Myriad Pro"/>
                        <w:color w:val="231F20"/>
                        <w:sz w:val="20"/>
                      </w:rPr>
                      <w:t>pas indispensable.</w:t>
                    </w:r>
                  </w:p>
                  <w:p>
                    <w:pPr>
                      <w:spacing w:before="56"/>
                      <w:ind w:left="803" w:right="229" w:hanging="284"/>
                      <w:jc w:val="left"/>
                      <w:rPr>
                        <w:rFonts w:ascii="Myriad Pro" w:hAnsi="Myriad Pro"/>
                        <w:sz w:val="20"/>
                      </w:rPr>
                    </w:pPr>
                    <w:r>
                      <w:rPr>
                        <w:rFonts w:ascii="Arial" w:hAnsi="Arial"/>
                        <w:color w:val="231F20"/>
                        <w:w w:val="120"/>
                        <w:sz w:val="20"/>
                      </w:rPr>
                      <w:t>z </w:t>
                    </w:r>
                    <w:r>
                      <w:rPr>
                        <w:rFonts w:ascii="Myriad Pro" w:hAnsi="Myriad Pro"/>
                        <w:color w:val="231F20"/>
                        <w:sz w:val="20"/>
                      </w:rPr>
                      <w:t>Il est souvent utile pour les ONG de travailler à plusieurs pour rédiger des contre- rapports. Par exemple, une OPH peut collaborer avec une ONG qui s’occupe des droits des femmes pour rédiger un contre-rapport sur les droits des femmes handicapées en matière de procréation, chaque organisation apportant sa contribution dans son domaine d’expertise. Travailler en groupe est aussi un moyen efficace de s’assurer que l’organe de suivi du traité pourra se faire une idée complète de la situation dans un pays particulier.</w:t>
                    </w:r>
                  </w:p>
                  <w:p>
                    <w:pPr>
                      <w:spacing w:before="56"/>
                      <w:ind w:left="803" w:right="534" w:hanging="284"/>
                      <w:jc w:val="left"/>
                      <w:rPr>
                        <w:rFonts w:ascii="Myriad Pro" w:hAnsi="Myriad Pro"/>
                        <w:sz w:val="20"/>
                      </w:rPr>
                    </w:pPr>
                    <w:r>
                      <w:rPr>
                        <w:rFonts w:ascii="Arial" w:hAnsi="Arial"/>
                        <w:color w:val="231F20"/>
                        <w:w w:val="120"/>
                        <w:sz w:val="20"/>
                      </w:rPr>
                      <w:t>z </w:t>
                    </w:r>
                    <w:r>
                      <w:rPr>
                        <w:rFonts w:ascii="Myriad Pro" w:hAnsi="Myriad Pro"/>
                        <w:color w:val="231F20"/>
                        <w:sz w:val="20"/>
                      </w:rPr>
                      <w:t>Les rapports alternatifs peuvent comporter des recommandations et des propositions de questions à inclure dans la liste de sujets à éclaircir qui sera élaborée par le Comité.</w:t>
                    </w:r>
                  </w:p>
                  <w:p>
                    <w:pPr>
                      <w:spacing w:before="56"/>
                      <w:ind w:left="802" w:right="229" w:hanging="284"/>
                      <w:jc w:val="left"/>
                      <w:rPr>
                        <w:rFonts w:ascii="Myriad Pro" w:hAnsi="Myriad Pro"/>
                        <w:sz w:val="20"/>
                      </w:rPr>
                    </w:pPr>
                    <w:r>
                      <w:rPr>
                        <w:rFonts w:ascii="Arial" w:hAnsi="Arial"/>
                        <w:color w:val="231F20"/>
                        <w:w w:val="120"/>
                        <w:sz w:val="20"/>
                      </w:rPr>
                      <w:t>z </w:t>
                    </w:r>
                    <w:r>
                      <w:rPr>
                        <w:rFonts w:ascii="Myriad Pro" w:hAnsi="Myriad Pro"/>
                        <w:color w:val="231F20"/>
                        <w:sz w:val="20"/>
                      </w:rPr>
                      <w:t>Les intervenants doivent respecter les directives éthiques essentielles et les principes des droits de l’homme dans leur préparation des contre-rapports : (1) veiller à présenter des informations exactes ; (2) travailler en partenariat avec des organisations locales et consulter des experts du handicap ; (3) éviter les conflits d’intérêts (par exemple, participer à un contre-rapport sans divulguer ces liens étroits au gouvernement), entre autres.</w:t>
                    </w:r>
                  </w:p>
                  <w:p>
                    <w:pPr>
                      <w:spacing w:before="151"/>
                      <w:ind w:left="180" w:right="534" w:firstLine="0"/>
                      <w:jc w:val="left"/>
                      <w:rPr>
                        <w:b w:val="0"/>
                        <w:i/>
                        <w:sz w:val="16"/>
                      </w:rPr>
                    </w:pPr>
                    <w:r>
                      <w:rPr>
                        <w:b w:val="0"/>
                        <w:i/>
                        <w:color w:val="231F20"/>
                        <w:sz w:val="16"/>
                      </w:rPr>
                      <w:t>Source : One Billion Strong, Disability Human Rights Reporting (2012)</w:t>
                    </w:r>
                  </w:p>
                </w:txbxContent>
              </v:textbox>
              <w10:wrap type="none"/>
            </v:shape>
            <w10:wrap type="topAndBottom"/>
          </v:group>
        </w:pict>
      </w:r>
    </w:p>
    <w:p>
      <w:pPr>
        <w:pStyle w:val="BodyText"/>
        <w:spacing w:before="11"/>
        <w:rPr>
          <w:b w:val="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8"/>
        </w:rPr>
      </w:pPr>
    </w:p>
    <w:p>
      <w:pPr>
        <w:spacing w:line="192" w:lineRule="exact" w:before="75"/>
        <w:ind w:left="310" w:right="0"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187" w:right="0"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1352"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963;top:12396;width:176;height:288" type="#_x0000_t75" stroked="false">
              <v:imagedata r:id="rId23" o:title=""/>
            </v:shape>
            <v:shape style="position:absolute;left:957;top:11526;width:1128;height:1298" coordorigin="957,11526" coordsize="1128,1298" path="m2079,11985l2079,11987,2080,11988,2080,11989,2081,11989,2082,11991,2082,11995,2083,11998,2083,12001,2083,12005,2084,12008,2084,12013,2084,12013,2084,12013,2084,12017,2078,12028,2077,12032,2072,12043,2065,12059,2057,12075,2050,12089,2045,12102,2037,12111,2029,12123,2021,12135,2021,12136,2011,12145,1988,12164,1976,12175,1967,12182,1958,12191,1947,12205,1937,12217,1927,12229,1917,12240,1883,12306,1881,12312,1884,12311,1887,12315,1893,12324,1890,12342,1891,12352,1894,12366,1899,12374,1904,12381,1909,12389,1910,12393,1908,12409,1908,12415,1909,12434,1910,12453,1907,12471,1900,12487,1890,12498,1877,12505,1864,12512,1851,12520,1846,12523,1837,12535,1830,12541,1828,12543,1826,12545,1823,12547,1818,12552,1814,12558,1809,12560,1811,12571,1816,12586,1819,12605,1818,12629,1816,12641,1808,12642,1797,12647,1793,12650,1788,12652,1784,12654,1779,12657,1776,12660,1772,12662,1774,12670,1775,12673,1775,12679,1771,12693,1764,12708,1756,12718,1748,12726,1739,12739,1733,12749,1727,12756,1721,12763,1712,12771,1705,12778,1678,12801,1676,12803,1650,12809,1637,12812,1618,12811,1600,12813,1583,12818,1567,12823,1552,12824,1546,12823,1544,12819,1541,12815,1536,12809,1537,12812,1535,12802,1534,12797,1532,12790,1533,12786,1534,12780,1535,12775,1533,12768,1530,12759,1524,12751,1520,12742,1516,12733,1512,12723,1507,12715,1502,12707,1496,12702,1491,12692,1487,12678,1483,12661,1480,12643,1479,12627,1476,12608,1472,12596,1466,12585,1459,12569,1455,12560,1451,12550,1446,12542,1440,12531,1436,12532,1434,12516,1448,12442,1472,12411,1467,12395,1464,12386,1458,12377,1456,12368,1456,12361,1458,12356,1458,12349,1433,12283,1412,12258,1400,12244,1390,12229,1385,12210,1389,12209,1389,12208,1394,12208,1395,12204,1394,12200,1395,12195,1396,12183,1399,12171,1401,12159,1404,12150,1365,12119,1359,12120,1352,12123,1345,12125,1336,12121,1326,12105,1323,12100,1320,12091,1316,12087,1311,12086,1287,12087,1281,12088,1273,12090,1262,12095,1253,12098,1235,12106,1223,12112,1212,12115,1198,12113,1180,12109,1166,12109,1152,12112,1136,12117,1123,12121,1120,12126,1107,12119,1090,12109,1076,12097,1061,12084,1043,12072,1037,12068,1027,12059,1025,12053,1021,12043,1024,12032,1015,12024,1006,12015,1007,12020,997,12006,983,11990,974,11983,969,11977,969,11960,969,11948,964,11944,957,11934,959,11932,964,11929,966,11927,975,11918,977,11903,980,11891,982,11876,980,11863,978,11854,977,11848,979,11843,981,11841,981,11834,972,11828,969,11819,970,11810,1002,11762,1006,11756,1009,11750,1009,11744,1012,11738,1019,11726,1028,11720,1035,11709,1040,11700,1037,11702,1048,11698,1053,11695,1060,11693,1066,11690,1075,11685,1087,11674,1092,11665,1094,11658,1094,11651,1095,11640,1100,11624,1107,11607,1110,11605,1126,11598,1143,11587,1151,11576,1155,11566,1161,11558,1167,11553,1171,11560,1176,11563,1183,11568,1189,11567,1197,11566,1206,11565,1212,11568,1221,11568,1229,11568,1231,11563,1238,11559,1255,11551,1276,11544,1299,11539,1318,11538,1325,11538,1333,11540,1341,11538,1350,11536,1351,11535,1362,11535,1380,11535,1387,11534,1389,11533,1396,11531,1413,11526,1405,11532,1415,11535,1419,11536,1422,11536,1425,11538,1423,11543,1417,11548,1417,11553,1420,11556,1429,11566,1424,11573,1420,11579,1412,11583,1410,11590,1414,11594,1422,11597,1427,11600,1433,11604,1438,11607,1447,11608,1458,11609,1469,11611,1480,11614,1489,11621,1494,11627,1493,11632,1501,11636,1510,11639,1517,11640,1527,11642,1542,11650,1548,11654,1558,11655,1563,11649,1564,11642,1562,11638,1561,11631,1564,11621,1573,11613,1586,11609,1598,11609,1609,11612,1616,11619,1626,11623,1632,11625,1637,11624,1642,11627,1654,11632,1666,11635,1679,11637,1691,11640,1696,11642,1703,11644,1708,11645,1716,11645,1717,11640,1722,11637,1733,11630,1741,11631,1754,11635,1771,11640,1774,11639,1790,11636,1797,11654,1801,11666,1801,11678,1796,11698,1794,11702,1784,11702,1787,11712,1795,11728,1803,11744,1809,11755,1816,11768,1817,11762,1822,11769,1820,11779,1820,11784,1825,11790,1836,11798,1843,11804,1839,11800,1843,11809,1846,11823,1870,11873,1875,11881,1884,11904,1890,11918,1897,11926,1905,11931,1916,11939,1955,11981,1953,11986,1951,11994,1951,11992,1955,11997,1968,12010,1975,12012,1984,12008,2000,12005,2012,12004,2014,11999,2027,11997,2075,11980,2079,11985xe" filled="false" stroked="true" strokeweight="2.726pt" strokecolor="#d19f2a">
              <v:path arrowok="t"/>
            </v:shape>
            <v:shape style="position:absolute;left:1757;top:16142;width:908;height:321" type="#_x0000_t202" filled="true" fillcolor="#d19f2a" stroked="false">
              <v:textbox inset="0,0,0,0">
                <w:txbxContent>
                  <w:p>
                    <w:pPr>
                      <w:spacing w:line="310" w:lineRule="exact" w:before="10"/>
                      <w:ind w:left="583" w:right="0" w:firstLine="0"/>
                      <w:jc w:val="left"/>
                      <w:rPr>
                        <w:rFonts w:ascii="Myriad Pro"/>
                        <w:sz w:val="26"/>
                      </w:rPr>
                    </w:pPr>
                    <w:r>
                      <w:rPr>
                        <w:rFonts w:ascii="Myriad Pro"/>
                        <w:color w:val="FFFFFF"/>
                        <w:sz w:val="26"/>
                      </w:rPr>
                      <w:t>12</w:t>
                    </w:r>
                  </w:p>
                </w:txbxContent>
              </v:textbox>
              <v:fill type="solid"/>
              <w10:wrap type="none"/>
            </v:shape>
            <w10:wrap type="none"/>
          </v:group>
        </w:pict>
      </w:r>
    </w:p>
    <w:p>
      <w:pPr>
        <w:spacing w:before="75"/>
        <w:ind w:left="2892"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rPr>
          <w:b/>
        </w:rPr>
      </w:pPr>
      <w:r>
        <w:rPr>
          <w:b/>
          <w:color w:val="D19F2A"/>
        </w:rPr>
        <w:t>Autres possibilités de suivi international des droits des personnes handicapées</w:t>
      </w:r>
    </w:p>
    <w:p>
      <w:pPr>
        <w:pStyle w:val="BodyText"/>
        <w:spacing w:line="266" w:lineRule="auto" w:before="133"/>
        <w:ind w:left="2891" w:right="241"/>
        <w:rPr>
          <w:b w:val="0"/>
        </w:rPr>
      </w:pPr>
      <w:r>
        <w:rPr>
          <w:b w:val="0"/>
          <w:color w:val="231F20"/>
        </w:rPr>
        <w:t>En plus de la procédure de rapport en vertu de la CDPH, les États parties et les organisations de la société civile peuvent étendre la portée de la CDPH en incluant des informations sur l’application des droits des personnes handicapées dans les rapports remis dans le cadre d’autres traités relatifs aux droits de l’homme ou aux cadres de développement. Par exemple, des informations sur la situation des droits des personnes handicapées peuvent être incluses dans les documents préparés pour :</w:t>
      </w:r>
    </w:p>
    <w:p>
      <w:pPr>
        <w:pStyle w:val="BodyText"/>
        <w:spacing w:line="264" w:lineRule="auto" w:before="19"/>
        <w:ind w:left="3571" w:right="610" w:hanging="341"/>
        <w:rPr>
          <w:b w:val="0"/>
        </w:rPr>
      </w:pPr>
      <w:r>
        <w:rPr>
          <w:rFonts w:ascii="Arial" w:hAnsi="Arial"/>
          <w:color w:val="D19F2A"/>
          <w:sz w:val="26"/>
        </w:rPr>
        <w:t>► </w:t>
      </w:r>
      <w:r>
        <w:rPr>
          <w:b w:val="0"/>
          <w:color w:val="231F20"/>
        </w:rPr>
        <w:t>l’Examen périodique universel du Conseil des droits de l’homme des Nations Unies ;</w:t>
      </w:r>
    </w:p>
    <w:p>
      <w:pPr>
        <w:pStyle w:val="BodyText"/>
        <w:spacing w:line="264" w:lineRule="auto" w:before="21"/>
        <w:ind w:left="3571" w:right="217" w:hanging="341"/>
        <w:rPr>
          <w:b w:val="0"/>
        </w:rPr>
      </w:pPr>
      <w:r>
        <w:rPr>
          <w:rFonts w:ascii="Arial" w:hAnsi="Arial"/>
          <w:color w:val="D19F2A"/>
          <w:sz w:val="26"/>
        </w:rPr>
        <w:t>► </w:t>
      </w:r>
      <w:r>
        <w:rPr>
          <w:b w:val="0"/>
          <w:color w:val="231F20"/>
        </w:rPr>
        <w:t>d’autres organes de traités des Nations Unies sur les droits de l’homme, tels que le Comité pour l’élimination de la discrimination à l’égard des femmes ; le Comité des droits de l’enfant ou le Comité contre la torture ;</w:t>
      </w:r>
    </w:p>
    <w:p>
      <w:pPr>
        <w:pStyle w:val="BodyText"/>
        <w:spacing w:line="264" w:lineRule="auto" w:before="22"/>
        <w:ind w:left="3571" w:hanging="341"/>
        <w:rPr>
          <w:b w:val="0"/>
        </w:rPr>
      </w:pPr>
      <w:r>
        <w:rPr>
          <w:rFonts w:ascii="Arial" w:hAnsi="Arial"/>
          <w:color w:val="D19F2A"/>
          <w:sz w:val="26"/>
        </w:rPr>
        <w:t>► </w:t>
      </w:r>
      <w:r>
        <w:rPr>
          <w:b w:val="0"/>
          <w:color w:val="231F20"/>
        </w:rPr>
        <w:t>les rapports volontaires concernant les efforts visant à atteindre les objectifs internationaux de développement, comme prévu, par exemple, par l’avant-projet d’objectifs de développement durable ;</w:t>
      </w:r>
    </w:p>
    <w:p>
      <w:pPr>
        <w:pStyle w:val="BodyText"/>
        <w:spacing w:line="264" w:lineRule="auto" w:before="22"/>
        <w:ind w:left="3571" w:right="241" w:hanging="341"/>
        <w:rPr>
          <w:b w:val="0"/>
        </w:rPr>
      </w:pPr>
      <w:r>
        <w:rPr>
          <w:rFonts w:ascii="Arial" w:hAnsi="Arial"/>
          <w:color w:val="D19F2A"/>
          <w:sz w:val="26"/>
        </w:rPr>
        <w:t>► </w:t>
      </w:r>
      <w:r>
        <w:rPr>
          <w:b w:val="0"/>
          <w:color w:val="231F20"/>
        </w:rPr>
        <w:t>tous les efforts visant à appliquer le document final de la réunion de haut niveau de l’Assemblée générale des Nations Unies sur la question du handicap et du développement.</w:t>
      </w:r>
    </w:p>
    <w:p>
      <w:pPr>
        <w:pStyle w:val="BodyText"/>
        <w:rPr>
          <w:b w:val="0"/>
        </w:rPr>
      </w:pPr>
    </w:p>
    <w:p>
      <w:pPr>
        <w:pStyle w:val="BodyText"/>
        <w:spacing w:before="6"/>
        <w:rPr>
          <w:b w:val="0"/>
          <w:sz w:val="20"/>
        </w:rPr>
      </w:pPr>
    </w:p>
    <w:p>
      <w:pPr>
        <w:pStyle w:val="Heading2"/>
        <w:numPr>
          <w:ilvl w:val="1"/>
          <w:numId w:val="3"/>
        </w:numPr>
        <w:tabs>
          <w:tab w:pos="3612" w:val="left" w:leader="none"/>
        </w:tabs>
        <w:spacing w:line="340" w:lineRule="exact" w:before="0" w:after="0"/>
        <w:ind w:left="3611" w:right="663" w:hanging="720"/>
        <w:jc w:val="left"/>
        <w:rPr>
          <w:b/>
        </w:rPr>
      </w:pPr>
      <w:bookmarkStart w:name="_TOC_250004" w:id="6"/>
      <w:r>
        <w:rPr>
          <w:b/>
          <w:color w:val="231F20"/>
        </w:rPr>
        <w:t>Procédures de suivi conformément au</w:t>
      </w:r>
      <w:r>
        <w:rPr>
          <w:b/>
          <w:color w:val="231F20"/>
          <w:spacing w:val="-33"/>
        </w:rPr>
        <w:t> </w:t>
      </w:r>
      <w:r>
        <w:rPr>
          <w:b/>
          <w:color w:val="231F20"/>
        </w:rPr>
        <w:t>Protocole facultatif de la</w:t>
      </w:r>
      <w:r>
        <w:rPr>
          <w:b/>
          <w:color w:val="231F20"/>
          <w:spacing w:val="-2"/>
        </w:rPr>
        <w:t> </w:t>
      </w:r>
      <w:bookmarkEnd w:id="6"/>
      <w:r>
        <w:rPr>
          <w:b/>
          <w:color w:val="231F20"/>
        </w:rPr>
        <w:t>CDPH</w:t>
      </w:r>
    </w:p>
    <w:p>
      <w:pPr>
        <w:pStyle w:val="BodyText"/>
        <w:spacing w:before="2"/>
        <w:rPr>
          <w:b/>
          <w:sz w:val="26"/>
        </w:rPr>
      </w:pPr>
    </w:p>
    <w:p>
      <w:pPr>
        <w:pStyle w:val="Heading3"/>
        <w:rPr>
          <w:b/>
        </w:rPr>
      </w:pPr>
      <w:r>
        <w:rPr>
          <w:b/>
          <w:color w:val="D19F2A"/>
        </w:rPr>
        <w:t>Terminologie</w:t>
      </w:r>
    </w:p>
    <w:p>
      <w:pPr>
        <w:pStyle w:val="BodyText"/>
        <w:spacing w:line="266" w:lineRule="auto" w:before="116"/>
        <w:ind w:left="2891" w:right="241"/>
        <w:rPr>
          <w:b w:val="0"/>
        </w:rPr>
      </w:pPr>
      <w:r>
        <w:rPr>
          <w:b w:val="0"/>
          <w:color w:val="231F20"/>
        </w:rPr>
        <w:t>Un </w:t>
      </w:r>
      <w:r>
        <w:rPr>
          <w:rFonts w:ascii="Myriad Pro" w:hAnsi="Myriad Pro"/>
          <w:b/>
          <w:color w:val="231F20"/>
        </w:rPr>
        <w:t>protocole facultatif </w:t>
      </w:r>
      <w:r>
        <w:rPr>
          <w:b w:val="0"/>
          <w:color w:val="231F20"/>
        </w:rPr>
        <w:t>est un instrument juridique associé à un traité existant. Il présente les procédures ou traite des questions que le traité original ne couvre pas. Il est qualifié de « facultatif » parce que les États n’ont pas l’obligation de devenir parties au protocole, même s’ils sont parties au traité auquel il se rapporte. Un gouvernement peut ainsi avoir ratifié la CDPH et être partie à la Convention sans avoir ratifié ni être partie au Protocole facultatif de la CDPH.</w:t>
      </w:r>
    </w:p>
    <w:p>
      <w:pPr>
        <w:pStyle w:val="BodyText"/>
        <w:rPr>
          <w:b w:val="0"/>
          <w:sz w:val="20"/>
        </w:rPr>
      </w:pPr>
    </w:p>
    <w:p>
      <w:pPr>
        <w:pStyle w:val="BodyText"/>
        <w:rPr>
          <w:b w:val="0"/>
          <w:sz w:val="20"/>
        </w:rPr>
      </w:pPr>
    </w:p>
    <w:p>
      <w:pPr>
        <w:pStyle w:val="BodyText"/>
        <w:spacing w:before="2"/>
        <w:rPr>
          <w:b w:val="0"/>
          <w:sz w:val="17"/>
        </w:rPr>
      </w:pPr>
      <w:r>
        <w:rPr/>
        <w:pict>
          <v:group style="position:absolute;margin-left:144.066895pt;margin-top:12.137943pt;width:394.05pt;height:37.85pt;mso-position-horizontal-relative:page;mso-position-vertical-relative:paragraph;z-index:2896;mso-wrap-distance-left:0;mso-wrap-distance-right:0" coordorigin="2881,243" coordsize="7881,757">
            <v:rect style="position:absolute;left:2891;top:253;width:7860;height:737" filled="true" fillcolor="#e6e7e8" stroked="false">
              <v:fill type="solid"/>
            </v:rect>
            <v:rect style="position:absolute;left:2891;top:243;width:7860;height:20" filled="true" fillcolor="#231f20" stroked="false">
              <v:fill type="solid"/>
            </v:rect>
            <v:line style="position:absolute" from="2891,990" to="10752,990" stroked="true" strokeweight="1pt" strokecolor="#231f20"/>
            <v:shape style="position:absolute;left:2891;top:253;width:7861;height:737" type="#_x0000_t202" filled="false" stroked="false">
              <v:textbox inset="0,0,0,0">
                <w:txbxContent>
                  <w:p>
                    <w:pPr>
                      <w:spacing w:before="61"/>
                      <w:ind w:left="2435" w:right="95" w:firstLine="0"/>
                      <w:jc w:val="left"/>
                      <w:rPr>
                        <w:rFonts w:ascii="Myriad Pro"/>
                        <w:b/>
                        <w:sz w:val="22"/>
                      </w:rPr>
                    </w:pPr>
                    <w:r>
                      <w:rPr>
                        <w:rFonts w:ascii="Myriad Pro"/>
                        <w:b/>
                        <w:color w:val="231F20"/>
                        <w:sz w:val="22"/>
                      </w:rPr>
                      <w:t>Point sur la situation nationale</w:t>
                    </w:r>
                  </w:p>
                  <w:p>
                    <w:pPr>
                      <w:spacing w:before="71"/>
                      <w:ind w:left="80" w:right="95" w:firstLine="0"/>
                      <w:jc w:val="left"/>
                      <w:rPr>
                        <w:rFonts w:ascii="Myriad Pro" w:hAnsi="Myriad Pro"/>
                        <w:sz w:val="20"/>
                      </w:rPr>
                    </w:pPr>
                    <w:r>
                      <w:rPr>
                        <w:rFonts w:ascii="Myriad Pro" w:hAnsi="Myriad Pro"/>
                        <w:color w:val="231F20"/>
                        <w:sz w:val="20"/>
                      </w:rPr>
                      <w:t>Votre pays a-t-il ratifié le Protocole facultatif de la CDPH ?</w:t>
                    </w:r>
                  </w:p>
                </w:txbxContent>
              </v:textbox>
              <w10:wrap type="none"/>
            </v:shape>
            <w10:wrap type="topAndBottom"/>
          </v:group>
        </w:pict>
      </w:r>
    </w:p>
    <w:p>
      <w:pPr>
        <w:pStyle w:val="BodyText"/>
        <w:rPr>
          <w:b w:val="0"/>
          <w:sz w:val="20"/>
        </w:rPr>
      </w:pPr>
    </w:p>
    <w:p>
      <w:pPr>
        <w:pStyle w:val="BodyText"/>
        <w:spacing w:before="7"/>
        <w:rPr>
          <w:b w:val="0"/>
          <w:sz w:val="15"/>
        </w:rPr>
      </w:pPr>
    </w:p>
    <w:p>
      <w:pPr>
        <w:pStyle w:val="Heading3"/>
        <w:spacing w:before="50"/>
        <w:rPr>
          <w:b/>
        </w:rPr>
      </w:pPr>
      <w:r>
        <w:rPr>
          <w:b/>
          <w:color w:val="D19F2A"/>
        </w:rPr>
        <w:t>De quoi traite le Protocole facultatif ?</w:t>
      </w:r>
    </w:p>
    <w:p>
      <w:pPr>
        <w:pStyle w:val="BodyText"/>
        <w:spacing w:line="266" w:lineRule="auto" w:before="127"/>
        <w:ind w:left="2891" w:right="526"/>
        <w:rPr>
          <w:b w:val="0"/>
        </w:rPr>
      </w:pPr>
      <w:r>
        <w:rPr>
          <w:b w:val="0"/>
          <w:color w:val="231F20"/>
        </w:rPr>
        <w:t>Le Protocole facultatif de la CDPH introduit deux procédures visant à renforcer l’application de la CDPH :</w:t>
      </w:r>
    </w:p>
    <w:p>
      <w:pPr>
        <w:pStyle w:val="ListParagraph"/>
        <w:numPr>
          <w:ilvl w:val="0"/>
          <w:numId w:val="5"/>
        </w:numPr>
        <w:tabs>
          <w:tab w:pos="3632" w:val="left" w:leader="none"/>
        </w:tabs>
        <w:spacing w:line="240" w:lineRule="auto" w:before="84" w:after="0"/>
        <w:ind w:left="3631" w:right="0" w:hanging="400"/>
        <w:jc w:val="left"/>
        <w:rPr>
          <w:b w:val="0"/>
          <w:sz w:val="22"/>
        </w:rPr>
      </w:pPr>
      <w:r>
        <w:rPr>
          <w:b w:val="0"/>
          <w:color w:val="231F20"/>
          <w:sz w:val="22"/>
        </w:rPr>
        <w:t>une procédure de communications émanant de particuliers ;</w:t>
      </w:r>
      <w:r>
        <w:rPr>
          <w:b w:val="0"/>
          <w:color w:val="231F20"/>
          <w:spacing w:val="-1"/>
          <w:sz w:val="22"/>
        </w:rPr>
        <w:t> </w:t>
      </w:r>
      <w:r>
        <w:rPr>
          <w:b w:val="0"/>
          <w:color w:val="231F20"/>
          <w:sz w:val="22"/>
        </w:rPr>
        <w:t>et</w:t>
      </w:r>
    </w:p>
    <w:p>
      <w:pPr>
        <w:pStyle w:val="ListParagraph"/>
        <w:numPr>
          <w:ilvl w:val="0"/>
          <w:numId w:val="5"/>
        </w:numPr>
        <w:tabs>
          <w:tab w:pos="3632" w:val="left" w:leader="none"/>
        </w:tabs>
        <w:spacing w:line="240" w:lineRule="auto" w:before="112" w:after="0"/>
        <w:ind w:left="3631" w:right="0" w:hanging="400"/>
        <w:jc w:val="left"/>
        <w:rPr>
          <w:b w:val="0"/>
          <w:sz w:val="22"/>
        </w:rPr>
      </w:pPr>
      <w:r>
        <w:rPr>
          <w:b w:val="0"/>
          <w:color w:val="231F20"/>
          <w:sz w:val="22"/>
        </w:rPr>
        <w:t>une procédure</w:t>
      </w:r>
      <w:r>
        <w:rPr>
          <w:b w:val="0"/>
          <w:color w:val="231F20"/>
          <w:spacing w:val="-17"/>
          <w:sz w:val="22"/>
        </w:rPr>
        <w:t> </w:t>
      </w:r>
      <w:r>
        <w:rPr>
          <w:b w:val="0"/>
          <w:color w:val="231F20"/>
          <w:sz w:val="22"/>
        </w:rPr>
        <w:t>d’investigation.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before="75"/>
        <w:ind w:left="3634" w:right="24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992"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13</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left="113" w:right="3065"/>
        <w:rPr>
          <w:b/>
        </w:rPr>
      </w:pPr>
      <w:r>
        <w:rPr>
          <w:b/>
          <w:color w:val="D19F2A"/>
        </w:rPr>
        <w:t>Procédure de communications émanant de particuliers en vertu du Protocole facultatif de la CDPH</w:t>
      </w:r>
    </w:p>
    <w:p>
      <w:pPr>
        <w:pStyle w:val="BodyText"/>
        <w:spacing w:line="266" w:lineRule="auto" w:before="133"/>
        <w:ind w:left="113" w:right="2939"/>
        <w:rPr>
          <w:b w:val="0"/>
        </w:rPr>
      </w:pPr>
      <w:r>
        <w:rPr>
          <w:b w:val="0"/>
          <w:color w:val="231F20"/>
        </w:rPr>
        <w:t>La procédure de communications émanant de particuliers permet à des particuliers ou des groupes de particuliers dont le gouvernement a ratifié le Protocole facultatif et qui prétendent être victimes d’une violation par cet État des dispositions de la CDPH, de présenter une plainte au Comité de la CDPH. La plainte est qualifiée de « communication émanant de particuliers » et la personne ou le groupe qui la présente est désigné comme son « auteur ».</w:t>
      </w:r>
    </w:p>
    <w:p>
      <w:pPr>
        <w:pStyle w:val="BodyText"/>
        <w:spacing w:line="266" w:lineRule="auto" w:before="114"/>
        <w:ind w:left="113" w:right="3268"/>
        <w:rPr>
          <w:b w:val="0"/>
        </w:rPr>
      </w:pPr>
      <w:r>
        <w:rPr>
          <w:b w:val="0"/>
          <w:color w:val="231F20"/>
        </w:rPr>
        <w:t>Une communication émanant de particuliers ne peut être déposée qu’une fois tous les recours internes épuisés (ce qui signifie que les auteurs ont tenté de mettre fin à la</w:t>
      </w:r>
    </w:p>
    <w:p>
      <w:pPr>
        <w:pStyle w:val="BodyText"/>
        <w:spacing w:line="266" w:lineRule="auto"/>
        <w:ind w:left="113" w:right="2956"/>
        <w:rPr>
          <w:b w:val="0"/>
        </w:rPr>
      </w:pPr>
      <w:r>
        <w:rPr>
          <w:b w:val="0"/>
          <w:color w:val="231F20"/>
        </w:rPr>
        <w:t>violation prétendue en suivant toutes les voies de recours disponibles en vertu du droit national) et si les auteurs restent convaincus que l’État partie ne respecte pas la CDPH.</w:t>
      </w:r>
    </w:p>
    <w:p>
      <w:pPr>
        <w:pStyle w:val="BodyText"/>
        <w:spacing w:before="114"/>
        <w:ind w:left="113"/>
        <w:rPr>
          <w:b w:val="0"/>
        </w:rPr>
      </w:pPr>
      <w:r>
        <w:rPr>
          <w:b w:val="0"/>
          <w:color w:val="231F20"/>
        </w:rPr>
        <w:t>En quoi consiste la procédure ? (Voir encadré ci-après.)</w:t>
      </w:r>
    </w:p>
    <w:p>
      <w:pPr>
        <w:pStyle w:val="BodyText"/>
        <w:spacing w:line="266" w:lineRule="auto" w:before="48"/>
        <w:ind w:left="793" w:right="2887" w:hanging="341"/>
        <w:rPr>
          <w:b w:val="0"/>
        </w:rPr>
      </w:pPr>
      <w:r>
        <w:rPr>
          <w:rFonts w:ascii="Arial" w:hAnsi="Arial"/>
          <w:color w:val="D19F2A"/>
          <w:sz w:val="26"/>
        </w:rPr>
        <w:t>► </w:t>
      </w:r>
      <w:r>
        <w:rPr>
          <w:b w:val="0"/>
          <w:color w:val="231F20"/>
        </w:rPr>
        <w:t>Lorsque le Comité reçoit une communication émanant de particuliers, il offre à l’État partie la possibilité de répondre aux allégations. Selon la réponse de l’État partie, le Comité peut demander un complément d’informations aux auteurs de la communication.</w:t>
      </w:r>
    </w:p>
    <w:p>
      <w:pPr>
        <w:pStyle w:val="BodyText"/>
        <w:spacing w:line="264" w:lineRule="auto" w:before="19"/>
        <w:ind w:left="793" w:right="3557" w:hanging="341"/>
        <w:jc w:val="both"/>
        <w:rPr>
          <w:b w:val="0"/>
        </w:rPr>
      </w:pPr>
      <w:r>
        <w:rPr>
          <w:rFonts w:ascii="Arial" w:hAnsi="Arial"/>
          <w:color w:val="D19F2A"/>
          <w:sz w:val="26"/>
        </w:rPr>
        <w:t>► </w:t>
      </w:r>
      <w:r>
        <w:rPr>
          <w:b w:val="0"/>
          <w:color w:val="231F20"/>
        </w:rPr>
        <w:t>Après avoir recueilli toutes les informations pertinentes, le Comité examine la plainte, puis formule ses suggestions et recommandations au sujet de la communication, le cas échéant, et les transmet à l’État partie intéressé. Ces</w:t>
      </w:r>
    </w:p>
    <w:p>
      <w:pPr>
        <w:pStyle w:val="BodyText"/>
        <w:spacing w:line="266" w:lineRule="auto" w:before="3"/>
        <w:ind w:left="793" w:right="2876"/>
        <w:rPr>
          <w:b w:val="0"/>
        </w:rPr>
      </w:pPr>
      <w:r>
        <w:rPr>
          <w:b w:val="0"/>
          <w:color w:val="231F20"/>
        </w:rPr>
        <w:t>suggestions et recommandations apparaissent dans le rapport public du Comité à l’Assemblée générale.</w:t>
      </w:r>
    </w:p>
    <w:p>
      <w:pPr>
        <w:pStyle w:val="BodyText"/>
        <w:spacing w:line="266" w:lineRule="auto" w:before="19"/>
        <w:ind w:left="793" w:right="2956" w:hanging="341"/>
        <w:rPr>
          <w:b w:val="0"/>
        </w:rPr>
      </w:pPr>
      <w:r>
        <w:rPr>
          <w:rFonts w:ascii="Arial" w:hAnsi="Arial"/>
          <w:color w:val="D19F2A"/>
          <w:sz w:val="26"/>
        </w:rPr>
        <w:t>► </w:t>
      </w:r>
      <w:r>
        <w:rPr>
          <w:b w:val="0"/>
          <w:color w:val="231F20"/>
        </w:rPr>
        <w:t>Conformément à l’article 5 du Protocole facultatif et à la règle 75 des règles de procédure du Comité, l’État partie doit présenter dans les six mois une réponse écrite décrivant toutes les mesures prises à la lumière des suggestions et recommandations du Comité de la CDPH.</w:t>
      </w:r>
    </w:p>
    <w:p>
      <w:pPr>
        <w:pStyle w:val="BodyText"/>
        <w:spacing w:line="266" w:lineRule="auto" w:before="114"/>
        <w:ind w:left="113" w:right="3278"/>
        <w:rPr>
          <w:b w:val="0"/>
        </w:rPr>
      </w:pPr>
      <w:r>
        <w:rPr>
          <w:b w:val="0"/>
          <w:color w:val="231F20"/>
        </w:rPr>
        <w:t>La procédure de communications émanant de particuliers se déroule uniquement par écrit, ce qui signifie que ni le plaignant ni l’État partie n’apparaît en personne devant le Comité de la CDPH. </w:t>
      </w:r>
      <w:r>
        <w:rPr>
          <w:b w:val="0"/>
          <w:color w:val="231F20"/>
          <w:spacing w:val="-3"/>
        </w:rPr>
        <w:t>Toutes </w:t>
      </w:r>
      <w:r>
        <w:rPr>
          <w:b w:val="0"/>
          <w:color w:val="231F20"/>
        </w:rPr>
        <w:t>les communications ne sont pas recevables.</w:t>
      </w:r>
      <w:r>
        <w:rPr>
          <w:b w:val="0"/>
          <w:color w:val="231F20"/>
          <w:spacing w:val="-16"/>
        </w:rPr>
        <w:t> </w:t>
      </w:r>
      <w:r>
        <w:rPr>
          <w:b w:val="0"/>
          <w:color w:val="231F20"/>
        </w:rPr>
        <w:t>Une communication sera considérée comme irrecevable si</w:t>
      </w:r>
      <w:r>
        <w:rPr>
          <w:b w:val="0"/>
          <w:color w:val="231F20"/>
          <w:spacing w:val="-5"/>
        </w:rPr>
        <w:t> </w:t>
      </w:r>
      <w:r>
        <w:rPr>
          <w:b w:val="0"/>
          <w:color w:val="231F20"/>
        </w:rPr>
        <w:t>:</w:t>
      </w:r>
    </w:p>
    <w:p>
      <w:pPr>
        <w:pStyle w:val="BodyText"/>
        <w:spacing w:before="19"/>
        <w:ind w:left="453"/>
        <w:rPr>
          <w:b w:val="0"/>
        </w:rPr>
      </w:pPr>
      <w:r>
        <w:rPr>
          <w:rFonts w:ascii="Arial" w:hAnsi="Arial"/>
          <w:color w:val="D19F2A"/>
          <w:sz w:val="26"/>
        </w:rPr>
        <w:t>► </w:t>
      </w:r>
      <w:r>
        <w:rPr>
          <w:b w:val="0"/>
          <w:color w:val="231F20"/>
        </w:rPr>
        <w:t>elle est anonyme ;</w:t>
      </w:r>
    </w:p>
    <w:p>
      <w:pPr>
        <w:pStyle w:val="BodyText"/>
        <w:spacing w:before="47"/>
        <w:ind w:left="453"/>
        <w:rPr>
          <w:b w:val="0"/>
        </w:rPr>
      </w:pPr>
      <w:r>
        <w:rPr>
          <w:rFonts w:ascii="Arial" w:hAnsi="Arial"/>
          <w:color w:val="D19F2A"/>
          <w:sz w:val="26"/>
        </w:rPr>
        <w:t>► </w:t>
      </w:r>
      <w:r>
        <w:rPr>
          <w:b w:val="0"/>
          <w:color w:val="231F20"/>
        </w:rPr>
        <w:t>elle constitue un abus ou est incompatible avec les dispositions de la CDPH ;</w:t>
      </w:r>
    </w:p>
    <w:p>
      <w:pPr>
        <w:pStyle w:val="BodyText"/>
        <w:spacing w:before="47"/>
        <w:ind w:left="453"/>
        <w:rPr>
          <w:b w:val="0"/>
        </w:rPr>
      </w:pPr>
      <w:r>
        <w:rPr>
          <w:rFonts w:ascii="Arial" w:hAnsi="Arial"/>
          <w:color w:val="D19F2A"/>
          <w:sz w:val="26"/>
        </w:rPr>
        <w:t>► </w:t>
      </w:r>
      <w:r>
        <w:rPr>
          <w:b w:val="0"/>
          <w:color w:val="231F20"/>
        </w:rPr>
        <w:t>la même plainte a déjà été examinée par le Comité ;</w:t>
      </w:r>
    </w:p>
    <w:p>
      <w:pPr>
        <w:pStyle w:val="BodyText"/>
        <w:spacing w:line="264" w:lineRule="auto" w:before="47"/>
        <w:ind w:left="793" w:right="2852" w:hanging="341"/>
        <w:rPr>
          <w:b w:val="0"/>
        </w:rPr>
      </w:pPr>
      <w:r>
        <w:rPr>
          <w:rFonts w:ascii="Arial" w:hAnsi="Arial"/>
          <w:color w:val="D19F2A"/>
          <w:sz w:val="26"/>
        </w:rPr>
        <w:t>► </w:t>
      </w:r>
      <w:r>
        <w:rPr>
          <w:b w:val="0"/>
          <w:color w:val="231F20"/>
        </w:rPr>
        <w:t>la même plainte a déjà été examinée ou est déjà en cours d’examen dans le cadre d’une autre procédure d’enquête internationale ;</w:t>
      </w:r>
    </w:p>
    <w:p>
      <w:pPr>
        <w:pStyle w:val="BodyText"/>
        <w:spacing w:line="266" w:lineRule="auto" w:before="21"/>
        <w:ind w:left="793" w:right="2907" w:hanging="341"/>
        <w:rPr>
          <w:b w:val="0"/>
        </w:rPr>
      </w:pPr>
      <w:r>
        <w:rPr>
          <w:rFonts w:ascii="Arial" w:hAnsi="Arial"/>
          <w:color w:val="D19F2A"/>
          <w:sz w:val="26"/>
        </w:rPr>
        <w:t>► </w:t>
      </w:r>
      <w:r>
        <w:rPr>
          <w:b w:val="0"/>
          <w:color w:val="231F20"/>
        </w:rPr>
        <w:t>tous les recours internes disponibles n’ont pas encore été épuisés – ce qui signifie que le plaignant a tenté d’obtenir réparation dans le cadre du système juridique de l’État avant de déposer une plainte au niveau international auprès du Comité de la CFPH (toutefois, s’il n’existe pas de recours au niveau interne, cette condition peut être levée) ;</w:t>
      </w:r>
    </w:p>
    <w:p>
      <w:pPr>
        <w:pStyle w:val="BodyText"/>
        <w:spacing w:before="19"/>
        <w:ind w:left="453"/>
        <w:rPr>
          <w:b w:val="0"/>
        </w:rPr>
      </w:pPr>
      <w:r>
        <w:rPr>
          <w:rFonts w:ascii="Arial" w:hAnsi="Arial"/>
          <w:color w:val="D19F2A"/>
          <w:sz w:val="26"/>
        </w:rPr>
        <w:t>► </w:t>
      </w:r>
      <w:r>
        <w:rPr>
          <w:b w:val="0"/>
          <w:color w:val="231F20"/>
        </w:rPr>
        <w:t>elle est mal fondée ou insuffisamment motivée ; ou</w:t>
      </w:r>
    </w:p>
    <w:p>
      <w:pPr>
        <w:pStyle w:val="BodyText"/>
        <w:spacing w:line="264" w:lineRule="auto" w:before="47"/>
        <w:ind w:left="793" w:right="3148" w:hanging="341"/>
        <w:rPr>
          <w:b w:val="0"/>
        </w:rPr>
      </w:pPr>
      <w:r>
        <w:rPr>
          <w:rFonts w:ascii="Arial" w:hAnsi="Arial"/>
          <w:color w:val="D19F2A"/>
          <w:sz w:val="26"/>
        </w:rPr>
        <w:t>► </w:t>
      </w:r>
      <w:r>
        <w:rPr>
          <w:b w:val="0"/>
          <w:color w:val="231F20"/>
        </w:rPr>
        <w:t>elle porte sur des faits antérieurs à la ratification du Protocole facultatif par l’État partie.</w:t>
      </w:r>
    </w:p>
    <w:p>
      <w:pPr>
        <w:pStyle w:val="BodyText"/>
        <w:rPr>
          <w:b w:val="0"/>
          <w:sz w:val="20"/>
        </w:rPr>
      </w:pPr>
    </w:p>
    <w:p>
      <w:pPr>
        <w:pStyle w:val="BodyText"/>
        <w:rPr>
          <w:b w:val="0"/>
          <w:sz w:val="20"/>
        </w:rPr>
      </w:pPr>
    </w:p>
    <w:p>
      <w:pPr>
        <w:pStyle w:val="BodyText"/>
        <w:rPr>
          <w:b w:val="0"/>
          <w:sz w:val="20"/>
        </w:rPr>
      </w:pPr>
    </w:p>
    <w:p>
      <w:pPr>
        <w:pStyle w:val="BodyText"/>
        <w:spacing w:before="7"/>
        <w:rPr>
          <w:b w:val="0"/>
          <w:sz w:val="26"/>
        </w:rPr>
      </w:pPr>
    </w:p>
    <w:p>
      <w:pPr>
        <w:spacing w:line="192" w:lineRule="exact" w:before="75"/>
        <w:ind w:left="310" w:right="0"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187" w:right="0"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1160"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1963;top:9433;width:176;height:288" type="#_x0000_t75" stroked="false">
              <v:imagedata r:id="rId23" o:title=""/>
            </v:shape>
            <v:shape style="position:absolute;left:957;top:8564;width:1128;height:1298" coordorigin="957,8564" coordsize="1128,1298" path="m2079,9023l2079,9024,2080,9026,2080,9026,2081,9026,2082,9029,2082,9033,2083,9035,2083,9039,2083,9043,2084,9045,2084,9051,2084,9051,2084,9051,2084,9055,2078,9066,2077,9070,2072,9081,2065,9097,2057,9113,2050,9126,2045,9140,2037,9149,2029,9160,2021,9172,2021,9173,2011,9183,1988,9202,1976,9212,1967,9220,1958,9229,1947,9243,1937,9255,1927,9266,1917,9278,1883,9344,1881,9350,1884,9349,1887,9353,1893,9362,1890,9379,1891,9390,1894,9404,1899,9412,1904,9418,1909,9427,1910,9431,1908,9447,1908,9453,1909,9472,1910,9491,1907,9508,1900,9525,1890,9535,1877,9543,1864,9550,1851,9558,1846,9561,1837,9573,1830,9579,1828,9581,1826,9583,1823,9585,1818,9590,1814,9595,1809,9598,1811,9608,1816,9624,1819,9643,1818,9667,1816,9679,1808,9680,1797,9685,1793,9688,1788,9690,1784,9692,1779,9695,1776,9698,1772,9700,1774,9708,1775,9711,1775,9717,1771,9731,1764,9746,1756,9755,1748,9764,1739,9777,1733,9787,1727,9794,1721,9801,1712,9809,1705,9815,1678,9839,1676,9841,1650,9847,1637,9849,1618,9849,1600,9851,1583,9856,1567,9861,1552,9862,1546,9861,1544,9857,1541,9853,1536,9847,1537,9850,1535,9840,1534,9835,1532,9828,1533,9824,1534,9817,1535,9812,1533,9806,1530,9797,1524,9789,1520,9780,1516,9770,1512,9761,1507,9753,1502,9744,1496,9740,1491,9730,1487,9716,1483,9698,1480,9680,1479,9665,1476,9646,1472,9634,1466,9623,1459,9607,1455,9598,1451,9588,1446,9580,1440,9569,1436,9570,1434,9553,1448,9480,1472,9449,1467,9433,1464,9424,1458,9415,1456,9405,1456,9399,1458,9394,1458,9387,1433,9321,1412,9295,1400,9282,1390,9266,1385,9248,1389,9246,1389,9246,1394,9246,1395,9241,1394,9238,1395,9232,1396,9221,1399,9209,1401,9197,1404,9187,1365,9156,1359,9158,1352,9160,1345,9162,1336,9158,1326,9143,1323,9138,1320,9129,1316,9124,1311,9124,1287,9125,1281,9126,1273,9127,1262,9133,1253,9136,1235,9143,1223,9149,1212,9152,1198,9151,1180,9147,1166,9147,1152,9150,1136,9155,1123,9159,1120,9163,1107,9157,1090,9147,1076,9135,1061,9122,1043,9110,1037,9106,1027,9096,1025,9090,1021,9081,1024,9070,1015,9062,1006,9053,1007,9058,997,9044,983,9028,974,9021,969,9015,969,8998,969,8986,964,8982,957,8972,959,8970,964,8967,966,8965,975,8955,977,8941,980,8928,982,8914,980,8901,978,8891,977,8886,979,8881,981,8879,981,8872,972,8865,969,8857,970,8848,1002,8800,1006,8794,1009,8788,1009,8782,1012,8776,1019,8764,1028,8758,1035,8747,1040,8738,1037,8740,1048,8735,1053,8733,1060,8731,1066,8728,1075,8722,1087,8712,1092,8703,1094,8696,1094,8689,1095,8678,1100,8662,1107,8645,1110,8643,1126,8636,1143,8625,1151,8614,1155,8604,1161,8595,1167,8591,1171,8598,1176,8601,1183,8605,1189,8604,1197,8604,1206,8603,1212,8606,1221,8606,1229,8606,1231,8601,1238,8597,1255,8589,1276,8582,1299,8577,1318,8576,1325,8576,1333,8578,1341,8576,1350,8574,1351,8573,1362,8573,1380,8573,1387,8572,1389,8571,1396,8568,1413,8564,1405,8570,1415,8572,1419,8573,1422,8574,1425,8576,1423,8580,1417,8586,1417,8591,1420,8594,1429,8604,1424,8611,1420,8616,1412,8620,1410,8628,1414,8632,1422,8635,1427,8638,1433,8642,1438,8644,1447,8646,1458,8647,1469,8649,1480,8652,1489,8658,1494,8665,1493,8670,1501,8674,1510,8676,1517,8677,1527,8680,1542,8688,1548,8692,1558,8693,1563,8687,1564,8679,1562,8676,1561,8669,1564,8659,1573,8651,1586,8646,1598,8647,1609,8650,1616,8657,1626,8660,1632,8662,1637,8662,1642,8665,1654,8669,1666,8673,1679,8675,1691,8678,1696,8679,1703,8682,1708,8682,1716,8683,1717,8678,1722,8675,1733,8668,1741,8669,1754,8673,1771,8677,1774,8677,1790,8674,1797,8692,1801,8703,1801,8716,1796,8736,1794,8739,1784,8739,1787,8750,1795,8766,1803,8781,1809,8793,1816,8806,1817,8800,1822,8806,1820,8816,1820,8822,1825,8827,1836,8836,1843,8842,1839,8838,1843,8846,1846,8860,1870,8911,1875,8919,1884,8941,1890,8956,1897,8963,1905,8969,1916,8977,1955,9019,1953,9024,1951,9032,1951,9029,1955,9035,1968,9048,1975,9050,1984,9046,2000,9043,2012,9042,2014,9037,2027,9035,2075,9018,2079,9023xe" filled="false" stroked="true" strokeweight="2.726pt" strokecolor="#d19f2a">
              <v:path arrowok="t"/>
            </v:shape>
            <v:shape style="position:absolute;left:1757;top:16142;width:908;height:321" type="#_x0000_t202" filled="true" fillcolor="#d19f2a" stroked="false">
              <v:textbox inset="0,0,0,0">
                <w:txbxContent>
                  <w:p>
                    <w:pPr>
                      <w:spacing w:line="310" w:lineRule="exact" w:before="10"/>
                      <w:ind w:left="583" w:right="0" w:firstLine="0"/>
                      <w:jc w:val="left"/>
                      <w:rPr>
                        <w:rFonts w:ascii="Myriad Pro"/>
                        <w:sz w:val="26"/>
                      </w:rPr>
                    </w:pPr>
                    <w:r>
                      <w:rPr>
                        <w:rFonts w:ascii="Myriad Pro"/>
                        <w:color w:val="FFFFFF"/>
                        <w:sz w:val="26"/>
                      </w:rPr>
                      <w:t>14</w:t>
                    </w:r>
                  </w:p>
                </w:txbxContent>
              </v:textbox>
              <v:fill type="solid"/>
              <w10:wrap type="none"/>
            </v:shape>
            <w10:wrap type="none"/>
          </v:group>
        </w:pict>
      </w:r>
    </w:p>
    <w:p>
      <w:pPr>
        <w:spacing w:before="75"/>
        <w:ind w:left="2892" w:right="0"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331.75pt;mso-position-horizontal-relative:page;mso-position-vertical-relative:paragraph;z-index:3040;mso-wrap-distance-left:0;mso-wrap-distance-right:0" coordorigin="2881,365" coordsize="7901,6635">
            <v:rect style="position:absolute;left:2891;top:365;width:7880;height:363" filled="true" fillcolor="#d19f2a" stroked="false">
              <v:fill type="solid"/>
            </v:rect>
            <v:rect style="position:absolute;left:2891;top:729;width:7880;height:6261" filled="true" fillcolor="#f8f0e2" stroked="false">
              <v:fill type="solid"/>
            </v:rect>
            <v:line style="position:absolute" from="2891,6990" to="10772,6990" stroked="true" strokeweight="1pt" strokecolor="#d19f2a"/>
            <v:shape style="position:absolute;left:2881;top:365;width:7901;height:6635" type="#_x0000_t202" filled="false" stroked="false">
              <v:textbox inset="0,0,0,0">
                <w:txbxContent>
                  <w:p>
                    <w:pPr>
                      <w:spacing w:before="32"/>
                      <w:ind w:left="568" w:right="143" w:firstLine="0"/>
                      <w:jc w:val="left"/>
                      <w:rPr>
                        <w:rFonts w:ascii="Myriad Pro" w:hAnsi="Myriad Pro"/>
                        <w:b/>
                        <w:sz w:val="22"/>
                      </w:rPr>
                    </w:pPr>
                    <w:r>
                      <w:rPr>
                        <w:rFonts w:ascii="Myriad Pro" w:hAnsi="Myriad Pro"/>
                        <w:b/>
                        <w:color w:val="FFFFFF"/>
                        <w:sz w:val="22"/>
                      </w:rPr>
                      <w:t>La procédure des communications émanant de particuliers, pas-à-pas</w:t>
                    </w:r>
                  </w:p>
                  <w:p>
                    <w:pPr>
                      <w:spacing w:line="259" w:lineRule="auto" w:before="188"/>
                      <w:ind w:left="180" w:right="534" w:firstLine="0"/>
                      <w:jc w:val="left"/>
                      <w:rPr>
                        <w:rFonts w:ascii="Myriad Pro" w:hAnsi="Myriad Pro"/>
                        <w:sz w:val="20"/>
                      </w:rPr>
                    </w:pPr>
                    <w:r>
                      <w:rPr>
                        <w:rFonts w:ascii="Myriad Pro" w:hAnsi="Myriad Pro"/>
                        <w:color w:val="231F20"/>
                        <w:sz w:val="20"/>
                      </w:rPr>
                      <w:t>La procédure des communications émanant de particuliers est composée des étapes suivantes :</w:t>
                    </w:r>
                  </w:p>
                  <w:p>
                    <w:pPr>
                      <w:numPr>
                        <w:ilvl w:val="0"/>
                        <w:numId w:val="6"/>
                      </w:numPr>
                      <w:tabs>
                        <w:tab w:pos="461" w:val="left" w:leader="none"/>
                      </w:tabs>
                      <w:spacing w:before="93"/>
                      <w:ind w:left="460" w:right="0" w:hanging="280"/>
                      <w:jc w:val="left"/>
                      <w:rPr>
                        <w:rFonts w:ascii="Myriad Pro" w:hAnsi="Myriad Pro"/>
                        <w:sz w:val="20"/>
                      </w:rPr>
                    </w:pPr>
                    <w:r>
                      <w:rPr>
                        <w:rFonts w:ascii="Myriad Pro" w:hAnsi="Myriad Pro"/>
                        <w:color w:val="231F20"/>
                        <w:sz w:val="20"/>
                      </w:rPr>
                      <w:t>Le Comité de la CDPH reçoit la</w:t>
                    </w:r>
                    <w:r>
                      <w:rPr>
                        <w:rFonts w:ascii="Myriad Pro" w:hAnsi="Myriad Pro"/>
                        <w:color w:val="231F20"/>
                        <w:spacing w:val="-18"/>
                        <w:sz w:val="20"/>
                      </w:rPr>
                      <w:t> </w:t>
                    </w:r>
                    <w:r>
                      <w:rPr>
                        <w:rFonts w:ascii="Myriad Pro" w:hAnsi="Myriad Pro"/>
                        <w:color w:val="231F20"/>
                        <w:sz w:val="20"/>
                      </w:rPr>
                      <w:t>plainte.</w:t>
                    </w:r>
                  </w:p>
                  <w:p>
                    <w:pPr>
                      <w:numPr>
                        <w:ilvl w:val="0"/>
                        <w:numId w:val="6"/>
                      </w:numPr>
                      <w:tabs>
                        <w:tab w:pos="461" w:val="left" w:leader="none"/>
                      </w:tabs>
                      <w:spacing w:before="113"/>
                      <w:ind w:left="460" w:right="182" w:hanging="280"/>
                      <w:jc w:val="left"/>
                      <w:rPr>
                        <w:rFonts w:ascii="Myriad Pro" w:hAnsi="Myriad Pro"/>
                        <w:sz w:val="20"/>
                      </w:rPr>
                    </w:pPr>
                    <w:r>
                      <w:rPr>
                        <w:rFonts w:ascii="Myriad Pro" w:hAnsi="Myriad Pro"/>
                        <w:color w:val="231F20"/>
                        <w:sz w:val="20"/>
                      </w:rPr>
                      <w:t>Le Comité de la CDPH examine la recevabilité de la plainte. Parfois, la recevabilité de la plainte et examinée en même temps que son bien-fondé ; en d’autres termes, le</w:t>
                    </w:r>
                    <w:r>
                      <w:rPr>
                        <w:rFonts w:ascii="Myriad Pro" w:hAnsi="Myriad Pro"/>
                        <w:color w:val="231F20"/>
                        <w:spacing w:val="-24"/>
                        <w:sz w:val="20"/>
                      </w:rPr>
                      <w:t> </w:t>
                    </w:r>
                    <w:r>
                      <w:rPr>
                        <w:rFonts w:ascii="Myriad Pro" w:hAnsi="Myriad Pro"/>
                        <w:color w:val="231F20"/>
                        <w:sz w:val="20"/>
                      </w:rPr>
                      <w:t>Comité décide si la plainte est recevable (recevabilité) et, dans le même temps, si l’État partie manque ou non à ses obligations</w:t>
                    </w:r>
                    <w:r>
                      <w:rPr>
                        <w:rFonts w:ascii="Myriad Pro" w:hAnsi="Myriad Pro"/>
                        <w:color w:val="231F20"/>
                        <w:spacing w:val="-4"/>
                        <w:sz w:val="20"/>
                      </w:rPr>
                      <w:t> </w:t>
                    </w:r>
                    <w:r>
                      <w:rPr>
                        <w:rFonts w:ascii="Myriad Pro" w:hAnsi="Myriad Pro"/>
                        <w:color w:val="231F20"/>
                        <w:sz w:val="20"/>
                      </w:rPr>
                      <w:t>(bien-fondé).</w:t>
                    </w:r>
                  </w:p>
                  <w:p>
                    <w:pPr>
                      <w:numPr>
                        <w:ilvl w:val="0"/>
                        <w:numId w:val="6"/>
                      </w:numPr>
                      <w:tabs>
                        <w:tab w:pos="461" w:val="left" w:leader="none"/>
                      </w:tabs>
                      <w:spacing w:before="113"/>
                      <w:ind w:left="460" w:right="0" w:hanging="280"/>
                      <w:jc w:val="left"/>
                      <w:rPr>
                        <w:rFonts w:ascii="Myriad Pro" w:hAnsi="Myriad Pro"/>
                        <w:sz w:val="20"/>
                      </w:rPr>
                    </w:pPr>
                    <w:r>
                      <w:rPr>
                        <w:rFonts w:ascii="Myriad Pro" w:hAnsi="Myriad Pro"/>
                        <w:color w:val="231F20"/>
                        <w:sz w:val="20"/>
                      </w:rPr>
                      <w:t>Le Comité de la CDPH porte confidentiellement la plainte à l’attention de</w:t>
                    </w:r>
                    <w:r>
                      <w:rPr>
                        <w:rFonts w:ascii="Myriad Pro" w:hAnsi="Myriad Pro"/>
                        <w:color w:val="231F20"/>
                        <w:spacing w:val="-23"/>
                        <w:sz w:val="20"/>
                      </w:rPr>
                      <w:t> </w:t>
                    </w:r>
                    <w:r>
                      <w:rPr>
                        <w:rFonts w:ascii="Myriad Pro" w:hAnsi="Myriad Pro"/>
                        <w:color w:val="231F20"/>
                        <w:sz w:val="20"/>
                      </w:rPr>
                      <w:t>l’État.</w:t>
                    </w:r>
                  </w:p>
                  <w:p>
                    <w:pPr>
                      <w:numPr>
                        <w:ilvl w:val="0"/>
                        <w:numId w:val="6"/>
                      </w:numPr>
                      <w:tabs>
                        <w:tab w:pos="461" w:val="left" w:leader="none"/>
                      </w:tabs>
                      <w:spacing w:before="113"/>
                      <w:ind w:left="460" w:right="440" w:hanging="280"/>
                      <w:jc w:val="left"/>
                      <w:rPr>
                        <w:rFonts w:ascii="Myriad Pro" w:hAnsi="Myriad Pro"/>
                        <w:sz w:val="20"/>
                      </w:rPr>
                    </w:pPr>
                    <w:r>
                      <w:rPr>
                        <w:rFonts w:ascii="Myriad Pro" w:hAnsi="Myriad Pro"/>
                        <w:color w:val="231F20"/>
                        <w:spacing w:val="-4"/>
                        <w:sz w:val="20"/>
                      </w:rPr>
                      <w:t>L’État </w:t>
                    </w:r>
                    <w:r>
                      <w:rPr>
                        <w:rFonts w:ascii="Myriad Pro" w:hAnsi="Myriad Pro"/>
                        <w:color w:val="231F20"/>
                        <w:sz w:val="20"/>
                      </w:rPr>
                      <w:t>partie intéressé soumet par écrit, dans un délai de six mois, des explications ou déclarations éclaircissant la question et indiquant, le cas échéant, les mesures prises pour remédier à la</w:t>
                    </w:r>
                    <w:r>
                      <w:rPr>
                        <w:rFonts w:ascii="Myriad Pro" w:hAnsi="Myriad Pro"/>
                        <w:color w:val="231F20"/>
                        <w:spacing w:val="-3"/>
                        <w:sz w:val="20"/>
                      </w:rPr>
                      <w:t> </w:t>
                    </w:r>
                    <w:r>
                      <w:rPr>
                        <w:rFonts w:ascii="Myriad Pro" w:hAnsi="Myriad Pro"/>
                        <w:color w:val="231F20"/>
                        <w:sz w:val="20"/>
                      </w:rPr>
                      <w:t>situation.</w:t>
                    </w:r>
                  </w:p>
                  <w:p>
                    <w:pPr>
                      <w:numPr>
                        <w:ilvl w:val="0"/>
                        <w:numId w:val="6"/>
                      </w:numPr>
                      <w:tabs>
                        <w:tab w:pos="461" w:val="left" w:leader="none"/>
                      </w:tabs>
                      <w:spacing w:before="113"/>
                      <w:ind w:left="460" w:right="0" w:hanging="280"/>
                      <w:jc w:val="left"/>
                      <w:rPr>
                        <w:rFonts w:ascii="Myriad Pro" w:hAnsi="Myriad Pro"/>
                        <w:sz w:val="20"/>
                      </w:rPr>
                    </w:pPr>
                    <w:r>
                      <w:rPr>
                        <w:rFonts w:ascii="Myriad Pro" w:hAnsi="Myriad Pro"/>
                        <w:color w:val="231F20"/>
                        <w:sz w:val="20"/>
                      </w:rPr>
                      <w:t>Le plaignant a la possibilité de commenter les observations de</w:t>
                    </w:r>
                    <w:r>
                      <w:rPr>
                        <w:rFonts w:ascii="Myriad Pro" w:hAnsi="Myriad Pro"/>
                        <w:color w:val="231F20"/>
                        <w:spacing w:val="-12"/>
                        <w:sz w:val="20"/>
                      </w:rPr>
                      <w:t> </w:t>
                    </w:r>
                    <w:r>
                      <w:rPr>
                        <w:rFonts w:ascii="Myriad Pro" w:hAnsi="Myriad Pro"/>
                        <w:color w:val="231F20"/>
                        <w:sz w:val="20"/>
                      </w:rPr>
                      <w:t>l’État.</w:t>
                    </w:r>
                  </w:p>
                  <w:p>
                    <w:pPr>
                      <w:numPr>
                        <w:ilvl w:val="0"/>
                        <w:numId w:val="6"/>
                      </w:numPr>
                      <w:tabs>
                        <w:tab w:pos="461" w:val="left" w:leader="none"/>
                      </w:tabs>
                      <w:spacing w:before="113"/>
                      <w:ind w:left="460" w:right="398" w:hanging="280"/>
                      <w:jc w:val="left"/>
                      <w:rPr>
                        <w:rFonts w:ascii="Myriad Pro" w:hAnsi="Myriad Pro"/>
                        <w:sz w:val="20"/>
                      </w:rPr>
                    </w:pPr>
                    <w:r>
                      <w:rPr>
                        <w:rFonts w:ascii="Myriad Pro" w:hAnsi="Myriad Pro"/>
                        <w:color w:val="231F20"/>
                        <w:sz w:val="20"/>
                      </w:rPr>
                      <w:t>Le Comité de la CDPH peut demander à l’État de prendre des mesures</w:t>
                    </w:r>
                    <w:r>
                      <w:rPr>
                        <w:rFonts w:ascii="Myriad Pro" w:hAnsi="Myriad Pro"/>
                        <w:color w:val="231F20"/>
                        <w:spacing w:val="-18"/>
                        <w:sz w:val="20"/>
                      </w:rPr>
                      <w:t> </w:t>
                    </w:r>
                    <w:r>
                      <w:rPr>
                        <w:rFonts w:ascii="Myriad Pro" w:hAnsi="Myriad Pro"/>
                        <w:color w:val="231F20"/>
                        <w:sz w:val="20"/>
                      </w:rPr>
                      <w:t>conservatoires afin de protéger les droits du</w:t>
                    </w:r>
                    <w:r>
                      <w:rPr>
                        <w:rFonts w:ascii="Myriad Pro" w:hAnsi="Myriad Pro"/>
                        <w:color w:val="231F20"/>
                        <w:spacing w:val="-11"/>
                        <w:sz w:val="20"/>
                      </w:rPr>
                      <w:t> </w:t>
                    </w:r>
                    <w:r>
                      <w:rPr>
                        <w:rFonts w:ascii="Myriad Pro" w:hAnsi="Myriad Pro"/>
                        <w:color w:val="231F20"/>
                        <w:sz w:val="20"/>
                      </w:rPr>
                      <w:t>plaignant.</w:t>
                    </w:r>
                  </w:p>
                  <w:p>
                    <w:pPr>
                      <w:numPr>
                        <w:ilvl w:val="0"/>
                        <w:numId w:val="6"/>
                      </w:numPr>
                      <w:tabs>
                        <w:tab w:pos="461" w:val="left" w:leader="none"/>
                      </w:tabs>
                      <w:spacing w:before="113"/>
                      <w:ind w:left="460" w:right="0" w:hanging="280"/>
                      <w:jc w:val="left"/>
                      <w:rPr>
                        <w:rFonts w:ascii="Myriad Pro" w:hAnsi="Myriad Pro"/>
                        <w:sz w:val="20"/>
                      </w:rPr>
                    </w:pPr>
                    <w:r>
                      <w:rPr>
                        <w:rFonts w:ascii="Myriad Pro" w:hAnsi="Myriad Pro"/>
                        <w:color w:val="231F20"/>
                        <w:sz w:val="20"/>
                      </w:rPr>
                      <w:t>Le Comité de la CDPH examine la plainte à huis</w:t>
                    </w:r>
                    <w:r>
                      <w:rPr>
                        <w:rFonts w:ascii="Myriad Pro" w:hAnsi="Myriad Pro"/>
                        <w:color w:val="231F20"/>
                        <w:spacing w:val="-15"/>
                        <w:sz w:val="20"/>
                      </w:rPr>
                      <w:t> </w:t>
                    </w:r>
                    <w:r>
                      <w:rPr>
                        <w:rFonts w:ascii="Myriad Pro" w:hAnsi="Myriad Pro"/>
                        <w:color w:val="231F20"/>
                        <w:sz w:val="20"/>
                      </w:rPr>
                      <w:t>clos.</w:t>
                    </w:r>
                  </w:p>
                  <w:p>
                    <w:pPr>
                      <w:numPr>
                        <w:ilvl w:val="0"/>
                        <w:numId w:val="6"/>
                      </w:numPr>
                      <w:tabs>
                        <w:tab w:pos="461" w:val="left" w:leader="none"/>
                      </w:tabs>
                      <w:spacing w:before="113"/>
                      <w:ind w:left="460" w:right="224" w:hanging="280"/>
                      <w:jc w:val="left"/>
                      <w:rPr>
                        <w:rFonts w:ascii="Myriad Pro" w:hAnsi="Myriad Pro"/>
                        <w:sz w:val="20"/>
                      </w:rPr>
                    </w:pPr>
                    <w:r>
                      <w:rPr>
                        <w:rFonts w:ascii="Myriad Pro" w:hAnsi="Myriad Pro"/>
                        <w:color w:val="231F20"/>
                        <w:sz w:val="20"/>
                      </w:rPr>
                      <w:t>Il soumet le cas échéant ses suggestions et recommandations à l’État et au plaignant</w:t>
                    </w:r>
                    <w:r>
                      <w:rPr>
                        <w:rFonts w:ascii="Myriad Pro" w:hAnsi="Myriad Pro"/>
                        <w:color w:val="231F20"/>
                        <w:spacing w:val="-9"/>
                        <w:sz w:val="20"/>
                      </w:rPr>
                      <w:t> </w:t>
                    </w:r>
                    <w:r>
                      <w:rPr>
                        <w:rFonts w:ascii="Myriad Pro" w:hAnsi="Myriad Pro"/>
                        <w:color w:val="231F20"/>
                        <w:sz w:val="20"/>
                      </w:rPr>
                      <w:t>et demande souvent aux États de l’informer des mesures prises en</w:t>
                    </w:r>
                    <w:r>
                      <w:rPr>
                        <w:rFonts w:ascii="Myriad Pro" w:hAnsi="Myriad Pro"/>
                        <w:color w:val="231F20"/>
                        <w:spacing w:val="-24"/>
                        <w:sz w:val="20"/>
                      </w:rPr>
                      <w:t> </w:t>
                    </w:r>
                    <w:r>
                      <w:rPr>
                        <w:rFonts w:ascii="Myriad Pro" w:hAnsi="Myriad Pro"/>
                        <w:color w:val="231F20"/>
                        <w:sz w:val="20"/>
                      </w:rPr>
                      <w:t>conséquence.</w:t>
                    </w:r>
                  </w:p>
                  <w:p>
                    <w:pPr>
                      <w:numPr>
                        <w:ilvl w:val="0"/>
                        <w:numId w:val="6"/>
                      </w:numPr>
                      <w:tabs>
                        <w:tab w:pos="461" w:val="left" w:leader="none"/>
                      </w:tabs>
                      <w:spacing w:before="113"/>
                      <w:ind w:left="460" w:right="0" w:hanging="280"/>
                      <w:jc w:val="left"/>
                      <w:rPr>
                        <w:rFonts w:ascii="Myriad Pro" w:hAnsi="Myriad Pro"/>
                        <w:sz w:val="20"/>
                      </w:rPr>
                    </w:pPr>
                    <w:r>
                      <w:rPr>
                        <w:rFonts w:ascii="Myriad Pro" w:hAnsi="Myriad Pro"/>
                        <w:color w:val="231F20"/>
                        <w:sz w:val="20"/>
                      </w:rPr>
                      <w:t>Le Comité de la CDPH publie ses suggestions et recommandations dans son</w:t>
                    </w:r>
                    <w:r>
                      <w:rPr>
                        <w:rFonts w:ascii="Myriad Pro" w:hAnsi="Myriad Pro"/>
                        <w:color w:val="231F20"/>
                        <w:spacing w:val="-12"/>
                        <w:sz w:val="20"/>
                      </w:rPr>
                      <w:t> </w:t>
                    </w:r>
                    <w:r>
                      <w:rPr>
                        <w:rFonts w:ascii="Myriad Pro" w:hAnsi="Myriad Pro"/>
                        <w:color w:val="231F20"/>
                        <w:sz w:val="20"/>
                      </w:rPr>
                      <w:t>rapport.</w:t>
                    </w:r>
                  </w:p>
                  <w:p>
                    <w:pPr>
                      <w:numPr>
                        <w:ilvl w:val="0"/>
                        <w:numId w:val="6"/>
                      </w:numPr>
                      <w:tabs>
                        <w:tab w:pos="461" w:val="left" w:leader="none"/>
                      </w:tabs>
                      <w:spacing w:before="113"/>
                      <w:ind w:left="460" w:right="806" w:hanging="280"/>
                      <w:jc w:val="left"/>
                      <w:rPr>
                        <w:rFonts w:ascii="Myriad Pro" w:hAnsi="Myriad Pro"/>
                        <w:sz w:val="20"/>
                      </w:rPr>
                    </w:pPr>
                    <w:r>
                      <w:rPr>
                        <w:rFonts w:ascii="Myriad Pro" w:hAnsi="Myriad Pro"/>
                        <w:color w:val="231F20"/>
                        <w:sz w:val="20"/>
                      </w:rPr>
                      <w:t>Dans un délai de six mois, l’État adresse au Comité de la CDPH un rapport sur</w:t>
                    </w:r>
                    <w:r>
                      <w:rPr>
                        <w:rFonts w:ascii="Myriad Pro" w:hAnsi="Myriad Pro"/>
                        <w:color w:val="231F20"/>
                        <w:spacing w:val="-8"/>
                        <w:sz w:val="20"/>
                      </w:rPr>
                      <w:t> </w:t>
                    </w:r>
                    <w:r>
                      <w:rPr>
                        <w:rFonts w:ascii="Myriad Pro" w:hAnsi="Myriad Pro"/>
                        <w:color w:val="231F20"/>
                        <w:sz w:val="20"/>
                      </w:rPr>
                      <w:t>les mesures prises en réponse à ses suggestions et</w:t>
                    </w:r>
                    <w:r>
                      <w:rPr>
                        <w:rFonts w:ascii="Myriad Pro" w:hAnsi="Myriad Pro"/>
                        <w:color w:val="231F20"/>
                        <w:spacing w:val="-13"/>
                        <w:sz w:val="20"/>
                      </w:rPr>
                      <w:t> </w:t>
                    </w:r>
                    <w:r>
                      <w:rPr>
                        <w:rFonts w:ascii="Myriad Pro" w:hAnsi="Myriad Pro"/>
                        <w:color w:val="231F20"/>
                        <w:sz w:val="20"/>
                      </w:rPr>
                      <w:t>recommandations.</w:t>
                    </w:r>
                  </w:p>
                </w:txbxContent>
              </v:textbox>
              <w10:wrap type="none"/>
            </v:shape>
            <w10:wrap type="topAndBottom"/>
          </v:group>
        </w:pict>
      </w:r>
      <w:r>
        <w:rPr/>
        <w:pict>
          <v:group style="position:absolute;margin-left:144.066895pt;margin-top:369.824219pt;width:394.05pt;height:76.850pt;mso-position-horizontal-relative:page;mso-position-vertical-relative:paragraph;z-index:3088;mso-wrap-distance-left:0;mso-wrap-distance-right:0" coordorigin="2881,7396" coordsize="7881,1537">
            <v:rect style="position:absolute;left:2891;top:7406;width:7860;height:1517" filled="true" fillcolor="#e6e7e8" stroked="false">
              <v:fill type="solid"/>
            </v:rect>
            <v:rect style="position:absolute;left:2891;top:7396;width:7860;height:20" filled="true" fillcolor="#231f20" stroked="false">
              <v:fill type="solid"/>
            </v:rect>
            <v:line style="position:absolute" from="2891,8923" to="10752,8923" stroked="true" strokeweight="1pt" strokecolor="#231f20"/>
            <v:shape style="position:absolute;left:2891;top:7406;width:7861;height:1517" type="#_x0000_t202" filled="false" stroked="false">
              <v:textbox inset="0,0,0,0">
                <w:txbxContent>
                  <w:p>
                    <w:pPr>
                      <w:spacing w:before="61"/>
                      <w:ind w:left="2435" w:right="95" w:firstLine="0"/>
                      <w:jc w:val="left"/>
                      <w:rPr>
                        <w:rFonts w:ascii="Myriad Pro"/>
                        <w:b/>
                        <w:sz w:val="22"/>
                      </w:rPr>
                    </w:pPr>
                    <w:r>
                      <w:rPr>
                        <w:rFonts w:ascii="Myriad Pro"/>
                        <w:b/>
                        <w:color w:val="231F20"/>
                        <w:sz w:val="22"/>
                      </w:rPr>
                      <w:t>Point sur la situation nationale</w:t>
                    </w:r>
                  </w:p>
                  <w:p>
                    <w:pPr>
                      <w:spacing w:line="259" w:lineRule="auto" w:before="71"/>
                      <w:ind w:left="79" w:right="99" w:firstLine="0"/>
                      <w:jc w:val="both"/>
                      <w:rPr>
                        <w:rFonts w:ascii="Myriad Pro" w:hAnsi="Myriad Pro"/>
                        <w:sz w:val="20"/>
                      </w:rPr>
                    </w:pPr>
                    <w:r>
                      <w:rPr>
                        <w:rFonts w:ascii="Myriad Pro" w:hAnsi="Myriad Pro"/>
                        <w:color w:val="231F20"/>
                        <w:sz w:val="20"/>
                      </w:rPr>
                      <w:t>Avez-vous connaissance de problèmes concernant les droits des personnes handicapées qui pourraient justifier l’ouverture d’une procédure de communications émanant de particuliers dans votre pays (parce que le cadre juridique ne fournit pas de recours internes ou parce</w:t>
                    </w:r>
                    <w:r>
                      <w:rPr>
                        <w:rFonts w:ascii="Myriad Pro" w:hAnsi="Myriad Pro"/>
                        <w:color w:val="231F20"/>
                        <w:spacing w:val="-28"/>
                        <w:sz w:val="20"/>
                      </w:rPr>
                      <w:t> </w:t>
                    </w:r>
                    <w:r>
                      <w:rPr>
                        <w:rFonts w:ascii="Myriad Pro" w:hAnsi="Myriad Pro"/>
                        <w:color w:val="231F20"/>
                        <w:sz w:val="20"/>
                      </w:rPr>
                      <w:t>que les recours disponibles sont contraires à la CDPH, par exemple)</w:t>
                    </w:r>
                    <w:r>
                      <w:rPr>
                        <w:rFonts w:ascii="Myriad Pro" w:hAnsi="Myriad Pro"/>
                        <w:color w:val="231F20"/>
                        <w:spacing w:val="-15"/>
                        <w:sz w:val="20"/>
                      </w:rPr>
                      <w:t> </w:t>
                    </w:r>
                    <w:r>
                      <w:rPr>
                        <w:rFonts w:ascii="Myriad Pro" w:hAnsi="Myriad Pro"/>
                        <w:color w:val="231F20"/>
                        <w:sz w:val="20"/>
                      </w:rPr>
                      <w:t>?</w:t>
                    </w:r>
                  </w:p>
                </w:txbxContent>
              </v:textbox>
              <w10:wrap type="none"/>
            </v:shape>
            <w10:wrap type="topAndBottom"/>
          </v:group>
        </w:pict>
      </w:r>
    </w:p>
    <w:p>
      <w:pPr>
        <w:pStyle w:val="BodyText"/>
        <w:spacing w:before="4"/>
        <w:rPr>
          <w:rFonts w:ascii="Myriad Pro"/>
          <w:sz w:val="27"/>
        </w:rPr>
      </w:pPr>
    </w:p>
    <w:p>
      <w:pPr>
        <w:pStyle w:val="BodyText"/>
        <w:rPr>
          <w:rFonts w:ascii="Myriad Pro"/>
          <w:sz w:val="20"/>
        </w:rPr>
      </w:pPr>
    </w:p>
    <w:p>
      <w:pPr>
        <w:pStyle w:val="BodyText"/>
        <w:spacing w:before="1"/>
        <w:rPr>
          <w:rFonts w:ascii="Myriad Pro"/>
          <w:sz w:val="15"/>
        </w:rPr>
      </w:pPr>
    </w:p>
    <w:p>
      <w:pPr>
        <w:pStyle w:val="Heading3"/>
        <w:spacing w:before="50"/>
        <w:rPr>
          <w:b/>
        </w:rPr>
      </w:pPr>
      <w:r>
        <w:rPr>
          <w:b/>
          <w:color w:val="D19F2A"/>
        </w:rPr>
        <w:t>Procédure d’enquête en vertu du Protocole facultatif de la CDPH</w:t>
      </w:r>
    </w:p>
    <w:p>
      <w:pPr>
        <w:pStyle w:val="BodyText"/>
        <w:spacing w:line="266" w:lineRule="auto" w:before="127"/>
        <w:ind w:left="2891"/>
        <w:rPr>
          <w:b w:val="0"/>
        </w:rPr>
      </w:pPr>
      <w:r>
        <w:rPr>
          <w:b w:val="0"/>
          <w:color w:val="231F20"/>
        </w:rPr>
        <w:t>Le Protocole facultatif de la CDPH établit une procédure d’enquête qui permet au Comité de la CDPH de mener des investigations en cas « d’atteintes graves ou systématiques</w:t>
      </w:r>
    </w:p>
    <w:p>
      <w:pPr>
        <w:pStyle w:val="BodyText"/>
        <w:spacing w:line="266" w:lineRule="auto"/>
        <w:ind w:left="2891" w:right="245"/>
        <w:rPr>
          <w:b w:val="0"/>
        </w:rPr>
      </w:pPr>
      <w:r>
        <w:rPr>
          <w:b w:val="0"/>
          <w:color w:val="231F20"/>
        </w:rPr>
        <w:t>aux droits de l’homme ». Dans ces circonstances, le Comité de la CDPH invite l’État partie à collaborer à l’enquête et à présenter ses observations pour examen. L’enquête est confidentielle et doit être menée avec l’entière coopération de l’État concerné.</w:t>
      </w:r>
    </w:p>
    <w:p>
      <w:pPr>
        <w:pStyle w:val="BodyText"/>
        <w:spacing w:line="266" w:lineRule="auto" w:before="114"/>
        <w:ind w:left="2891" w:right="44"/>
        <w:rPr>
          <w:b w:val="0"/>
        </w:rPr>
      </w:pPr>
      <w:r>
        <w:rPr>
          <w:b w:val="0"/>
          <w:color w:val="231F20"/>
        </w:rPr>
        <w:t>Un État a la possibilité de ratifier le Protocole facultatif sans reconnaître la procédure d’enquête. En d’autres termes, lors de la signature, de la ratification ou de l’adhésion au Protocole, l’État peut déclarer qu’il ne reconnaît pas la compétence du Comité de la CDPH pour mener des enquêtes, même s’il accepte la procédure de communications émanant de particuliers. Même si un État peut refuser la procédure d’enquête, tous les États parties au Protocole facultatif doivent accepter la procédure de communications émanant de particuliers.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0"/>
        </w:rPr>
      </w:pPr>
    </w:p>
    <w:p>
      <w:pPr>
        <w:spacing w:before="74"/>
        <w:ind w:left="3634" w:right="24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208" coordorigin="9241,0" coordsize="2665,16838">
            <v:shape style="position:absolute;left:9241;top:0;width:2665;height:16838" type="#_x0000_t75" stroked="false">
              <v:imagedata r:id="rId12" o:title=""/>
            </v:shape>
            <v:rect style="position:absolute;left:11509;top:0;width:397;height:16838" filled="true" fillcolor="#d19f2a" stroked="false">
              <v:fill type="solid"/>
            </v:rect>
            <v:shape style="position:absolute;left:9697;top:1274;width:1370;height:1370" coordorigin="9697,1274" coordsize="1370,1370" path="m10382,1274l10307,1278,10235,1290,10165,1309,10099,1335,10036,1368,9977,1407,9923,1451,9873,1500,9829,1555,9790,1614,9758,1676,9732,1743,9713,1812,9701,1885,9697,1959,9701,2034,9713,2106,9732,2176,9758,2242,9790,2305,9829,2364,9873,2418,9923,2468,9977,2512,10036,2551,10099,2583,10165,2609,10235,2628,10307,2640,10382,2644,10456,2640,10529,2628,10598,2609,10664,2583,10727,2551,10786,2512,10840,2468,10890,2418,10934,2364,10973,2305,11005,2242,11032,2176,11051,2106,11062,2034,11066,1959,11062,1885,11051,1812,11032,1743,11005,1676,10973,1614,10934,1555,10890,1500,10840,1451,10786,1407,10727,1368,10664,1335,10598,1309,10529,1290,10456,1278,10382,1274xe" filled="true" fillcolor="#d19f2a" stroked="false">
              <v:path arrowok="t"/>
              <v:fill type="solid"/>
            </v:shape>
            <v:shape style="position:absolute;left:10331;top:1582;width:489;height:122" coordorigin="10331,1582" coordsize="489,122" path="m10772,1582l10378,1582,10360,1586,10345,1596,10335,1612,10331,1630,10331,1657,10335,1675,10345,1690,10360,1700,10378,1704,10772,1704,10791,1700,10806,1690,10816,1675,10820,1657,10820,1630,10816,1612,10806,1596,10791,1586,10772,1582xe" filled="true" fillcolor="#ffffff" stroked="false">
              <v:path arrowok="t"/>
              <v:fill type="solid"/>
            </v:shape>
            <v:shape style="position:absolute;left:10331;top:1896;width:489;height:122" coordorigin="10331,1896" coordsize="489,122" path="m10772,1896l10378,1896,10360,1899,10345,1910,10335,1925,10331,1943,10331,1970,10335,1988,10345,2003,10360,2014,10378,2017,10772,2017,10791,2014,10806,2003,10816,1988,10820,1970,10820,1943,10816,1925,10806,1910,10791,1899,10772,1896xe" filled="true" fillcolor="#ffffff" stroked="false">
              <v:path arrowok="t"/>
              <v:fill type="solid"/>
            </v:shape>
            <v:shape style="position:absolute;left:10331;top:2209;width:489;height:122" coordorigin="10331,2209" coordsize="489,122" path="m10772,2209l10378,2209,10360,2213,10345,2223,10335,2238,10331,2256,10331,2283,10335,2301,10345,2317,10360,2327,10378,2331,10772,2331,10791,2327,10806,2317,10816,2301,10820,2283,10820,2256,10816,2238,10806,2223,10791,2213,10772,2209xe" filled="true" fillcolor="#ffffff" stroked="false">
              <v:path arrowok="t"/>
              <v:fill type="solid"/>
            </v:shape>
            <v:shape style="position:absolute;left:9911;top:1454;width:362;height:941" type="#_x0000_t75" stroked="false">
              <v:imagedata r:id="rId24" o:title=""/>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D19F2A" w:color="auto" w:val="clear"/>
                      </w:rPr>
                      <w:t> </w:t>
                    </w:r>
                    <w:r>
                      <w:rPr>
                        <w:rFonts w:ascii="Myriad Pro"/>
                        <w:color w:val="FFFFFF"/>
                        <w:sz w:val="26"/>
                        <w:shd w:fill="D19F2A" w:color="auto" w:val="clear"/>
                      </w:rPr>
                      <w:t>15</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420" w:lineRule="exact" w:before="98" w:after="0"/>
        <w:ind w:left="853" w:right="5704" w:hanging="720"/>
        <w:jc w:val="left"/>
        <w:rPr>
          <w:b/>
        </w:rPr>
      </w:pPr>
      <w:r>
        <w:rPr/>
        <w:pict>
          <v:line style="position:absolute;mso-position-horizontal-relative:page;mso-position-vertical-relative:paragraph;z-index:3160;mso-wrap-distance-left:0;mso-wrap-distance-right:0" from="56.692902pt,50.536625pt" to="450.708902pt,50.536625pt" stroked="true" strokeweight="1.5pt" strokecolor="#d19f2a">
            <w10:wrap type="topAndBottom"/>
          </v:line>
        </w:pict>
      </w:r>
      <w:bookmarkStart w:name="_TOC_250003" w:id="7"/>
      <w:r>
        <w:rPr>
          <w:b/>
          <w:color w:val="D19F2A"/>
        </w:rPr>
        <w:t>RÉSUMÉ ET </w:t>
      </w:r>
      <w:r>
        <w:rPr>
          <w:b/>
          <w:color w:val="D19F2A"/>
          <w:spacing w:val="-5"/>
        </w:rPr>
        <w:t>PRINCIPAUX </w:t>
      </w:r>
      <w:bookmarkEnd w:id="7"/>
      <w:r>
        <w:rPr>
          <w:b/>
          <w:color w:val="D19F2A"/>
        </w:rPr>
        <w:t>ENSEIGNEMENTS</w:t>
      </w:r>
    </w:p>
    <w:p>
      <w:pPr>
        <w:pStyle w:val="BodyText"/>
        <w:spacing w:before="2"/>
        <w:rPr>
          <w:b/>
          <w:sz w:val="32"/>
        </w:rPr>
      </w:pPr>
    </w:p>
    <w:p>
      <w:pPr>
        <w:pStyle w:val="BodyText"/>
        <w:spacing w:line="266" w:lineRule="auto"/>
        <w:ind w:left="133" w:right="2939"/>
        <w:rPr>
          <w:b w:val="0"/>
        </w:rPr>
      </w:pPr>
      <w:r>
        <w:rPr>
          <w:b w:val="0"/>
          <w:color w:val="231F20"/>
        </w:rPr>
        <w:t>Dans ce module, nous avons examiné les dispositions et les cadres établis par la Convention des Nations Unies relative aux droits des personnes handicapées (CPDH) pour l’application et le suivi de la CDPH aux niveaux national et international. Nous avons étudié les obligations des États parties et le rôle d’autres acteurs dans l’application et le suivi de la CDPH. Ce module vous a aussi présenté les procédures d’application et de</w:t>
      </w:r>
      <w:r>
        <w:rPr>
          <w:b w:val="0"/>
          <w:color w:val="231F20"/>
          <w:spacing w:val="-16"/>
        </w:rPr>
        <w:t> </w:t>
      </w:r>
      <w:r>
        <w:rPr>
          <w:b w:val="0"/>
          <w:color w:val="231F20"/>
        </w:rPr>
        <w:t>suivi établies par le Protocole facultatif de la</w:t>
      </w:r>
      <w:r>
        <w:rPr>
          <w:b w:val="0"/>
          <w:color w:val="231F20"/>
          <w:spacing w:val="-10"/>
        </w:rPr>
        <w:t> </w:t>
      </w:r>
      <w:r>
        <w:rPr>
          <w:b w:val="0"/>
          <w:color w:val="231F20"/>
        </w:rPr>
        <w:t>CDPH.</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8"/>
        </w:rPr>
      </w:pPr>
    </w:p>
    <w:p>
      <w:pPr>
        <w:spacing w:line="192" w:lineRule="exact" w:before="75"/>
        <w:ind w:left="330" w:right="374" w:firstLine="0"/>
        <w:jc w:val="left"/>
        <w:rPr>
          <w:rFonts w:ascii="Myriad Pro" w:hAnsi="Myriad Pro"/>
          <w:sz w:val="16"/>
        </w:rPr>
      </w:pPr>
      <w:r>
        <w:rPr>
          <w:rFonts w:ascii="Myriad Pro" w:hAnsi="Myriad Pro"/>
          <w:color w:val="6D6E71"/>
          <w:sz w:val="16"/>
        </w:rPr>
        <w:t>Module 2 - CADRES D’APPLICATION ET DE SUIVI DE LA CONVENTION DES NATIONS UNIES RELATIVE AUX DROITS DES</w:t>
      </w:r>
    </w:p>
    <w:p>
      <w:pPr>
        <w:spacing w:before="0"/>
        <w:ind w:left="6207" w:right="374" w:firstLine="0"/>
        <w:jc w:val="left"/>
        <w:rPr>
          <w:rFonts w:ascii="Myriad Pro" w:hAnsi="Myriad Pro"/>
          <w:sz w:val="16"/>
        </w:rPr>
      </w:pPr>
      <w:r>
        <w:rPr>
          <w:rFonts w:ascii="Myriad Pro" w:hAnsi="Myriad Pro"/>
          <w:color w:val="6D6E71"/>
          <w:sz w:val="16"/>
        </w:rPr>
        <w:t>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1016" coordorigin="0,0" coordsize="2665,16838">
            <v:shape style="position:absolute;left:0;top:0;width:2665;height:16838" type="#_x0000_t75" stroked="false">
              <v:imagedata r:id="rId16" o:title=""/>
            </v:shape>
            <v:rect style="position:absolute;left:0;top:0;width:397;height:16838" filled="true" fillcolor="#d19f2a" stroked="false">
              <v:fill type="solid"/>
            </v:rect>
            <v:shape style="position:absolute;left:848;top:1274;width:1370;height:1370" coordorigin="848,1274" coordsize="1370,1370" path="m1533,1274l1458,1278,1386,1290,1316,1309,1250,1335,1187,1368,1128,1407,1074,1451,1024,1500,980,1555,941,1614,909,1676,883,1743,864,1812,852,1885,848,1959,852,2034,864,2106,883,2176,909,2242,941,2305,980,2364,1024,2418,1074,2468,1128,2512,1187,2551,1250,2583,1316,2609,1386,2628,1458,2640,1533,2644,1607,2640,1680,2628,1749,2609,1815,2583,1878,2551,1937,2512,1991,2468,2041,2418,2085,2364,2124,2305,2157,2242,2183,2176,2202,2106,2213,2034,2217,1959,2213,1885,2202,1812,2183,1743,2157,1676,2124,1614,2085,1555,2041,1500,1991,1451,1937,1407,1878,1368,1815,1335,1749,1309,1680,1290,1607,1278,1533,1274xe" filled="true" fillcolor="#d19f2a" stroked="false">
              <v:path arrowok="t"/>
              <v:fill type="solid"/>
            </v:shape>
            <v:shape style="position:absolute;left:1084;top:1410;width:908;height:1042" coordorigin="1084,1410" coordsize="908,1042" path="m1783,1545l1739,1559,1666,1592,1555,1640,1496,1665,1438,1690,1410,1702,1379,1716,1354,1736,1344,1763,1344,2368,1364,2410,1411,2435,1469,2448,1521,2451,1556,2447,1590,2436,1622,2422,1965,2273,1978,2264,1987,2252,1991,2233,1991,1992,1655,1992,1655,1879,1876,1795,1485,1795,1462,1793,1439,1788,1420,1780,1407,1769,1460,1748,1556,1707,1653,1665,1749,1623,1765,1620,1813,1620,1813,1581,1805,1551,1783,1545xm1520,1410l1483,1424,1409,1458,1169,1562,1137,1575,1110,1590,1091,1612,1084,1649,1084,2217,1104,2273,1156,2302,1221,2314,1282,2316,1294,2310,1298,2294,1298,2274,1297,2253,1297,1762,1298,1747,1302,1733,1309,1718,1327,1695,1349,1679,1375,1666,1379,1664,1250,1664,1223,1662,1194,1656,1168,1646,1151,1633,1187,1621,1248,1595,1433,1514,1479,1494,1505,1485,1558,1485,1558,1424,1539,1412,1520,1410xm1991,1793l1880,1793,1880,1906,1655,1992,1991,1992,1991,1793xm1965,1617l1914,1635,1815,1677,1641,1753,1592,1775,1562,1788,1532,1793,1485,1795,1876,1795,1880,1793,1991,1793,1991,1653,1989,1641,1984,1629,1976,1621,1965,1617xm1715,1482l1704,1482,1664,1495,1587,1529,1489,1573,1389,1617,1304,1651,1250,1664,1379,1664,1402,1655,1718,1518,1723,1518,1730,1508,1724,1487,1711,1484,1715,1482xm1813,1620l1765,1620,1779,1627,1813,1638,1813,1620xm1723,1518l1718,1518,1722,1519,1723,1518xm1558,1485l1505,1485,1516,1488,1528,1494,1542,1499,1558,1503,1558,1485xe" filled="true" fillcolor="#ffffff" stroked="false">
              <v:path arrowok="t"/>
              <v:fill type="solid"/>
            </v:shape>
            <v:shape style="position:absolute;left:1757;top:16142;width:908;height:321" type="#_x0000_t202" filled="true" fillcolor="#d19f2a" stroked="false">
              <v:textbox inset="0,0,0,0">
                <w:txbxContent>
                  <w:p>
                    <w:pPr>
                      <w:spacing w:line="310" w:lineRule="exact" w:before="10"/>
                      <w:ind w:left="583" w:right="0" w:firstLine="0"/>
                      <w:jc w:val="left"/>
                      <w:rPr>
                        <w:rFonts w:ascii="Myriad Pro"/>
                        <w:sz w:val="26"/>
                      </w:rPr>
                    </w:pPr>
                    <w:r>
                      <w:rPr>
                        <w:rFonts w:ascii="Myriad Pro"/>
                        <w:color w:val="FFFFFF"/>
                        <w:sz w:val="26"/>
                      </w:rPr>
                      <w:t>16</w:t>
                    </w:r>
                  </w:p>
                </w:txbxContent>
              </v:textbox>
              <v:fill type="solid"/>
              <w10:wrap type="none"/>
            </v:shape>
            <w10:wrap type="none"/>
          </v:group>
        </w:pict>
      </w:r>
    </w:p>
    <w:p>
      <w:pPr>
        <w:spacing w:before="75"/>
        <w:ind w:left="2892" w:right="374"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3612" w:val="left" w:leader="none"/>
        </w:tabs>
        <w:spacing w:line="240" w:lineRule="auto" w:before="26" w:after="0"/>
        <w:ind w:left="3611" w:right="0" w:hanging="720"/>
        <w:jc w:val="left"/>
        <w:rPr>
          <w:b/>
        </w:rPr>
      </w:pPr>
      <w:r>
        <w:rPr/>
        <w:pict>
          <v:line style="position:absolute;mso-position-horizontal-relative:page;mso-position-vertical-relative:paragraph;z-index:3232;mso-wrap-distance-left:0;mso-wrap-distance-right:0" from="144.566895pt,29.548626pt" to="538.582895pt,29.548626pt" stroked="true" strokeweight="1.5pt" strokecolor="#d19f2a">
            <w10:wrap type="topAndBottom"/>
          </v:line>
        </w:pict>
      </w:r>
      <w:r>
        <w:rPr>
          <w:b/>
          <w:color w:val="D19F2A"/>
        </w:rPr>
        <w:t>RESSOURCES UTILES</w:t>
      </w:r>
    </w:p>
    <w:p>
      <w:pPr>
        <w:pStyle w:val="BodyText"/>
        <w:spacing w:before="2"/>
        <w:rPr>
          <w:b/>
          <w:sz w:val="32"/>
        </w:rPr>
      </w:pPr>
    </w:p>
    <w:p>
      <w:pPr>
        <w:pStyle w:val="BodyText"/>
        <w:spacing w:line="266" w:lineRule="auto"/>
        <w:ind w:left="3291" w:right="312" w:hanging="400"/>
        <w:jc w:val="both"/>
        <w:rPr>
          <w:b w:val="0"/>
        </w:rPr>
      </w:pPr>
      <w:r>
        <w:rPr>
          <w:rFonts w:ascii="Arial"/>
          <w:color w:val="231F20"/>
        </w:rPr>
        <w:t>W </w:t>
      </w:r>
      <w:r>
        <w:rPr>
          <w:b w:val="0"/>
          <w:color w:val="231F20"/>
        </w:rPr>
        <w:t>United Nations, Report of the Secretary-General on the Status of the Convention on the Rights of Persons with Disabilities and the Optional Protocol thereto. (A/69/284, A/67/281, (A/66/121, A/64/128).</w:t>
      </w:r>
    </w:p>
    <w:p>
      <w:pPr>
        <w:spacing w:line="266" w:lineRule="auto" w:before="113"/>
        <w:ind w:left="3291" w:right="201" w:hanging="400"/>
        <w:jc w:val="left"/>
        <w:rPr>
          <w:b w:val="0"/>
          <w:sz w:val="22"/>
        </w:rPr>
      </w:pPr>
      <w:r>
        <w:rPr>
          <w:rFonts w:ascii="Arial" w:hAnsi="Arial"/>
          <w:color w:val="231F20"/>
          <w:sz w:val="22"/>
        </w:rPr>
        <w:t>W </w:t>
      </w:r>
      <w:r>
        <w:rPr>
          <w:b w:val="0"/>
          <w:color w:val="231F20"/>
          <w:sz w:val="22"/>
        </w:rPr>
        <w:t>Département des affaires économiques et sociales des Nations Unies, Haut- Commissariat des Nations Unies aux droits de l’homme et Union interparlementaire. </w:t>
      </w:r>
      <w:r>
        <w:rPr>
          <w:b w:val="0"/>
          <w:i/>
          <w:color w:val="231F20"/>
          <w:sz w:val="22"/>
        </w:rPr>
        <w:t>From Exclusion to Equality: Realizing the Rights of Persons with Disabilities. Handbook for </w:t>
      </w:r>
      <w:r>
        <w:rPr>
          <w:b w:val="0"/>
          <w:i/>
          <w:color w:val="231F20"/>
          <w:sz w:val="22"/>
        </w:rPr>
        <w:t>parliamentarians. </w:t>
      </w:r>
      <w:r>
        <w:rPr>
          <w:b w:val="0"/>
          <w:color w:val="231F20"/>
          <w:sz w:val="22"/>
        </w:rPr>
        <w:t>Genève, Nations Unies, 2007. (Série sur la formation professionnelle n° 14) </w:t>
      </w:r>
      <w:hyperlink r:id="rId25">
        <w:r>
          <w:rPr>
            <w:b w:val="0"/>
            <w:color w:val="D19F2A"/>
            <w:sz w:val="22"/>
          </w:rPr>
          <w:t>http://www.ohchr.org</w:t>
        </w:r>
      </w:hyperlink>
      <w:r>
        <w:rPr>
          <w:b w:val="0"/>
          <w:color w:val="231F20"/>
          <w:sz w:val="22"/>
        </w:rPr>
        <w:t>.</w:t>
      </w:r>
    </w:p>
    <w:p>
      <w:pPr>
        <w:spacing w:line="266" w:lineRule="auto" w:before="113"/>
        <w:ind w:left="3291" w:right="146" w:hanging="400"/>
        <w:jc w:val="left"/>
        <w:rPr>
          <w:b w:val="0"/>
          <w:sz w:val="22"/>
        </w:rPr>
      </w:pPr>
      <w:r>
        <w:rPr>
          <w:rFonts w:ascii="Arial" w:hAnsi="Arial"/>
          <w:color w:val="231F20"/>
          <w:sz w:val="22"/>
        </w:rPr>
        <w:t>W </w:t>
      </w:r>
      <w:r>
        <w:rPr>
          <w:b w:val="0"/>
          <w:color w:val="231F20"/>
          <w:sz w:val="22"/>
        </w:rPr>
        <w:t>Documents officiels des Nations Unies (disponibles à l’adresse : </w:t>
      </w:r>
      <w:hyperlink r:id="rId26">
        <w:r>
          <w:rPr>
            <w:b w:val="0"/>
            <w:color w:val="D19F2A"/>
            <w:sz w:val="22"/>
          </w:rPr>
          <w:t>www.ods.un.org</w:t>
        </w:r>
      </w:hyperlink>
      <w:r>
        <w:rPr>
          <w:b w:val="0"/>
          <w:color w:val="231F20"/>
          <w:sz w:val="22"/>
        </w:rPr>
        <w:t>) Nations Unies. Assemblée générale. </w:t>
      </w:r>
      <w:r>
        <w:rPr>
          <w:b w:val="0"/>
          <w:i/>
          <w:color w:val="231F20"/>
          <w:sz w:val="22"/>
        </w:rPr>
        <w:t>Thematic Study by the Office of the United Nations </w:t>
      </w:r>
      <w:r>
        <w:rPr>
          <w:b w:val="0"/>
          <w:i/>
          <w:color w:val="231F20"/>
          <w:sz w:val="22"/>
        </w:rPr>
        <w:t>High Commissioner for Human Rights on enhancing awareness and understanding of the Convention on the Rights of Persons with Disabilities. </w:t>
      </w:r>
      <w:r>
        <w:rPr>
          <w:b w:val="0"/>
          <w:color w:val="231F20"/>
          <w:sz w:val="22"/>
        </w:rPr>
        <w:t>(A/HRC/10/48).</w:t>
      </w:r>
    </w:p>
    <w:p>
      <w:pPr>
        <w:spacing w:line="266" w:lineRule="auto" w:before="113"/>
        <w:ind w:left="3291" w:right="210" w:hanging="400"/>
        <w:jc w:val="left"/>
        <w:rPr>
          <w:b w:val="0"/>
          <w:sz w:val="22"/>
        </w:rPr>
      </w:pPr>
      <w:r>
        <w:rPr>
          <w:rFonts w:ascii="Arial" w:hAnsi="Arial"/>
          <w:color w:val="231F20"/>
          <w:sz w:val="22"/>
        </w:rPr>
        <w:t>W </w:t>
      </w:r>
      <w:r>
        <w:rPr>
          <w:b w:val="0"/>
          <w:color w:val="231F20"/>
          <w:sz w:val="22"/>
        </w:rPr>
        <w:t>Haut-Commissariat des Nations Unies aux droits de l’homme, </w:t>
      </w:r>
      <w:r>
        <w:rPr>
          <w:b w:val="0"/>
          <w:i/>
          <w:color w:val="231F20"/>
          <w:sz w:val="22"/>
        </w:rPr>
        <w:t>Thematic study on the </w:t>
      </w:r>
      <w:r>
        <w:rPr>
          <w:b w:val="0"/>
          <w:i/>
          <w:color w:val="231F20"/>
          <w:sz w:val="22"/>
        </w:rPr>
        <w:t>structure and role of national mechanisms for the implementation and monitoring of the Convention on the Rights of Persons with Disabilities </w:t>
      </w:r>
      <w:r>
        <w:rPr>
          <w:b w:val="0"/>
          <w:color w:val="231F20"/>
          <w:sz w:val="22"/>
        </w:rPr>
        <w:t>(A/HRC/13/29), 2009.</w:t>
      </w:r>
    </w:p>
    <w:p>
      <w:pPr>
        <w:pStyle w:val="BodyText"/>
        <w:ind w:left="3291" w:right="374"/>
        <w:rPr>
          <w:b w:val="0"/>
        </w:rPr>
      </w:pPr>
      <w:hyperlink r:id="rId25">
        <w:r>
          <w:rPr>
            <w:b w:val="0"/>
            <w:color w:val="D19F2A"/>
          </w:rPr>
          <w:t>http:// www.ohchr.org</w:t>
        </w:r>
        <w:r>
          <w:rPr>
            <w:b w:val="0"/>
            <w:color w:val="231F20"/>
          </w:rPr>
          <w:t>.</w:t>
        </w:r>
      </w:hyperlink>
    </w:p>
    <w:p>
      <w:pPr>
        <w:pStyle w:val="BodyText"/>
        <w:spacing w:line="266" w:lineRule="auto" w:before="142"/>
        <w:ind w:left="3291" w:right="299" w:hanging="400"/>
        <w:jc w:val="both"/>
        <w:rPr>
          <w:b w:val="0"/>
        </w:rPr>
      </w:pPr>
      <w:r>
        <w:rPr>
          <w:rFonts w:ascii="Arial"/>
          <w:color w:val="231F20"/>
        </w:rPr>
        <w:t>W </w:t>
      </w:r>
      <w:r>
        <w:rPr>
          <w:b w:val="0"/>
          <w:color w:val="231F20"/>
        </w:rPr>
        <w:t>United Nations Report of the United Nations High Commissioner for Human Rights on progress in the implementation of the recommendations contained in the</w:t>
      </w:r>
      <w:r>
        <w:rPr>
          <w:b w:val="0"/>
          <w:color w:val="231F20"/>
          <w:spacing w:val="-11"/>
        </w:rPr>
        <w:t> </w:t>
      </w:r>
      <w:r>
        <w:rPr>
          <w:b w:val="0"/>
          <w:color w:val="231F20"/>
        </w:rPr>
        <w:t>study on the human rights of persons with disabilities.</w:t>
      </w:r>
      <w:r>
        <w:rPr>
          <w:b w:val="0"/>
          <w:color w:val="231F20"/>
          <w:spacing w:val="-3"/>
        </w:rPr>
        <w:t> </w:t>
      </w:r>
      <w:r>
        <w:rPr>
          <w:b w:val="0"/>
          <w:color w:val="231F20"/>
        </w:rPr>
        <w:t>(A/HRC/4/75).</w:t>
      </w:r>
    </w:p>
    <w:p>
      <w:pPr>
        <w:spacing w:line="266" w:lineRule="auto" w:before="113"/>
        <w:ind w:left="3291" w:right="844" w:hanging="400"/>
        <w:jc w:val="left"/>
        <w:rPr>
          <w:b w:val="0"/>
          <w:sz w:val="22"/>
        </w:rPr>
      </w:pPr>
      <w:r>
        <w:rPr>
          <w:rFonts w:ascii="Arial" w:hAnsi="Arial"/>
          <w:color w:val="231F20"/>
          <w:sz w:val="22"/>
        </w:rPr>
        <w:t>W </w:t>
      </w:r>
      <w:r>
        <w:rPr>
          <w:b w:val="0"/>
          <w:color w:val="231F20"/>
          <w:sz w:val="22"/>
        </w:rPr>
        <w:t>Haut-Commissariat des Nations Unies aux droits de l’homme, </w:t>
      </w:r>
      <w:r>
        <w:rPr>
          <w:b w:val="0"/>
          <w:i/>
          <w:color w:val="231F20"/>
          <w:sz w:val="22"/>
        </w:rPr>
        <w:t>Monitoring the </w:t>
      </w:r>
      <w:r>
        <w:rPr>
          <w:b w:val="0"/>
          <w:i/>
          <w:color w:val="231F20"/>
          <w:sz w:val="22"/>
        </w:rPr>
        <w:t>Convention on the Rights of Persons with Disabilities- Guidance for Human Rights Monitors</w:t>
      </w:r>
      <w:r>
        <w:rPr>
          <w:b w:val="0"/>
          <w:color w:val="231F20"/>
          <w:sz w:val="22"/>
        </w:rPr>
        <w:t>, (HR/P/PT/217), (Série sur la formation professionnelle n° 17), 2010. </w:t>
      </w:r>
      <w:hyperlink r:id="rId25">
        <w:r>
          <w:rPr>
            <w:b w:val="0"/>
            <w:color w:val="D19F2A"/>
            <w:sz w:val="22"/>
          </w:rPr>
          <w:t>http://www.ohchr.org</w:t>
        </w:r>
      </w:hyperlink>
      <w:r>
        <w:rPr>
          <w:b w:val="0"/>
          <w:color w:val="231F20"/>
          <w:sz w:val="22"/>
        </w:rPr>
        <w:t>.</w:t>
      </w:r>
    </w:p>
    <w:p>
      <w:pPr>
        <w:pStyle w:val="BodyText"/>
        <w:spacing w:line="266" w:lineRule="auto" w:before="113"/>
        <w:ind w:left="3291" w:right="434" w:hanging="400"/>
        <w:rPr>
          <w:b w:val="0"/>
        </w:rPr>
      </w:pPr>
      <w:r>
        <w:rPr>
          <w:rFonts w:ascii="Arial" w:hAnsi="Arial"/>
          <w:color w:val="231F20"/>
        </w:rPr>
        <w:t>W </w:t>
      </w:r>
      <w:r>
        <w:rPr>
          <w:b w:val="0"/>
          <w:color w:val="231F20"/>
        </w:rPr>
        <w:t>Michael Ashley Stein &amp; Janet E. Lord, « Monitoring the Committee on the Rights of Persons with Disabilities: Innovations, Lost Opportunities, and Future Potential », 32 Human Rights Quarterly 691 (août 2010).</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18"/>
        </w:rPr>
      </w:pPr>
    </w:p>
    <w:p>
      <w:pPr>
        <w:spacing w:before="74"/>
        <w:ind w:left="3634" w:right="261"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pgSz w:w="11910" w:h="16840"/>
          <w:pgMar w:top="0" w:bottom="0" w:left="0" w:right="1000"/>
        </w:sectPr>
      </w:pPr>
    </w:p>
    <w:p>
      <w:pPr>
        <w:spacing w:before="57"/>
        <w:ind w:left="5034" w:right="1263"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34" w:val="left" w:leader="none"/>
        </w:tabs>
        <w:spacing w:line="240" w:lineRule="auto" w:before="26" w:after="0"/>
        <w:ind w:left="833" w:right="0" w:hanging="720"/>
        <w:jc w:val="left"/>
        <w:rPr>
          <w:b/>
        </w:rPr>
      </w:pPr>
      <w:bookmarkStart w:name="_TOC_250002" w:id="8"/>
      <w:r>
        <w:rPr>
          <w:b/>
          <w:color w:val="D19F2A"/>
        </w:rPr>
        <w:t>ACTIVITÉS</w:t>
      </w:r>
      <w:r>
        <w:rPr>
          <w:b/>
          <w:color w:val="D19F2A"/>
          <w:spacing w:val="1"/>
        </w:rPr>
        <w:t> </w:t>
      </w:r>
      <w:bookmarkEnd w:id="8"/>
      <w:r>
        <w:rPr>
          <w:b/>
          <w:color w:val="D19F2A"/>
          <w:spacing w:val="-3"/>
        </w:rPr>
        <w:t>D’APPRENTISSAGE</w:t>
      </w:r>
    </w:p>
    <w:p>
      <w:pPr>
        <w:pStyle w:val="BodyText"/>
        <w:spacing w:before="7"/>
        <w:rPr>
          <w:b/>
          <w:sz w:val="55"/>
        </w:rPr>
      </w:pPr>
    </w:p>
    <w:p>
      <w:pPr>
        <w:pStyle w:val="Heading3"/>
        <w:spacing w:line="331" w:lineRule="exact"/>
        <w:ind w:left="113" w:right="1263"/>
        <w:rPr>
          <w:b/>
        </w:rPr>
      </w:pPr>
      <w:r>
        <w:rPr>
          <w:b/>
          <w:color w:val="231F20"/>
        </w:rPr>
        <w:t>Fiche de cours du formateur :</w:t>
      </w:r>
    </w:p>
    <w:p>
      <w:pPr>
        <w:spacing w:line="331" w:lineRule="exact" w:before="0"/>
        <w:ind w:left="113" w:right="1263" w:firstLine="0"/>
        <w:jc w:val="left"/>
        <w:rPr>
          <w:b/>
          <w:sz w:val="28"/>
        </w:rPr>
      </w:pPr>
      <w:r>
        <w:rPr>
          <w:b/>
          <w:color w:val="231F20"/>
          <w:sz w:val="28"/>
        </w:rPr>
        <w:t>Application – Problèmes potentiels, Session 1</w:t>
      </w:r>
    </w:p>
    <w:p>
      <w:pPr>
        <w:pStyle w:val="BodyText"/>
        <w:spacing w:before="127"/>
        <w:ind w:left="567" w:right="1263"/>
        <w:rPr>
          <w:b w:val="0"/>
        </w:rPr>
      </w:pPr>
      <w:r>
        <w:rPr>
          <w:b w:val="0"/>
          <w:color w:val="231F20"/>
        </w:rPr>
        <w:t>Contenu technique 2.C. : Présentation du cadre juridique</w:t>
      </w:r>
    </w:p>
    <w:p>
      <w:pPr>
        <w:pStyle w:val="BodyText"/>
        <w:spacing w:line="372" w:lineRule="auto" w:before="142"/>
        <w:ind w:left="567" w:right="1263"/>
        <w:rPr>
          <w:b w:val="0"/>
        </w:rPr>
      </w:pPr>
      <w:r>
        <w:rPr>
          <w:b w:val="0"/>
          <w:color w:val="231F20"/>
        </w:rPr>
        <w:t>Activité d’apprentissage 2.C.1 : Problèmes associés à l’application réussie de la CPDH Support : Problèmes associés à l’application réussie de la CPDH</w:t>
      </w:r>
    </w:p>
    <w:p>
      <w:pPr>
        <w:pStyle w:val="Heading3"/>
        <w:spacing w:line="331" w:lineRule="exact" w:before="189"/>
        <w:ind w:left="113" w:right="1263"/>
        <w:rPr>
          <w:b/>
        </w:rPr>
      </w:pPr>
      <w:r>
        <w:rPr>
          <w:b/>
          <w:color w:val="231F20"/>
        </w:rPr>
        <w:t>Fiche de cours du formateur :</w:t>
      </w:r>
    </w:p>
    <w:p>
      <w:pPr>
        <w:spacing w:line="331" w:lineRule="exact" w:before="0"/>
        <w:ind w:left="113" w:right="1263" w:firstLine="0"/>
        <w:jc w:val="left"/>
        <w:rPr>
          <w:b/>
          <w:sz w:val="28"/>
        </w:rPr>
      </w:pPr>
      <w:r>
        <w:rPr>
          <w:b/>
          <w:color w:val="231F20"/>
          <w:sz w:val="28"/>
        </w:rPr>
        <w:t>Rôles et responsabilités en matière de suivi, Session 2</w:t>
      </w:r>
    </w:p>
    <w:p>
      <w:pPr>
        <w:pStyle w:val="BodyText"/>
        <w:spacing w:before="127"/>
        <w:ind w:left="567" w:right="1263"/>
        <w:rPr>
          <w:b w:val="0"/>
        </w:rPr>
      </w:pPr>
      <w:r>
        <w:rPr>
          <w:b w:val="0"/>
          <w:color w:val="231F20"/>
        </w:rPr>
        <w:t>Contenu technique 2.C. : Présentation du cadre juridique</w:t>
      </w:r>
    </w:p>
    <w:p>
      <w:pPr>
        <w:pStyle w:val="BodyText"/>
        <w:spacing w:line="372" w:lineRule="auto" w:before="142"/>
        <w:ind w:left="567" w:right="1725"/>
        <w:rPr>
          <w:b w:val="0"/>
        </w:rPr>
      </w:pPr>
      <w:r>
        <w:rPr>
          <w:b w:val="0"/>
          <w:color w:val="231F20"/>
        </w:rPr>
        <w:t>Activité d’apprentissage 2.C.2 : Rôles et responsabilités en matière de suivi Support : Article 33 de la CDPH</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1"/>
        </w:rPr>
      </w:pPr>
    </w:p>
    <w:p>
      <w:pPr>
        <w:spacing w:after="0"/>
        <w:rPr>
          <w:sz w:val="21"/>
        </w:rPr>
        <w:sectPr>
          <w:pgSz w:w="11910" w:h="16840"/>
          <w:pgMar w:top="360" w:bottom="0" w:left="1020" w:right="1640"/>
        </w:sectPr>
      </w:pPr>
    </w:p>
    <w:p>
      <w:pPr>
        <w:spacing w:line="192" w:lineRule="exact" w:before="75"/>
        <w:ind w:left="0" w:right="0" w:firstLine="0"/>
        <w:jc w:val="right"/>
        <w:rPr>
          <w:rFonts w:ascii="Myriad Pro" w:hAnsi="Myriad Pro"/>
          <w:sz w:val="16"/>
        </w:rPr>
      </w:pPr>
      <w:r>
        <w:rPr/>
        <w:pict>
          <v:group style="position:absolute;margin-left:0pt;margin-top:0pt;width:595.3pt;height:841.9pt;mso-position-horizontal-relative:page;mso-position-vertical-relative:page;z-index:-50992" coordorigin="0,0" coordsize="11906,16838">
            <v:rect style="position:absolute;left:0;top:0;width:9241;height:16838" filled="true" fillcolor="#f8f0e2" stroked="false">
              <v:fill type="solid"/>
            </v:rect>
            <v:shape style="position:absolute;left:9243;top:0;width:2663;height:16838" type="#_x0000_t75" stroked="false">
              <v:imagedata r:id="rId27" o:title=""/>
            </v:shape>
            <v:rect style="position:absolute;left:11509;top:0;width:397;height:16838" filled="true" fillcolor="#d19f2a" stroked="false">
              <v:fill type="solid"/>
            </v:rect>
            <v:line style="position:absolute" from="1134,1946" to="9014,1946" stroked="true" strokeweight="1.5pt" strokecolor="#d19f2a"/>
            <v:shape style="position:absolute;left:9678;top:1248;width:1402;height:1402" coordorigin="9678,1248" coordsize="1402,1402" path="m10379,1248l10303,1252,10229,1264,10157,1284,10089,1310,10025,1344,9965,1383,9909,1428,9859,1479,9813,1535,9774,1595,9741,1659,9714,1727,9694,1798,9682,1872,9678,1949,9682,2025,9694,2099,9714,2170,9741,2238,9774,2302,9813,2362,9859,2418,9909,2469,9965,2514,10025,2554,10089,2587,10157,2614,10229,2633,10303,2645,10379,2649,10455,2645,10529,2633,10600,2614,10668,2587,10733,2554,10793,2514,10848,2469,10899,2418,10944,2362,10984,2302,11017,2238,11044,2170,11063,2099,11076,2025,11080,1949,11076,1872,11063,1798,11044,1727,11017,1659,10984,1595,10944,1535,10899,1479,10848,1428,10793,1383,10733,1344,10668,1310,10600,1284,10529,1264,10455,1252,10379,1248xe" filled="true" fillcolor="#d19f2a" stroked="false">
              <v:path arrowok="t"/>
              <v:fill type="solid"/>
            </v:shape>
            <v:shape style="position:absolute;left:9877;top:1432;width:1025;height:1019" coordorigin="9877,1432" coordsize="1025,1019" path="m10012,1464l10011,1464,9995,1467,9978,1474,9962,1482,9950,1489,9937,1499,9926,1509,9915,1520,9906,1532,9888,1566,9880,1599,9878,1635,9877,2219,9877,2246,9878,2287,9883,2324,9896,2361,9912,2386,9934,2409,9961,2428,9991,2441,10027,2448,10072,2451,10158,2450,10682,2450,10704,2449,10722,2448,10740,2445,10759,2439,10802,2416,10836,2381,10851,2351,10100,2351,10068,2350,10039,2344,10013,2328,9991,2304,9980,2278,9976,2250,9976,2219,9976,1771,9975,1714,9975,1696,9976,1663,9979,1634,9984,1620,9990,1608,9997,1597,10006,1588,10014,1580,10026,1572,10040,1565,10054,1562,10068,1559,10090,1558,10459,1558,10471,1558,10483,1547,10507,1523,10552,1478,10554,1475,10561,1468,10565,1466,10566,1464,10014,1464,10012,1464xm10867,1759l10853,1771,10825,1799,10776,1849,10772,1852,10769,1853,10768,1859,10768,2247,10764,2279,10753,2305,10736,2325,10715,2340,10700,2346,10686,2349,10670,2351,10137,2351,10100,2351,10851,2351,10858,2337,10867,2285,10867,2219,10867,2033,10867,1954,10867,1901,10867,1885,10868,1859,10868,1829,10868,1791,10867,1759xm10169,2145l10167,2149,10166,2150,10162,2167,10169,2165,10173,2165,10174,2164,10165,2164,10166,2156,10169,2150,10169,2145xm10231,1928l10219,1969,10198,2042,10178,2111,10169,2145,10169,2150,10166,2156,10165,2164,10178,2161,10403,2098,10375,2069,10317,2011,10259,1954,10231,1928xm10178,2161l10165,2164,10174,2164,10178,2161xm10636,1525l10626,1533,10612,1547,10588,1571,10256,1901,10270,1917,10297,1944,10341,1987,10387,2033,10414,2059,10429,2073,10461,2042,10790,1714,10803,1704,10807,1696,10780,1668,10723,1611,10665,1553,10636,1525xm10749,1432l10733,1434,10720,1441,10710,1450,10701,1459,10681,1479,10670,1490,10663,1498,10835,1669,10845,1660,10854,1650,10873,1631,10882,1623,10891,1612,10899,1600,10902,1584,10899,1568,10892,1555,10883,1545,10874,1537,10807,1470,10797,1460,10788,1451,10778,1442,10765,1435,10749,1432xm10459,1558l10090,1558,10113,1558,10128,1558,10310,1559,10420,1559,10459,1558xm10016,1462l10016,1462,10015,1462,10014,1464,10566,1464,10566,1464,10026,1464,10016,1462xm10308,1460l10038,1461,10026,1464,10566,1464,10566,1461,10308,1460xe" filled="true" fillcolor="#ffffff" stroked="false">
              <v:path arrowok="t"/>
              <v:fill type="solid"/>
            </v:shape>
            <w10:wrap type="none"/>
          </v:group>
        </w:pict>
      </w:r>
      <w:r>
        <w:rPr>
          <w:rFonts w:ascii="Myriad Pro" w:hAnsi="Myriad Pro"/>
          <w:color w:val="6D6E71"/>
          <w:sz w:val="16"/>
        </w:rPr>
        <w:t>Module 2 - CADRES D’APPLICATION ET DE SUIVI DE LA CONVENTION DES NATIONS UNIES RELATIVE AUX DROITS DES</w:t>
      </w:r>
    </w:p>
    <w:p>
      <w:pPr>
        <w:spacing w:before="0"/>
        <w:ind w:left="0" w:right="0" w:firstLine="0"/>
        <w:jc w:val="right"/>
        <w:rPr>
          <w:rFonts w:ascii="Myriad Pro" w:hAnsi="Myriad Pro"/>
          <w:sz w:val="16"/>
        </w:rPr>
      </w:pPr>
      <w:r>
        <w:rPr>
          <w:rFonts w:ascii="Myriad Pro" w:hAnsi="Myriad Pro"/>
          <w:color w:val="6D6E71"/>
          <w:sz w:val="16"/>
        </w:rPr>
        <w:t>PERSONNES HANDICAPÉES</w:t>
      </w:r>
    </w:p>
    <w:p>
      <w:pPr>
        <w:pStyle w:val="Heading4"/>
        <w:tabs>
          <w:tab w:pos="1093" w:val="left" w:leader="none"/>
        </w:tabs>
        <w:ind w:left="186"/>
      </w:pPr>
      <w:r>
        <w:rPr/>
        <w:br w:type="column"/>
      </w:r>
      <w:r>
        <w:rPr>
          <w:color w:val="FFFFFF"/>
          <w:spacing w:val="21"/>
          <w:shd w:fill="D19F2A" w:color="auto" w:val="clear"/>
        </w:rPr>
        <w:t> </w:t>
      </w:r>
      <w:r>
        <w:rPr>
          <w:color w:val="FFFFFF"/>
          <w:shd w:fill="D19F2A" w:color="auto" w:val="clear"/>
        </w:rPr>
        <w:t>17</w:t>
        <w:tab/>
      </w:r>
    </w:p>
    <w:p>
      <w:pPr>
        <w:spacing w:after="0"/>
        <w:sectPr>
          <w:type w:val="continuous"/>
          <w:pgSz w:w="11910" w:h="16840"/>
          <w:pgMar w:top="1600" w:bottom="280" w:left="1020" w:right="1640"/>
          <w:cols w:num="2" w:equalWidth="0">
            <w:col w:w="7995" w:space="40"/>
            <w:col w:w="1215"/>
          </w:cols>
        </w:sectPr>
      </w:pPr>
    </w:p>
    <w:p>
      <w:pPr>
        <w:spacing w:before="57"/>
        <w:ind w:left="1252" w:right="1179"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left="1251" w:right="1179"/>
        <w:rPr>
          <w:b/>
        </w:rPr>
      </w:pPr>
      <w:r>
        <w:rPr>
          <w:b/>
          <w:color w:val="231F20"/>
        </w:rPr>
        <w:t>Fiche de cours du formateur – Application – Problèmes potentiels, Session 1</w:t>
      </w:r>
    </w:p>
    <w:p>
      <w:pPr>
        <w:pStyle w:val="BodyText"/>
        <w:spacing w:before="1"/>
        <w:rPr>
          <w:b/>
          <w:sz w:val="29"/>
        </w:rPr>
      </w:pPr>
    </w:p>
    <w:tbl>
      <w:tblPr>
        <w:tblW w:w="0" w:type="auto"/>
        <w:jc w:val="left"/>
        <w:tblInd w:w="1236" w:type="dxa"/>
        <w:tblBorders>
          <w:top w:val="single" w:sz="4" w:space="0" w:color="D19F2A"/>
          <w:left w:val="single" w:sz="4" w:space="0" w:color="D19F2A"/>
          <w:bottom w:val="single" w:sz="4" w:space="0" w:color="D19F2A"/>
          <w:right w:val="single" w:sz="4" w:space="0" w:color="D19F2A"/>
          <w:insideH w:val="single" w:sz="4" w:space="0" w:color="D19F2A"/>
          <w:insideV w:val="single" w:sz="4" w:space="0" w:color="D19F2A"/>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D19F2A"/>
              <w:left w:val="nil"/>
              <w:right w:val="single" w:sz="8" w:space="0" w:color="D19F2A"/>
            </w:tcBorders>
          </w:tcPr>
          <w:p>
            <w:pPr/>
          </w:p>
        </w:tc>
        <w:tc>
          <w:tcPr>
            <w:tcW w:w="1389" w:type="dxa"/>
            <w:tcBorders>
              <w:top w:val="single" w:sz="12" w:space="0" w:color="D19F2A"/>
              <w:left w:val="single" w:sz="8" w:space="0" w:color="D19F2A"/>
              <w:right w:val="single" w:sz="8" w:space="0" w:color="D19F2A"/>
            </w:tcBorders>
            <w:shd w:val="clear" w:color="auto" w:fill="F8F0E2"/>
          </w:tcPr>
          <w:p>
            <w:pPr>
              <w:pStyle w:val="TableParagraph"/>
              <w:spacing w:before="72"/>
              <w:ind w:right="415"/>
              <w:rPr>
                <w:b/>
                <w:sz w:val="20"/>
              </w:rPr>
            </w:pPr>
            <w:r>
              <w:rPr>
                <w:b/>
                <w:color w:val="231F20"/>
                <w:sz w:val="20"/>
              </w:rPr>
              <w:t>Messages clés</w:t>
            </w:r>
          </w:p>
        </w:tc>
        <w:tc>
          <w:tcPr>
            <w:tcW w:w="5357" w:type="dxa"/>
            <w:tcBorders>
              <w:top w:val="single" w:sz="12" w:space="0" w:color="D19F2A"/>
              <w:left w:val="single" w:sz="8" w:space="0" w:color="D19F2A"/>
              <w:right w:val="nil"/>
            </w:tcBorders>
            <w:shd w:val="clear" w:color="auto" w:fill="F8F0E2"/>
          </w:tcPr>
          <w:p>
            <w:pPr>
              <w:pStyle w:val="TableParagraph"/>
              <w:spacing w:line="240" w:lineRule="auto" w:before="58"/>
              <w:rPr>
                <w:sz w:val="20"/>
              </w:rPr>
            </w:pPr>
            <w:r>
              <w:rPr>
                <w:color w:val="231F20"/>
                <w:sz w:val="20"/>
              </w:rPr>
              <w:t>Consulter le résumé et les principaux enseignements.</w:t>
            </w:r>
          </w:p>
        </w:tc>
      </w:tr>
      <w:tr>
        <w:trPr>
          <w:trHeight w:val="973"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line="240" w:lineRule="auto"/>
              <w:ind w:right="415"/>
              <w:rPr>
                <w:b/>
                <w:sz w:val="20"/>
              </w:rPr>
            </w:pPr>
            <w:r>
              <w:rPr>
                <w:b/>
                <w:color w:val="231F20"/>
                <w:sz w:val="20"/>
              </w:rPr>
              <w:t>Objectifs</w:t>
            </w:r>
          </w:p>
        </w:tc>
        <w:tc>
          <w:tcPr>
            <w:tcW w:w="5357" w:type="dxa"/>
            <w:tcBorders>
              <w:left w:val="single" w:sz="8" w:space="0" w:color="D19F2A"/>
              <w:right w:val="nil"/>
            </w:tcBorders>
            <w:shd w:val="clear" w:color="auto" w:fill="F8F0E2"/>
          </w:tcPr>
          <w:p>
            <w:pPr>
              <w:pStyle w:val="TableParagraph"/>
              <w:spacing w:before="49"/>
              <w:rPr>
                <w:sz w:val="20"/>
              </w:rPr>
            </w:pPr>
            <w:r>
              <w:rPr>
                <w:color w:val="231F20"/>
                <w:sz w:val="20"/>
              </w:rPr>
              <w:t>À la fin de cette session, les participants auront identifié les éléments essentiels à l’application réussie de la CDPH.</w:t>
            </w:r>
          </w:p>
        </w:tc>
      </w:tr>
      <w:tr>
        <w:trPr>
          <w:trHeight w:val="977" w:hRule="exact"/>
        </w:trPr>
        <w:tc>
          <w:tcPr>
            <w:tcW w:w="1134" w:type="dxa"/>
            <w:tcBorders>
              <w:left w:val="nil"/>
              <w:right w:val="single" w:sz="8" w:space="0" w:color="D19F2A"/>
            </w:tcBorders>
            <w:shd w:val="clear" w:color="auto" w:fill="F8F0E2"/>
          </w:tcPr>
          <w:p>
            <w:pPr/>
          </w:p>
        </w:tc>
        <w:tc>
          <w:tcPr>
            <w:tcW w:w="1389" w:type="dxa"/>
            <w:tcBorders>
              <w:left w:val="single" w:sz="8" w:space="0" w:color="D19F2A"/>
              <w:right w:val="single" w:sz="8" w:space="0" w:color="D19F2A"/>
            </w:tcBorders>
            <w:shd w:val="clear" w:color="auto" w:fill="F8F0E2"/>
          </w:tcPr>
          <w:p>
            <w:pPr>
              <w:pStyle w:val="TableParagraph"/>
              <w:spacing w:before="49"/>
              <w:ind w:right="0"/>
              <w:rPr>
                <w:b/>
                <w:sz w:val="20"/>
              </w:rPr>
            </w:pPr>
            <w:r>
              <w:rPr>
                <w:b/>
                <w:color w:val="231F20"/>
                <w:sz w:val="20"/>
              </w:rPr>
              <w:t>Organisation de la classe</w:t>
            </w:r>
          </w:p>
        </w:tc>
        <w:tc>
          <w:tcPr>
            <w:tcW w:w="5357" w:type="dxa"/>
            <w:tcBorders>
              <w:left w:val="single" w:sz="8" w:space="0" w:color="D19F2A"/>
              <w:right w:val="nil"/>
            </w:tcBorders>
            <w:shd w:val="clear" w:color="auto" w:fill="F8F0E2"/>
          </w:tcPr>
          <w:p>
            <w:pPr>
              <w:pStyle w:val="TableParagraph"/>
              <w:spacing w:before="49"/>
              <w:rPr>
                <w:sz w:val="20"/>
              </w:rPr>
            </w:pPr>
            <w:r>
              <w:rPr>
                <w:color w:val="231F20"/>
                <w:sz w:val="20"/>
              </w:rPr>
              <w:t>Petits îlots pour le travail en groupes (4 participants dans chaque groupe), chacun équipé d’un tableau blanc ou à feuilles mobiles.</w:t>
            </w:r>
          </w:p>
        </w:tc>
      </w:tr>
      <w:tr>
        <w:trPr>
          <w:trHeight w:val="1173" w:hRule="exact"/>
        </w:trPr>
        <w:tc>
          <w:tcPr>
            <w:tcW w:w="1134" w:type="dxa"/>
            <w:tcBorders>
              <w:left w:val="nil"/>
              <w:right w:val="single" w:sz="8" w:space="0" w:color="D19F2A"/>
            </w:tcBorders>
            <w:shd w:val="clear" w:color="auto" w:fill="F8F0E2"/>
          </w:tcPr>
          <w:p>
            <w:pPr/>
          </w:p>
        </w:tc>
        <w:tc>
          <w:tcPr>
            <w:tcW w:w="1389" w:type="dxa"/>
            <w:tcBorders>
              <w:left w:val="single" w:sz="8" w:space="0" w:color="D19F2A"/>
              <w:right w:val="single" w:sz="8" w:space="0" w:color="D19F2A"/>
            </w:tcBorders>
            <w:shd w:val="clear" w:color="auto" w:fill="F8F0E2"/>
          </w:tcPr>
          <w:p>
            <w:pPr>
              <w:pStyle w:val="TableParagraph"/>
              <w:spacing w:line="240" w:lineRule="auto"/>
              <w:ind w:right="415"/>
              <w:rPr>
                <w:b/>
                <w:sz w:val="20"/>
              </w:rPr>
            </w:pPr>
            <w:r>
              <w:rPr>
                <w:b/>
                <w:color w:val="231F20"/>
                <w:sz w:val="20"/>
              </w:rPr>
              <w:t>Activité</w:t>
            </w:r>
          </w:p>
        </w:tc>
        <w:tc>
          <w:tcPr>
            <w:tcW w:w="5357" w:type="dxa"/>
            <w:tcBorders>
              <w:left w:val="single" w:sz="8" w:space="0" w:color="D19F2A"/>
              <w:right w:val="nil"/>
            </w:tcBorders>
            <w:shd w:val="clear" w:color="auto" w:fill="F8F0E2"/>
          </w:tcPr>
          <w:p>
            <w:pPr>
              <w:pStyle w:val="TableParagraph"/>
              <w:spacing w:line="276" w:lineRule="auto" w:before="34"/>
              <w:ind w:right="2135"/>
              <w:jc w:val="both"/>
              <w:rPr>
                <w:sz w:val="20"/>
              </w:rPr>
            </w:pPr>
            <w:r>
              <w:rPr>
                <w:color w:val="231F20"/>
                <w:sz w:val="20"/>
              </w:rPr>
              <w:t>20 min. – Travail en groupes, partie 1 10 min. – Travail en groupes, partie 2 30 min. – Travail en groupes, partie 3 30 min. – Discussion en classe</w:t>
            </w:r>
            <w:r>
              <w:rPr>
                <w:color w:val="231F20"/>
                <w:spacing w:val="-6"/>
                <w:sz w:val="20"/>
              </w:rPr>
              <w:t> </w:t>
            </w:r>
            <w:r>
              <w:rPr>
                <w:color w:val="231F20"/>
                <w:sz w:val="20"/>
              </w:rPr>
              <w:t>entière.</w:t>
            </w:r>
          </w:p>
        </w:tc>
      </w:tr>
      <w:tr>
        <w:trPr>
          <w:trHeight w:val="1067"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line="240" w:lineRule="auto"/>
              <w:ind w:right="415"/>
              <w:rPr>
                <w:b/>
                <w:sz w:val="20"/>
              </w:rPr>
            </w:pPr>
            <w:r>
              <w:rPr>
                <w:b/>
                <w:color w:val="231F20"/>
                <w:sz w:val="20"/>
              </w:rPr>
              <w:t>Durée</w:t>
            </w:r>
          </w:p>
        </w:tc>
        <w:tc>
          <w:tcPr>
            <w:tcW w:w="5357" w:type="dxa"/>
            <w:tcBorders>
              <w:left w:val="single" w:sz="8" w:space="0" w:color="D19F2A"/>
              <w:right w:val="nil"/>
            </w:tcBorders>
            <w:shd w:val="clear" w:color="auto" w:fill="F8F0E2"/>
          </w:tcPr>
          <w:p>
            <w:pPr>
              <w:pStyle w:val="TableParagraph"/>
              <w:spacing w:line="240" w:lineRule="auto" w:before="34"/>
              <w:rPr>
                <w:sz w:val="20"/>
              </w:rPr>
            </w:pPr>
            <w:r>
              <w:rPr>
                <w:color w:val="231F20"/>
                <w:sz w:val="20"/>
              </w:rPr>
              <w:t>90 minutes</w:t>
            </w:r>
          </w:p>
        </w:tc>
      </w:tr>
      <w:tr>
        <w:trPr>
          <w:trHeight w:val="1500"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before="49"/>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D19F2A"/>
              <w:right w:val="nil"/>
            </w:tcBorders>
            <w:shd w:val="clear" w:color="auto" w:fill="F8F0E2"/>
          </w:tcPr>
          <w:p>
            <w:pPr>
              <w:pStyle w:val="TableParagraph"/>
              <w:spacing w:before="49"/>
              <w:rPr>
                <w:sz w:val="20"/>
              </w:rPr>
            </w:pPr>
            <w:r>
              <w:rPr>
                <w:color w:val="231F20"/>
                <w:sz w:val="20"/>
              </w:rPr>
              <w:t>Discussions en petits groupes pour élaborer des listes, puis échange de listes et nouvelles discussions en groupes avant un retour en classe entière.</w:t>
            </w:r>
          </w:p>
          <w:p>
            <w:pPr>
              <w:pStyle w:val="TableParagraph"/>
              <w:spacing w:before="56"/>
              <w:rPr>
                <w:sz w:val="20"/>
              </w:rPr>
            </w:pPr>
            <w:r>
              <w:rPr>
                <w:color w:val="231F20"/>
                <w:sz w:val="20"/>
              </w:rPr>
              <w:t>Lorsque vous échangez les feuilles des tableaux à feuilles mobiles, n’oubliez pas que les groupes se réuniront pour la partie 3.</w:t>
            </w:r>
          </w:p>
        </w:tc>
      </w:tr>
      <w:tr>
        <w:trPr>
          <w:trHeight w:val="977"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before="48"/>
              <w:ind w:right="415"/>
              <w:rPr>
                <w:b/>
                <w:sz w:val="20"/>
              </w:rPr>
            </w:pPr>
            <w:r>
              <w:rPr>
                <w:b/>
                <w:color w:val="231F20"/>
                <w:sz w:val="20"/>
              </w:rPr>
              <w:t>Fiches de travail</w:t>
            </w:r>
          </w:p>
        </w:tc>
        <w:tc>
          <w:tcPr>
            <w:tcW w:w="5357" w:type="dxa"/>
            <w:tcBorders>
              <w:left w:val="single" w:sz="8" w:space="0" w:color="D19F2A"/>
              <w:right w:val="nil"/>
            </w:tcBorders>
            <w:shd w:val="clear" w:color="auto" w:fill="F8F0E2"/>
          </w:tcPr>
          <w:p>
            <w:pPr>
              <w:pStyle w:val="TableParagraph"/>
              <w:spacing w:before="48"/>
              <w:rPr>
                <w:sz w:val="20"/>
              </w:rPr>
            </w:pPr>
            <w:r>
              <w:rPr>
                <w:color w:val="231F20"/>
                <w:sz w:val="20"/>
              </w:rPr>
              <w:t>Activité d’apprentissage 2.C.1 : Problèmes associés à l’application réussie de la CPDH</w:t>
            </w:r>
          </w:p>
        </w:tc>
      </w:tr>
      <w:tr>
        <w:trPr>
          <w:trHeight w:val="977" w:hRule="exact"/>
        </w:trPr>
        <w:tc>
          <w:tcPr>
            <w:tcW w:w="1134" w:type="dxa"/>
            <w:tcBorders>
              <w:left w:val="nil"/>
              <w:bottom w:val="single" w:sz="12" w:space="0" w:color="D19F2A"/>
              <w:right w:val="single" w:sz="8" w:space="0" w:color="D19F2A"/>
            </w:tcBorders>
          </w:tcPr>
          <w:p>
            <w:pPr/>
          </w:p>
        </w:tc>
        <w:tc>
          <w:tcPr>
            <w:tcW w:w="1389" w:type="dxa"/>
            <w:tcBorders>
              <w:left w:val="single" w:sz="8" w:space="0" w:color="D19F2A"/>
              <w:bottom w:val="single" w:sz="12" w:space="0" w:color="D19F2A"/>
              <w:right w:val="single" w:sz="8" w:space="0" w:color="D19F2A"/>
            </w:tcBorders>
            <w:shd w:val="clear" w:color="auto" w:fill="F8F0E2"/>
          </w:tcPr>
          <w:p>
            <w:pPr>
              <w:pStyle w:val="TableParagraph"/>
              <w:spacing w:line="240" w:lineRule="auto"/>
              <w:ind w:right="415"/>
              <w:rPr>
                <w:b/>
                <w:sz w:val="20"/>
              </w:rPr>
            </w:pPr>
            <w:r>
              <w:rPr>
                <w:b/>
                <w:color w:val="231F20"/>
                <w:sz w:val="20"/>
              </w:rPr>
              <w:t>Supports</w:t>
            </w:r>
          </w:p>
        </w:tc>
        <w:tc>
          <w:tcPr>
            <w:tcW w:w="5357" w:type="dxa"/>
            <w:tcBorders>
              <w:left w:val="single" w:sz="8" w:space="0" w:color="D19F2A"/>
              <w:bottom w:val="single" w:sz="12" w:space="0" w:color="D19F2A"/>
              <w:right w:val="nil"/>
            </w:tcBorders>
            <w:shd w:val="clear" w:color="auto" w:fill="F8F0E2"/>
          </w:tcPr>
          <w:p>
            <w:pPr>
              <w:pStyle w:val="TableParagraph"/>
              <w:spacing w:before="48"/>
              <w:rPr>
                <w:sz w:val="20"/>
              </w:rPr>
            </w:pPr>
            <w:r>
              <w:rPr>
                <w:color w:val="231F20"/>
                <w:sz w:val="20"/>
              </w:rPr>
              <w:t>Support : Problèmes associés à l’application réussie de la CPDH</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after="0"/>
        <w:rPr>
          <w:sz w:val="23"/>
        </w:rPr>
        <w:sectPr>
          <w:pgSz w:w="11910" w:h="16840"/>
          <w:pgMar w:top="360" w:bottom="0" w:left="1640" w:right="1000"/>
        </w:sectPr>
      </w:pPr>
    </w:p>
    <w:p>
      <w:pPr>
        <w:pStyle w:val="Heading4"/>
        <w:tabs>
          <w:tab w:pos="699" w:val="left" w:leader="none"/>
          <w:tab w:pos="1022" w:val="left" w:leader="none"/>
        </w:tabs>
        <w:spacing w:before="115"/>
      </w:pPr>
      <w:r>
        <w:rPr/>
        <w:pict>
          <v:group style="position:absolute;margin-left:0pt;margin-top:0pt;width:595.3pt;height:841.9pt;mso-position-horizontal-relative:page;mso-position-vertical-relative:page;z-index:-50968" coordorigin="0,0" coordsize="11906,16838">
            <v:rect style="position:absolute;left:2665;top:0;width:9241;height:16838" filled="true" fillcolor="#f8f0e2" stroked="false">
              <v:fill type="solid"/>
            </v:rect>
            <v:shape style="position:absolute;left:0;top:0;width:2663;height:16838" type="#_x0000_t75" stroked="false">
              <v:imagedata r:id="rId28" o:title=""/>
            </v:shape>
            <v:rect style="position:absolute;left:0;top:0;width:397;height:16838" filled="true" fillcolor="#d19f2a" stroked="false">
              <v:fill type="solid"/>
            </v:rect>
            <v:shape style="position:absolute;left:2934;top:3514;width:822;height:822" coordorigin="2934,3514" coordsize="822,822" path="m3345,3514l3271,3520,3201,3539,3137,3570,3080,3610,3030,3660,2990,3717,2960,3781,2940,3851,2934,3925,2940,3998,2960,4068,2990,4132,3030,4189,3080,4239,3137,4279,3201,4310,3271,4329,3345,4336,3419,4329,3488,4310,3552,4279,3609,4239,3659,4189,3699,4132,3730,4068,3749,3998,3756,3925,3749,3851,3730,3781,3699,3717,3659,3660,3609,3610,3552,3570,3488,3539,3419,3520,3345,3514xe" filled="true" fillcolor="#d19f2a" stroked="false">
              <v:path arrowok="t"/>
              <v:fill type="solid"/>
            </v:shape>
            <v:shape style="position:absolute;left:2996;top:3576;width:697;height:697" coordorigin="2996,3576" coordsize="697,697" path="m3345,3576l3274,3583,3209,3604,3150,3636,3098,3678,3056,3730,3024,3789,3003,3854,2996,3925,3003,3995,3024,4060,3056,4119,3098,4171,3150,4213,3209,4246,3274,4266,3345,4273,3415,4266,3480,4246,3539,4213,3540,4213,3345,4213,3268,4202,3199,4173,3141,4128,3096,4070,3067,4001,3057,3925,3067,3848,3096,3779,3141,3721,3199,3676,3268,3647,3345,3637,3540,3637,3539,3636,3480,3604,3415,3583,3345,3576xm3540,3637l3345,3637,3421,3647,3490,3676,3548,3721,3593,3779,3622,3848,3633,3925,3622,4001,3593,4070,3548,4128,3490,4173,3421,4202,3345,4213,3540,4213,3591,4171,3634,4119,3666,4060,3686,3995,3693,3925,3686,3854,3666,3789,3634,3730,3591,3678,3540,3637xm3345,3698l3273,3709,3211,3742,3162,3791,3129,3853,3118,3925,3129,3996,3162,4059,3211,4108,3273,4140,3345,4152,3416,4140,3479,4108,3498,4089,3345,4089,3281,4076,3229,4041,3194,3988,3181,3925,3194,3861,3229,3809,3281,3773,3345,3761,3498,3761,3479,3742,3416,3709,3345,3698xm3498,3761l3345,3761,3409,3773,3461,3809,3496,3861,3509,3925,3496,3988,3461,4041,3409,4076,3345,4089,3498,4089,3528,4059,3560,3996,3572,3925,3560,3853,3528,3791,3498,3761xm3345,3831l3308,3838,3279,3858,3259,3888,3251,3925,3259,3961,3279,3991,3308,4011,3345,4018,3381,4011,3411,3991,3431,3961,3438,3925,3431,3888,3411,3858,3381,3838,3345,3831xe" filled="true" fillcolor="#ffffff" stroked="false">
              <v:path arrowok="t"/>
              <v:fill type="solid"/>
            </v:shape>
            <v:shape style="position:absolute;left:2931;top:4491;width:822;height:822" type="#_x0000_t75" stroked="false">
              <v:imagedata r:id="rId29" o:title=""/>
            </v:shape>
            <v:shape style="position:absolute;left:2945;top:6652;width:806;height:927" coordorigin="2945,6652" coordsize="806,927" path="m3391,6729l3306,6729,3306,6775,3232,6790,3164,6817,3103,6856,3050,6905,3006,6963,2973,7028,2952,7100,2945,7176,2952,7248,2970,7316,3000,7379,3040,7435,3089,7484,3145,7523,3207,7553,3276,7572,3348,7578,3420,7572,3489,7553,3551,7523,3587,7499,3348,7499,3274,7490,3206,7466,3146,7428,3096,7378,3058,7318,3034,7250,3025,7176,3034,7102,3034,7101,3058,7034,3096,6974,3146,6924,3206,6886,3274,6861,3348,6853,3649,6853,3676,6827,3550,6827,3513,6808,3474,6793,3433,6782,3391,6775,3391,6729xm3649,6853l3348,6853,3422,6861,3490,6886,3550,6924,3600,6974,3638,7034,3662,7101,3663,7102,3671,7176,3662,7250,3638,7318,3600,7378,3550,7428,3490,7466,3422,7490,3348,7499,3587,7499,3608,7484,3656,7435,3696,7379,3726,7316,3744,7248,3751,7176,3742,7090,3716,7011,3675,6940,3621,6880,3649,6853xm3356,7101l3349,7101,3316,7108,3289,7126,3271,7153,3265,7186,3271,7219,3289,7246,3316,7264,3349,7270,3382,7264,3409,7246,3427,7219,3434,7186,3434,7174,3431,7163,3427,7153,3459,7104,3370,7104,3364,7102,3356,7101xm3543,6978l3370,7104,3459,7104,3543,6978xm3616,6768l3550,6827,3676,6827,3678,6825,3616,6768xm3440,6652l3251,6652,3251,6729,3440,6729,3440,6652xe" filled="true" fillcolor="#d19f2a" stroked="false">
              <v:path arrowok="t"/>
              <v:fill type="solid"/>
            </v:shape>
            <v:shape style="position:absolute;left:2929;top:7701;width:822;height:822" coordorigin="2929,7701" coordsize="822,822" path="m3340,7701l3267,7707,3197,7726,3133,7757,3076,7797,3026,7847,2986,7904,2955,7968,2936,8038,2929,8111,2936,8185,2955,8255,2986,8319,3026,8376,3076,8426,3133,8466,3197,8497,3267,8516,3340,8522,3414,8516,3484,8497,3548,8466,3605,8426,3655,8376,3695,8319,3726,8255,3745,8185,3751,8111,3745,8038,3726,7968,3695,7904,3655,7847,3605,7797,3548,7757,3484,7726,3414,7707,3340,7701xe" filled="true" fillcolor="#d19f2a" stroked="false">
              <v:path arrowok="t"/>
              <v:fill type="solid"/>
            </v:shape>
            <v:shape style="position:absolute;left:3030;top:7766;width:654;height:587" coordorigin="3030,7766" coordsize="654,587" path="m3468,7766l3438,7784,3435,7787,3434,7788,3432,7791,3346,7890,3330,7910,3320,7921,3314,7926,3311,7928,3298,7930,3294,7931,3264,7939,3234,7948,3204,7960,3176,7973,3160,7981,3158,7986,3147,7995,3131,8010,3114,8030,3098,8050,3085,8067,3068,8090,3050,8119,3036,8147,3030,8171,3030,8184,3032,8196,3035,8208,3041,8219,3047,8228,3056,8239,3068,8241,3060,8257,3050,8278,3042,8300,3038,8319,3041,8332,3047,8343,3056,8350,3068,8353,3085,8349,3103,8338,3135,8313,3142,8309,3152,8297,3208,8297,3217,8295,3248,8281,3286,8267,3332,8261,3560,8261,3548,8256,3171,8256,3167,8250,3164,8244,3172,8231,3191,8218,3212,8207,3226,8201,3229,8199,3089,8199,3076,8196,3075,8178,3080,8166,3100,8128,3133,8082,3168,8040,3195,8016,3199,8014,3201,8014,3210,8009,3232,7999,3247,7993,3258,7990,3323,7990,3324,7988,3324,7988,3327,7985,3366,7940,3368,7937,3368,7937,3371,7934,3435,7859,3439,7855,3441,7852,3445,7848,3473,7816,3483,7815,3551,7815,3535,7794,3503,7773,3468,7766xm3560,8261l3332,8261,3360,8261,3384,8262,3409,8264,3437,8267,3460,8270,3473,8273,3486,8278,3505,8288,3604,8334,3623,8343,3635,8294,3621,8289,3596,8278,3566,8264,3560,8261xm3208,8297l3152,8297,3155,8298,3173,8301,3190,8301,3208,8297xm3342,8213l3306,8215,3279,8219,3254,8227,3218,8242,3214,8245,3193,8254,3196,8256,3548,8256,3538,8251,3487,8229,3470,8225,3426,8219,3409,8216,3394,8215,3376,8214,3358,8213,3342,8213xm3257,7993l3254,7997,3238,8014,3214,8042,3193,8067,3171,8092,3127,8143,3118,8157,3105,8175,3094,8192,3089,8199,3229,8199,3248,8190,3268,8179,3160,8179,3168,8168,3179,8156,3189,8145,3199,8134,3230,8097,3231,8096,3257,8065,3261,8061,3263,8058,3270,8052,3270,8052,3274,8046,3275,8045,3279,8040,3279,8040,3284,8035,3285,8034,3287,8031,3318,7995,3257,7995,3257,7993xm3551,7815l3483,7815,3500,7827,3509,7835,3511,7838,3517,7849,3448,7928,3420,7960,3405,7977,3393,7992,3328,8067,3326,8069,3324,8070,3320,8075,3320,8076,3313,8083,3311,8086,3303,8094,3302,8097,3293,8106,3292,8108,3282,8115,3278,8118,3273,8121,3218,8151,3182,8169,3166,8178,3160,8179,3268,8179,3270,8178,3291,8166,3311,8153,3323,8145,3332,8135,3333,8133,3340,8125,3341,8123,3344,8120,3355,8108,3368,8092,3380,8078,3390,8067,3396,8061,3401,8055,3409,8045,3410,8044,3429,8022,3433,8019,3433,8017,3436,8013,3512,8013,3470,7975,3489,7954,3492,7950,3492,7949,3498,7943,3498,7942,3503,7937,3526,7909,3533,7902,3542,7892,3551,7881,3558,7873,3564,7860,3564,7846,3561,7832,3555,7819,3551,7815xm3512,8013l3436,8013,3442,8014,3442,8015,3450,8023,3451,8023,3455,8027,3532,8098,3671,8140,3684,8092,3556,8053,3512,8013xm3270,8051l3270,8052,3270,8052,3270,8051xm3323,7990l3258,7990,3257,7995,3318,7995,3322,7991,3323,7990xm3369,7937l3368,7937,3368,7937,3369,7937xe" filled="true" fillcolor="#ffffff" stroked="false">
              <v:path arrowok="t"/>
              <v:fill type="solid"/>
            </v:shape>
            <v:shape style="position:absolute;left:2933;top:9214;width:822;height:822" coordorigin="2933,9214" coordsize="822,822" path="m3344,9214l3270,9220,3201,9239,3137,9270,3079,9310,3030,9360,2989,9417,2959,9481,2940,9551,2933,9625,2940,9698,2959,9768,2989,9832,3030,9889,3079,9939,3137,9979,3201,10010,3270,10029,3344,10036,3418,10029,3487,10010,3551,9979,3609,9939,3658,9889,3699,9832,3729,9768,3748,9698,3755,9625,3748,9551,3729,9481,3699,9417,3658,9360,3609,9310,3551,9270,3487,9239,3418,9220,3344,9214xe" filled="true" fillcolor="#d19f2a" stroked="false">
              <v:path arrowok="t"/>
              <v:fill type="solid"/>
            </v:shape>
            <v:shape style="position:absolute;left:3066;top:9327;width:511;height:304" coordorigin="3066,9327" coordsize="511,304" path="m3544,9412l3404,9412,3405,9416,3401,9417,3381,9432,3376,9435,3364,9443,3352,9450,3339,9458,3327,9465,3314,9473,3302,9480,3290,9486,3276,9493,3243,9509,3233,9514,3221,9518,3199,9527,3187,9532,3175,9536,3163,9539,3150,9543,3135,9547,3123,9549,3097,9555,3087,9557,3084,9560,3070,9573,3067,9580,3066,9588,3066,9596,3070,9609,3077,9620,3088,9628,3101,9630,3121,9629,3143,9625,3165,9619,3193,9611,3201,9608,3209,9606,3235,9596,3264,9584,3293,9571,3319,9559,3389,9519,3401,9511,3413,9504,3455,9475,3520,9475,3528,9452,3544,9412xm3520,9475l3455,9475,3460,9478,3463,9483,3467,9488,3489,9514,3492,9517,3497,9524,3500,9526,3510,9501,3520,9475xm3576,9327l3546,9331,3380,9358,3368,9361,3361,9362,3362,9366,3379,9384,3383,9389,3399,9408,3402,9412,3404,9412,3544,9412,3558,9378,3562,9367,3568,9351,3574,9336,3576,9327xe" filled="true" fillcolor="#ffffff" stroked="false">
              <v:path arrowok="t"/>
              <v:fill type="solid"/>
            </v:shape>
            <v:shape style="position:absolute;left:3428;top:9545;width:124;height:360" type="#_x0000_t75" stroked="false">
              <v:imagedata r:id="rId30" o:title=""/>
            </v:shape>
            <v:shape style="position:absolute;left:3262;top:9625;width:124;height:280" type="#_x0000_t75" stroked="false">
              <v:imagedata r:id="rId31" o:title=""/>
            </v:shape>
            <v:shape style="position:absolute;left:3097;top:9705;width:124;height:200" type="#_x0000_t75" stroked="false">
              <v:imagedata r:id="rId32" o:title=""/>
            </v:shape>
            <v:shape style="position:absolute;left:2932;top:10188;width:822;height:822" coordorigin="2932,10188" coordsize="822,822" path="m3343,10188l3269,10194,3200,10213,3136,10244,3078,10284,3029,10334,2988,10391,2958,10455,2939,10525,2932,10599,2939,10672,2958,10742,2988,10806,3029,10863,3078,10913,3136,10953,3200,10984,3269,11003,3343,11010,3417,11003,3486,10984,3550,10953,3608,10913,3657,10863,3698,10806,3728,10742,3747,10672,3754,10599,3747,10525,3728,10455,3698,10391,3657,10334,3608,10284,3550,10244,3486,10213,3417,10194,3343,10188xe" filled="true" fillcolor="#d19f2a" stroked="false">
              <v:path arrowok="t"/>
              <v:fill type="solid"/>
            </v:shape>
            <v:line style="position:absolute" from="3239,10434" to="3457,10434" stroked="true" strokeweight="1.827pt" strokecolor="#ffffff"/>
            <v:line style="position:absolute" from="3239,10613" to="3457,10613" stroked="true" strokeweight="1.824pt" strokecolor="#ffffff"/>
            <v:line style="position:absolute" from="3239,10524" to="3457,10524" stroked="true" strokeweight="1.823pt" strokecolor="#ffffff"/>
            <v:line style="position:absolute" from="3239,10703" to="3457,10703" stroked="true" strokeweight="1.846pt" strokecolor="#ffffff"/>
            <v:shape style="position:absolute;left:3137;top:10317;width:403;height:518" coordorigin="3137,10317" coordsize="403,518" path="m3468,10317l3209,10317,3195,10318,3182,10322,3169,10329,3159,10338,3150,10349,3143,10361,3139,10374,3137,10389,3137,10762,3139,10777,3143,10790,3150,10803,3159,10813,3159,10813,3169,10822,3181,10829,3195,10833,3209,10834,3468,10834,3482,10833,3496,10829,3508,10822,3519,10813,3528,10802,3531,10796,3200,10796,3192,10792,3186,10786,3186,10786,3180,10780,3176,10772,3176,10380,3180,10371,3192,10359,3200,10355,3531,10355,3528,10349,3519,10338,3519,10338,3508,10329,3496,10322,3482,10318,3468,10317xm3531,10355l3477,10355,3485,10359,3491,10365,3491,10365,3497,10371,3501,10380,3501,10772,3497,10780,3485,10792,3477,10796,3531,10796,3534,10790,3538,10777,3540,10762,3540,10389,3538,10374,3534,10361,3531,10355xm3186,10786l3186,10786,3186,10786,3186,10786xe" filled="true" fillcolor="#ffffff" stroked="false">
              <v:path arrowok="t"/>
              <v:fill type="solid"/>
            </v:shape>
            <v:shape style="position:absolute;left:-19;top:16526;width:684;height:312" coordorigin="-19,16526" coordsize="684,312" path="m3021,10832l3108,10832,3108,10775,3108,10772,3116,10768,3124,10758,3128,10754,3133,10746,3136,10738,3144,10716,3147,10699,3154,10678,3173,10644,3200,10604,3206,10595,3213,10584,3216,10571,3212,10559,3200,10551,3189,10553,3178,10559,3169,10567,3157,10579,3146,10592,3133,10604,3120,10616,3114,10620,3105,10625,3094,10624,3094,10605,3102,10590,3113,10581,3118,10575,3118,10521,3102,10526,3083,10538,3065,10552,3049,10564,3025,10581,3010,10593,3003,10607,3002,10630,3002,10659,3002,10703,3002,10746,3003,10771,3021,10832xm3667,10832l3580,10832,3580,10775,3579,10772,3571,10768,3563,10758,3559,10754,3554,10746,3551,10738,3543,10716,3540,10699,3533,10678,3514,10644,3487,10604,3481,10595,3474,10584,3471,10571,3476,10559,3487,10551,3498,10553,3509,10559,3518,10567,3530,10579,3541,10592,3554,10604,3567,10616,3573,10620,3582,10625,3593,10624,3593,10605,3585,10590,3574,10581,3569,10575,3569,10521,3586,10526,3604,10538,3622,10552,3638,10564,3662,10581,3677,10593,3684,10607,3685,10630,3685,10659,3685,10703,3685,10746,3684,10771,3667,10832xe" filled="false" stroked="true" strokeweight=".966pt" strokecolor="#d19f2a">
              <v:path arrowok="t"/>
            </v:shape>
            <v:shape style="position:absolute;left:3002;top:10521;width:215;height:312" coordorigin="3002,10521" coordsize="215,312" path="m3118,10521l3102,10526,3083,10538,3049,10564,3025,10581,3010,10593,3003,10607,3002,10630,3002,10746,3003,10771,3021,10832,3108,10832,3108,10775,3108,10772,3116,10768,3128,10754,3133,10746,3136,10738,3144,10716,3147,10699,3154,10678,3173,10644,3186,10625,3105,10625,3094,10624,3094,10616,3094,10604,3102,10590,3113,10581,3118,10575,3118,10521xm3200,10551l3189,10553,3178,10559,3169,10567,3157,10579,3146,10592,3133,10604,3120,10616,3114,10620,3105,10625,3186,10625,3200,10604,3206,10595,3213,10584,3216,10571,3212,10559,3200,10551xe" filled="true" fillcolor="#ffffff" stroked="false">
              <v:path arrowok="t"/>
              <v:fill type="solid"/>
            </v:shape>
            <v:shape style="position:absolute;left:3471;top:10521;width:215;height:312" coordorigin="3471,10521" coordsize="215,312" path="m3487,10551l3476,10559,3471,10571,3474,10584,3481,10595,3487,10605,3514,10644,3533,10678,3540,10699,3543,10716,3551,10738,3554,10746,3559,10754,3571,10768,3579,10772,3580,10775,3580,10832,3667,10832,3684,10771,3685,10746,3685,10630,3685,10625,3582,10625,3573,10620,3567,10616,3554,10604,3542,10592,3530,10579,3518,10567,3509,10559,3498,10553,3487,10551xm3569,10521l3569,10575,3574,10581,3585,10590,3593,10604,3593,10616,3593,10624,3582,10625,3685,10625,3684,10607,3677,10593,3662,10581,3638,10564,3604,10538,3586,10526,3569,10521xe" filled="true" fillcolor="#ffffff" stroked="false">
              <v:path arrowok="t"/>
              <v:fill type="solid"/>
            </v:shape>
            <v:shape style="position:absolute;left:2938;top:5459;width:822;height:822" type="#_x0000_t75" stroked="false">
              <v:imagedata r:id="rId33" o:title=""/>
            </v:shape>
            <v:shape style="position:absolute;left:3085;top:5509;width:310;height:287" type="#_x0000_t75" stroked="false">
              <v:imagedata r:id="rId34" o:title=""/>
            </v:shape>
            <v:shape style="position:absolute;left:2932;top:2513;width:822;height:822" coordorigin="2932,2513" coordsize="822,822" path="m3343,2513l3269,2520,3200,2539,3136,2569,3078,2610,3029,2659,2988,2717,2958,2781,2939,2850,2932,2924,2939,2998,2958,3067,2988,3131,3029,3189,3078,3238,3136,3279,3200,3309,3269,3328,3343,3335,3417,3328,3486,3309,3550,3279,3608,3238,3657,3189,3698,3131,3728,3067,3747,2998,3754,2924,3747,2850,3728,2781,3698,2717,3657,2659,3608,2610,3550,2569,3486,2539,3417,2520,3343,2513xe" filled="true" fillcolor="#d19f2a" stroked="false">
              <v:path arrowok="t"/>
              <v:fill type="solid"/>
            </v:shape>
            <v:shape style="position:absolute;left:3044;top:2624;width:599;height:556" coordorigin="3044,2624" coordsize="599,556" path="m3463,2624l3445,2626,3427,2630,3411,2635,3397,2641,3385,2647,3374,2655,3364,2663,3354,2671,3349,2677,3341,2685,3336,2690,3330,2699,3317,2721,3308,2744,3302,2769,3300,2797,3302,2820,3305,2829,3302,2835,3290,2848,3049,3089,3045,3090,3044,3097,3044,3140,3061,3155,3069,3163,3084,3180,3171,3180,3179,3173,3194,3159,3209,3144,3215,3136,3087,3136,3087,3095,3086,3095,3087,3091,3090,3091,3183,2999,3243,2939,3281,2901,3300,2882,3619,2882,3627,2866,3634,2848,3639,2828,3642,2808,3642,2794,3522,2794,3497,2791,3487,2785,3479,2777,3473,2765,3471,2753,3481,2725,3504,2711,3621,2711,3610,2694,3596,2677,3581,2663,3564,2651,3545,2640,3525,2632,3506,2627,3486,2625,3463,2624xm3301,2923l3116,3107,3102,3122,3093,3130,3087,3136,3215,3136,3215,3094,3258,3094,3258,3052,3300,3052,3300,3009,3384,3009,3393,3002,3409,2987,3425,2971,3433,2962,3505,2962,3520,2960,3559,2943,3580,2926,3301,2926,3301,2923xm3087,3095l3086,3095,3087,3095,3087,3095xm3090,3091l3087,3091,3087,3095,3090,3091xm3505,2962l3433,2962,3444,2964,3452,2965,3462,2966,3479,2966,3505,2962xm3585,2922l3301,2922,3301,2926,3580,2926,3585,2922xm3619,2882l3300,2882,3301,2923,3301,2922,3585,2922,3592,2917,3618,2884,3619,2882xm3621,2711l3504,2711,3532,2714,3553,2735,3556,2761,3544,2782,3522,2794,3642,2794,3642,2780,3639,2757,3632,2735,3623,2714,3621,2711xe" filled="true" fillcolor="#ffffff" stroked="false">
              <v:path arrowok="t"/>
              <v:fill type="solid"/>
            </v:shape>
            <w10:wrap type="none"/>
          </v:group>
        </w:pict>
      </w:r>
      <w:r>
        <w:rPr>
          <w:color w:val="FFFFFF"/>
          <w:shd w:fill="D19F2A" w:color="auto" w:val="clear"/>
        </w:rPr>
        <w:t> </w:t>
        <w:tab/>
        <w:t>18</w:t>
        <w:tab/>
      </w:r>
    </w:p>
    <w:p>
      <w:pPr>
        <w:spacing w:before="74"/>
        <w:ind w:left="858" w:right="262" w:hanging="743"/>
        <w:jc w:val="left"/>
        <w:rPr>
          <w:rFonts w:ascii="Myriad Pro" w:hAnsi="Myriad Pro"/>
          <w:sz w:val="16"/>
        </w:rPr>
      </w:pPr>
      <w:r>
        <w:rPr/>
        <w:br w:type="column"/>
      </w: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034" w:right="1263"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32.7pt;mso-position-horizontal-relative:page;mso-position-vertical-relative:paragraph;z-index:3352;mso-wrap-distance-left:0;mso-wrap-distance-right:0" type="#_x0000_t202" filled="true" fillcolor="#231f20" stroked="false">
            <v:textbox inset="0,0,0,0">
              <w:txbxContent>
                <w:p>
                  <w:pPr>
                    <w:spacing w:before="32"/>
                    <w:ind w:left="1135" w:right="1135" w:firstLine="0"/>
                    <w:jc w:val="center"/>
                    <w:rPr>
                      <w:rFonts w:ascii="Myriad Pro" w:hAnsi="Myriad Pro"/>
                      <w:b/>
                      <w:sz w:val="22"/>
                    </w:rPr>
                  </w:pPr>
                  <w:r>
                    <w:rPr>
                      <w:rFonts w:ascii="Myriad Pro" w:hAnsi="Myriad Pro"/>
                      <w:b/>
                      <w:color w:val="FFFFFF"/>
                      <w:sz w:val="22"/>
                    </w:rPr>
                    <w:t>Activité d’apprentissage 2.C.1 :</w:t>
                  </w:r>
                </w:p>
                <w:p>
                  <w:pPr>
                    <w:spacing w:before="18"/>
                    <w:ind w:left="1135" w:right="1135" w:firstLine="0"/>
                    <w:jc w:val="center"/>
                    <w:rPr>
                      <w:rFonts w:ascii="Myriad Pro" w:hAnsi="Myriad Pro"/>
                      <w:b/>
                      <w:i/>
                      <w:sz w:val="22"/>
                    </w:rPr>
                  </w:pPr>
                  <w:r>
                    <w:rPr>
                      <w:rFonts w:ascii="Myriad Pro" w:hAnsi="Myriad Pro"/>
                      <w:b/>
                      <w:i/>
                      <w:color w:val="FFFFFF"/>
                      <w:sz w:val="22"/>
                    </w:rPr>
                    <w:t>Difficultés liées à l’application réussie de la CDPH</w:t>
                  </w:r>
                </w:p>
              </w:txbxContent>
            </v:textbox>
            <v:fill type="solid"/>
            <w10:wrap type="topAndBottom"/>
          </v:shape>
        </w:pict>
      </w:r>
    </w:p>
    <w:p>
      <w:pPr>
        <w:pStyle w:val="BodyText"/>
        <w:spacing w:before="4"/>
        <w:rPr>
          <w:rFonts w:ascii="Myriad Pro"/>
          <w:sz w:val="9"/>
        </w:rPr>
      </w:pPr>
    </w:p>
    <w:p>
      <w:pPr>
        <w:spacing w:before="59"/>
        <w:ind w:left="113" w:right="1263" w:firstLine="0"/>
        <w:jc w:val="left"/>
        <w:rPr>
          <w:rFonts w:ascii="Myriad Pro" w:hAnsi="Myriad Pro"/>
          <w:b/>
          <w:i/>
          <w:sz w:val="22"/>
        </w:rPr>
      </w:pPr>
      <w:r>
        <w:rPr>
          <w:rFonts w:ascii="Myriad Pro" w:hAnsi="Myriad Pro"/>
          <w:b/>
          <w:i/>
          <w:color w:val="231F20"/>
          <w:sz w:val="22"/>
        </w:rPr>
        <w:t>Objectif : Identifier des éléments essentiels à l’application réussie de la CDPH.</w:t>
      </w:r>
    </w:p>
    <w:p>
      <w:pPr>
        <w:spacing w:before="131"/>
        <w:ind w:left="113" w:right="1263" w:firstLine="0"/>
        <w:jc w:val="left"/>
        <w:rPr>
          <w:rFonts w:ascii="Myriad Pro"/>
          <w:b/>
          <w:sz w:val="22"/>
        </w:rPr>
      </w:pPr>
      <w:r>
        <w:rPr>
          <w:rFonts w:ascii="Myriad Pro"/>
          <w:b/>
          <w:color w:val="231F20"/>
          <w:sz w:val="22"/>
        </w:rPr>
        <w:t>Partie 1</w:t>
      </w:r>
    </w:p>
    <w:p>
      <w:pPr>
        <w:pStyle w:val="BodyText"/>
        <w:spacing w:line="266" w:lineRule="auto" w:before="142"/>
        <w:ind w:left="113" w:right="1263"/>
        <w:rPr>
          <w:b w:val="0"/>
        </w:rPr>
      </w:pPr>
      <w:r>
        <w:rPr>
          <w:b w:val="0"/>
          <w:color w:val="231F20"/>
        </w:rPr>
        <w:t>Dans votre groupe, regardez les 4 R qui suivent et identifiez, pour chaque intitulé, les éléments essentiels pour l’application réussie de la CDPH.</w:t>
      </w:r>
    </w:p>
    <w:p>
      <w:pPr>
        <w:spacing w:before="19"/>
        <w:ind w:left="453" w:right="1263" w:firstLine="0"/>
        <w:jc w:val="left"/>
        <w:rPr>
          <w:b w:val="0"/>
          <w:sz w:val="22"/>
        </w:rPr>
      </w:pPr>
      <w:r>
        <w:rPr>
          <w:rFonts w:ascii="Arial" w:hAnsi="Arial"/>
          <w:color w:val="D19F2A"/>
          <w:sz w:val="26"/>
        </w:rPr>
        <w:t>► </w:t>
      </w:r>
      <w:r>
        <w:rPr>
          <w:rFonts w:ascii="Myriad Pro" w:hAnsi="Myriad Pro"/>
          <w:b/>
          <w:color w:val="231F20"/>
          <w:sz w:val="22"/>
        </w:rPr>
        <w:t>R</w:t>
      </w:r>
      <w:r>
        <w:rPr>
          <w:b w:val="0"/>
          <w:color w:val="231F20"/>
          <w:sz w:val="22"/>
        </w:rPr>
        <w:t>essources</w:t>
      </w:r>
    </w:p>
    <w:p>
      <w:pPr>
        <w:pStyle w:val="BodyText"/>
        <w:spacing w:before="47"/>
        <w:ind w:left="453" w:right="1263"/>
        <w:rPr>
          <w:b w:val="0"/>
        </w:rPr>
      </w:pPr>
      <w:r>
        <w:rPr>
          <w:rFonts w:ascii="Arial" w:hAnsi="Arial"/>
          <w:color w:val="D19F2A"/>
          <w:sz w:val="26"/>
        </w:rPr>
        <w:t>► </w:t>
      </w:r>
      <w:r>
        <w:rPr>
          <w:rFonts w:ascii="Myriad Pro" w:hAnsi="Myriad Pro"/>
          <w:b/>
          <w:color w:val="231F20"/>
        </w:rPr>
        <w:t>R</w:t>
      </w:r>
      <w:r>
        <w:rPr>
          <w:b w:val="0"/>
          <w:color w:val="231F20"/>
        </w:rPr>
        <w:t>esponsabilités</w:t>
      </w:r>
    </w:p>
    <w:p>
      <w:pPr>
        <w:pStyle w:val="BodyText"/>
        <w:spacing w:before="47"/>
        <w:ind w:left="453" w:right="1263"/>
        <w:rPr>
          <w:b w:val="0"/>
        </w:rPr>
      </w:pPr>
      <w:r>
        <w:rPr>
          <w:rFonts w:ascii="Arial" w:hAnsi="Arial"/>
          <w:color w:val="D19F2A"/>
          <w:sz w:val="26"/>
        </w:rPr>
        <w:t>► </w:t>
      </w:r>
      <w:r>
        <w:rPr>
          <w:rFonts w:ascii="Myriad Pro" w:hAnsi="Myriad Pro"/>
          <w:b/>
          <w:color w:val="231F20"/>
        </w:rPr>
        <w:t>R</w:t>
      </w:r>
      <w:r>
        <w:rPr>
          <w:b w:val="0"/>
          <w:color w:val="231F20"/>
        </w:rPr>
        <w:t>elations hiérarchiques</w:t>
      </w:r>
    </w:p>
    <w:p>
      <w:pPr>
        <w:spacing w:before="47"/>
        <w:ind w:left="453" w:right="1263" w:firstLine="0"/>
        <w:jc w:val="left"/>
        <w:rPr>
          <w:b w:val="0"/>
          <w:sz w:val="22"/>
        </w:rPr>
      </w:pPr>
      <w:r>
        <w:rPr>
          <w:rFonts w:ascii="Arial" w:hAnsi="Arial"/>
          <w:color w:val="D19F2A"/>
          <w:sz w:val="26"/>
        </w:rPr>
        <w:t>► </w:t>
      </w:r>
      <w:r>
        <w:rPr>
          <w:rFonts w:ascii="Myriad Pro" w:hAnsi="Myriad Pro"/>
          <w:b/>
          <w:color w:val="231F20"/>
          <w:sz w:val="22"/>
        </w:rPr>
        <w:t>R</w:t>
      </w:r>
      <w:r>
        <w:rPr>
          <w:b w:val="0"/>
          <w:color w:val="231F20"/>
          <w:sz w:val="22"/>
        </w:rPr>
        <w:t>ésultats</w:t>
      </w:r>
    </w:p>
    <w:p>
      <w:pPr>
        <w:pStyle w:val="BodyText"/>
        <w:spacing w:line="266" w:lineRule="auto" w:before="142"/>
        <w:ind w:left="113" w:right="1288"/>
        <w:rPr>
          <w:b w:val="0"/>
        </w:rPr>
      </w:pPr>
      <w:r>
        <w:rPr>
          <w:b w:val="0"/>
          <w:color w:val="231F20"/>
        </w:rPr>
        <w:t>Utilisez les expériences de votre pays et partagez des exemples des problèmes potentiels et réels liés à l’absence de l’un des éléments. Vous pouvez vous appuyer sur les informations de politiques publiques (pas uniquement liées à l’application de la CDPH) pour créer une liste que vous retranscrirez nettement sur un tableau blanc ou un tableau à feuilles mobiles.</w:t>
      </w:r>
    </w:p>
    <w:p>
      <w:pPr>
        <w:pStyle w:val="Heading5"/>
      </w:pPr>
      <w:r>
        <w:rPr>
          <w:color w:val="231F20"/>
        </w:rPr>
        <w:t>Partie 2</w:t>
      </w:r>
    </w:p>
    <w:p>
      <w:pPr>
        <w:pStyle w:val="BodyText"/>
        <w:spacing w:line="266" w:lineRule="auto" w:before="142"/>
        <w:ind w:left="113" w:right="1263"/>
        <w:rPr>
          <w:b w:val="0"/>
        </w:rPr>
      </w:pPr>
      <w:r>
        <w:rPr>
          <w:b w:val="0"/>
          <w:color w:val="231F20"/>
        </w:rPr>
        <w:t>Votre liste synthétique sera remise à un autre groupe, qui vous remettra la sienne. L’activité suivante consiste à parcourir la liste, à discuter de ce que vous pensez être les éléments les plus essentiels et à explorer ce qui existe déjà dans votre pays.</w:t>
      </w:r>
    </w:p>
    <w:p>
      <w:pPr>
        <w:pStyle w:val="Heading5"/>
      </w:pPr>
      <w:r>
        <w:rPr>
          <w:color w:val="231F20"/>
        </w:rPr>
        <w:t>Partie 3 – Solutions</w:t>
      </w:r>
    </w:p>
    <w:p>
      <w:pPr>
        <w:pStyle w:val="BodyText"/>
        <w:spacing w:line="266" w:lineRule="auto" w:before="142"/>
        <w:ind w:left="113" w:right="1725"/>
        <w:rPr>
          <w:b w:val="0"/>
        </w:rPr>
      </w:pPr>
      <w:r>
        <w:rPr>
          <w:b w:val="0"/>
          <w:color w:val="231F20"/>
        </w:rPr>
        <w:t>Réunissez-vous avec le groupe qui vous a transmis sa liste et, ensemble, choisissez une ou deux idées qui ressortent de leur liste et de la vôtre, et discutez des pratiques</w:t>
      </w:r>
    </w:p>
    <w:p>
      <w:pPr>
        <w:pStyle w:val="BodyText"/>
        <w:spacing w:line="266" w:lineRule="auto"/>
        <w:ind w:left="113" w:right="1218"/>
        <w:rPr>
          <w:b w:val="0"/>
        </w:rPr>
      </w:pPr>
      <w:r>
        <w:rPr>
          <w:b w:val="0"/>
          <w:color w:val="231F20"/>
        </w:rPr>
        <w:t>prometteuses dont vous avez déjà connaissance et qui pourraient résoudre les problèmes auxquels les pays peuvent être confrontés lors de l’application complète de la CDPH. Préparez-vous à partager vos idées en classe entière.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sz w:val="32"/>
        </w:rPr>
      </w:pPr>
    </w:p>
    <w:p>
      <w:pPr>
        <w:pStyle w:val="BodyText"/>
        <w:spacing w:line="266" w:lineRule="auto" w:before="1"/>
        <w:ind w:left="113" w:right="1499"/>
        <w:rPr>
          <w:b w:val="0"/>
        </w:rPr>
      </w:pPr>
      <w:r>
        <w:rPr>
          <w:b w:val="0"/>
          <w:color w:val="231F20"/>
        </w:rPr>
        <w:t>Vous avez 20 minutes pour terminer la partie 1, 10 minutes supplémentaires pour la partie 2 et 30 minutes pour arriver à la fin de la partie 3. Préparez-vous à rendre compte de vos idées</w:t>
      </w:r>
    </w:p>
    <w:p>
      <w:pPr>
        <w:pStyle w:val="BodyText"/>
        <w:rPr>
          <w:b w:val="0"/>
          <w:sz w:val="20"/>
        </w:rPr>
      </w:pPr>
    </w:p>
    <w:p>
      <w:pPr>
        <w:pStyle w:val="BodyText"/>
        <w:spacing w:before="6"/>
        <w:rPr>
          <w:b w:val="0"/>
          <w:sz w:val="29"/>
        </w:rPr>
      </w:pPr>
    </w:p>
    <w:p>
      <w:pPr>
        <w:spacing w:after="0"/>
        <w:rPr>
          <w:sz w:val="29"/>
        </w:rPr>
        <w:sectPr>
          <w:pgSz w:w="11910" w:h="16840"/>
          <w:pgMar w:top="360" w:bottom="0" w:left="1020" w:right="1640"/>
        </w:sectPr>
      </w:pPr>
    </w:p>
    <w:p>
      <w:pPr>
        <w:spacing w:line="192" w:lineRule="exact" w:before="74"/>
        <w:ind w:left="0" w:right="0" w:firstLine="0"/>
        <w:jc w:val="right"/>
        <w:rPr>
          <w:rFonts w:ascii="Myriad Pro" w:hAnsi="Myriad Pro"/>
          <w:sz w:val="16"/>
        </w:rPr>
      </w:pPr>
      <w:r>
        <w:rPr/>
        <w:pict>
          <v:group style="position:absolute;margin-left:0pt;margin-top:0pt;width:595.3pt;height:841.9pt;mso-position-horizontal-relative:page;mso-position-vertical-relative:page;z-index:-50920" coordorigin="0,0" coordsize="11906,16838">
            <v:rect style="position:absolute;left:0;top:0;width:9241;height:16838" filled="true" fillcolor="#f8f0e2" stroked="false">
              <v:fill type="solid"/>
            </v:rect>
            <v:shape style="position:absolute;left:9243;top:0;width:2663;height:16838" type="#_x0000_t75" stroked="false">
              <v:imagedata r:id="rId27" o:title=""/>
            </v:shape>
            <v:rect style="position:absolute;left:11509;top:0;width:397;height:16838" filled="true" fillcolor="#d19f2a" stroked="false">
              <v:fill type="solid"/>
            </v:rect>
            <v:line style="position:absolute" from="1134,15475" to="9014,15475" stroked="true" strokeweight="1pt" strokecolor="#d19f2a"/>
            <v:shape style="position:absolute;left:9317;top:1375;width:827;height:822" coordorigin="9317,1375" coordsize="827,822" path="m9426,1401l9424,1401,9412,1403,9398,1409,9385,1415,9375,1421,9365,1429,9356,1437,9347,1446,9340,1456,9326,1483,9319,1510,9317,1538,9317,2010,9317,2032,9317,2064,9321,2095,9332,2124,9345,2145,9363,2163,9384,2178,9408,2189,9438,2195,9473,2197,9983,2196,9998,2195,10013,2192,10028,2187,10062,2169,10089,2141,10102,2116,9496,2116,9470,2116,9447,2111,9426,2098,9408,2079,9400,2058,9397,2035,9396,2010,9396,1647,9396,1603,9396,1588,9396,1561,9399,1538,9403,1527,9408,1517,9414,1508,9420,1501,9427,1495,9437,1488,9448,1483,9459,1480,9470,1478,9489,1477,9786,1477,9795,1477,9805,1468,9824,1448,9858,1415,9865,1407,9868,1405,9871,1403,9872,1401,9427,1401,9426,1401xm10115,1639l10103,1649,10081,1671,10041,1711,10038,1714,10036,1715,10035,1720,10035,2032,10032,2058,10023,2079,10009,2095,9992,2107,9980,2112,9969,2115,9956,2116,9526,2116,9496,2116,10102,2116,10108,2105,10115,2063,10115,2010,10115,1842,10115,1741,10115,1720,10115,1671,10115,1639xm9552,1950l9550,1953,9550,1954,9546,1968,9552,1967,9555,1966,9556,1965,9549,1965,9549,1959,9552,1954,9552,1950xm9602,1775l9592,1808,9575,1867,9559,1923,9552,1950,9552,1954,9549,1959,9549,1965,9559,1963,9740,1912,9718,1889,9671,1842,9624,1796,9602,1775xm9559,1963l9549,1965,9556,1965,9559,1963xm9928,1450l9921,1457,9909,1468,9890,1488,9622,1753,9633,1766,9655,1788,9691,1823,9727,1860,9749,1881,9761,1892,9787,1867,10053,1603,10063,1595,10066,1588,10045,1565,9999,1519,9952,1473,9928,1450xm10020,1375l10007,1377,9996,1383,9988,1390,9981,1397,9965,1413,9956,1422,9950,1428,10089,1566,10097,1559,10105,1551,10112,1543,10120,1536,10127,1529,10134,1521,10140,1510,10143,1498,10141,1485,10135,1475,10127,1466,10120,1460,10075,1415,10066,1406,10058,1398,10051,1391,10043,1383,10033,1377,10020,1375xm9786,1477l9489,1477,9507,1477,9519,1477,9665,1477,9754,1477,9786,1477xm9428,1400l9428,1400,9428,1400,9427,1401,9872,1401,9872,1401,9436,1401,9428,1400xm9705,1398l9446,1399,9436,1401,9872,1401,9872,1399,9705,1398xe" filled="true" fillcolor="#d19f2a" stroked="false">
              <v:path arrowok="t"/>
              <v:fill type="solid"/>
            </v:shape>
            <v:shape style="position:absolute;left:9356;top:14627;width:739;height:850" coordorigin="9356,14627" coordsize="739,850" path="m9765,14699l9687,14699,9687,14740,9610,14757,9540,14788,9479,14833,9428,14889,9390,14955,9365,15028,9356,15108,9364,15182,9386,15251,9420,15314,9465,15369,9519,15414,9582,15448,9651,15469,9726,15477,9800,15469,9869,15448,9932,15414,9944,15404,9726,15404,9647,15393,9576,15363,9516,15317,9470,15257,9440,15186,9430,15108,9440,15029,9470,14958,9516,14898,9576,14852,9647,14822,9726,14812,10002,14812,10026,14788,9911,14788,9877,14771,9841,14757,9804,14747,9765,14740,9765,14699xm10002,14812l9726,14812,9804,14822,9875,14852,9935,14898,9981,14958,10011,15029,10022,15108,10011,15186,9981,15257,9935,15317,9875,15363,9804,15393,9726,15404,9944,15404,9987,15369,10032,15314,10066,15251,10088,15182,10095,15108,10087,15029,10063,14957,10026,14892,9976,14836,10002,14812xm9733,15040l9727,15040,9697,15046,9672,15062,9655,15087,9649,15117,9655,15147,9672,15172,9697,15188,9727,15194,9757,15188,9782,15172,9798,15147,9804,15117,9804,15106,9802,15096,9798,15087,9828,15042,9746,15042,9740,15040,9733,15040xm9905,14926l9746,15042,9828,15042,9905,14926xm9972,14734l9911,14788,10026,14788,10028,14786,9972,14734xm9810,14627l9637,14627,9637,14699,9810,14699,9810,14627xe" filled="true" fillcolor="#d19f2a" stroked="false">
              <v:path arrowok="t"/>
              <v:fill type="solid"/>
            </v:shape>
            <w10:wrap type="none"/>
          </v:group>
        </w:pict>
      </w:r>
      <w:r>
        <w:rPr>
          <w:rFonts w:ascii="Myriad Pro" w:hAnsi="Myriad Pro"/>
          <w:color w:val="6D6E71"/>
          <w:sz w:val="16"/>
        </w:rPr>
        <w:t>Module 2 - CADRES D’APPLICATION ET DE SUIVI DE LA CONVENTION DES NATIONS UNIES RELATIVE AUX DROITS DES</w:t>
      </w:r>
    </w:p>
    <w:p>
      <w:pPr>
        <w:spacing w:before="0"/>
        <w:ind w:left="0" w:right="0" w:firstLine="0"/>
        <w:jc w:val="right"/>
        <w:rPr>
          <w:rFonts w:ascii="Myriad Pro" w:hAnsi="Myriad Pro"/>
          <w:sz w:val="16"/>
        </w:rPr>
      </w:pPr>
      <w:r>
        <w:rPr>
          <w:rFonts w:ascii="Myriad Pro" w:hAnsi="Myriad Pro"/>
          <w:color w:val="6D6E71"/>
          <w:sz w:val="16"/>
        </w:rPr>
        <w:t>PERSONNES HANDICAPÉES</w:t>
      </w:r>
    </w:p>
    <w:p>
      <w:pPr>
        <w:pStyle w:val="Heading4"/>
        <w:tabs>
          <w:tab w:pos="1093" w:val="left" w:leader="none"/>
        </w:tabs>
        <w:ind w:left="186"/>
      </w:pPr>
      <w:r>
        <w:rPr/>
        <w:br w:type="column"/>
      </w:r>
      <w:r>
        <w:rPr>
          <w:color w:val="FFFFFF"/>
          <w:spacing w:val="21"/>
          <w:shd w:fill="D19F2A" w:color="auto" w:val="clear"/>
        </w:rPr>
        <w:t> </w:t>
      </w:r>
      <w:r>
        <w:rPr>
          <w:color w:val="FFFFFF"/>
          <w:shd w:fill="D19F2A" w:color="auto" w:val="clear"/>
        </w:rPr>
        <w:t>19</w:t>
        <w:tab/>
      </w:r>
    </w:p>
    <w:p>
      <w:pPr>
        <w:spacing w:after="0"/>
        <w:sectPr>
          <w:type w:val="continuous"/>
          <w:pgSz w:w="11910" w:h="16840"/>
          <w:pgMar w:top="1600" w:bottom="280" w:left="1020" w:right="1640"/>
          <w:cols w:num="2" w:equalWidth="0">
            <w:col w:w="7995" w:space="40"/>
            <w:col w:w="1215"/>
          </w:cols>
        </w:sectPr>
      </w:pPr>
    </w:p>
    <w:p>
      <w:pPr>
        <w:spacing w:before="57"/>
        <w:ind w:left="1252" w:right="1263"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tabs>
          <w:tab w:pos="654" w:val="left" w:leader="none"/>
        </w:tabs>
        <w:spacing w:before="58"/>
        <w:ind w:left="437" w:right="0" w:firstLine="0"/>
        <w:jc w:val="left"/>
        <w:rPr>
          <w:rFonts w:ascii="Myriad Pro"/>
          <w:b/>
          <w:sz w:val="22"/>
        </w:rPr>
      </w:pPr>
      <w:r>
        <w:rPr/>
        <w:pict>
          <v:shape style="position:absolute;margin-left:144.567001pt;margin-top:1.277012pt;width:394.05pt;height:18.2pt;mso-position-horizontal-relative:page;mso-position-vertical-relative:paragraph;z-index:3424" type="#_x0000_t202" filled="true" fillcolor="#d19f2a" stroked="false">
            <v:textbox inset="0,0,0,0">
              <w:txbxContent>
                <w:p>
                  <w:pPr>
                    <w:spacing w:before="32"/>
                    <w:ind w:left="873" w:right="302" w:firstLine="0"/>
                    <w:jc w:val="left"/>
                    <w:rPr>
                      <w:rFonts w:ascii="Myriad Pro" w:hAnsi="Myriad Pro"/>
                      <w:b/>
                      <w:sz w:val="22"/>
                    </w:rPr>
                  </w:pPr>
                  <w:bookmarkStart w:name="_TOC_250001" w:id="9"/>
                  <w:bookmarkEnd w:id="9"/>
                  <w:r>
                    <w:rPr>
                      <w:rFonts w:ascii="Myriad Pro" w:hAnsi="Myriad Pro"/>
                      <w:b/>
                      <w:color w:val="FFFFFF"/>
                      <w:sz w:val="22"/>
                    </w:rPr>
                    <w:t>Support : Problèmes associés à l’application réussie de la CPDH</w:t>
                  </w:r>
                </w:p>
              </w:txbxContent>
            </v:textbox>
            <v:fill type="solid"/>
            <w10:wrap type="none"/>
          </v:shape>
        </w:pict>
      </w:r>
      <w:r>
        <w:rPr>
          <w:rFonts w:ascii="Myriad Pro"/>
          <w:b/>
          <w:color w:val="FFFFFF"/>
          <w:sz w:val="22"/>
          <w:u w:val="thick" w:color="FFFFFF"/>
        </w:rPr>
        <w:t> </w:t>
        <w:tab/>
      </w:r>
    </w:p>
    <w:p>
      <w:pPr>
        <w:pStyle w:val="BodyText"/>
        <w:spacing w:before="2"/>
        <w:rPr>
          <w:rFonts w:ascii="Myriad Pro"/>
          <w:b/>
          <w:sz w:val="15"/>
        </w:rPr>
      </w:pPr>
    </w:p>
    <w:p>
      <w:pPr>
        <w:pStyle w:val="BodyText"/>
        <w:spacing w:line="266" w:lineRule="auto" w:before="68"/>
        <w:ind w:left="1251" w:right="328"/>
        <w:rPr>
          <w:b w:val="0"/>
        </w:rPr>
      </w:pPr>
      <w:r>
        <w:rPr>
          <w:b w:val="0"/>
          <w:color w:val="231F20"/>
        </w:rPr>
        <w:t>Des problèmes courants sont associés à l’application des politiques publiques. Souvent, on peut les résumer sous forme de « 4R » :</w:t>
      </w:r>
    </w:p>
    <w:p>
      <w:pPr>
        <w:spacing w:before="19"/>
        <w:ind w:left="1591" w:right="1263" w:firstLine="0"/>
        <w:jc w:val="left"/>
        <w:rPr>
          <w:b w:val="0"/>
          <w:sz w:val="22"/>
        </w:rPr>
      </w:pPr>
      <w:r>
        <w:rPr>
          <w:rFonts w:ascii="Arial" w:hAnsi="Arial"/>
          <w:color w:val="D19F2A"/>
          <w:sz w:val="26"/>
        </w:rPr>
        <w:t>► </w:t>
      </w:r>
      <w:r>
        <w:rPr>
          <w:rFonts w:ascii="Myriad Pro" w:hAnsi="Myriad Pro"/>
          <w:b/>
          <w:color w:val="231F20"/>
          <w:sz w:val="22"/>
        </w:rPr>
        <w:t>R</w:t>
      </w:r>
      <w:r>
        <w:rPr>
          <w:b w:val="0"/>
          <w:color w:val="231F20"/>
          <w:sz w:val="22"/>
        </w:rPr>
        <w:t>essources</w:t>
      </w:r>
    </w:p>
    <w:p>
      <w:pPr>
        <w:pStyle w:val="BodyText"/>
        <w:spacing w:before="47"/>
        <w:ind w:left="1591" w:right="1263"/>
        <w:rPr>
          <w:b w:val="0"/>
        </w:rPr>
      </w:pPr>
      <w:r>
        <w:rPr>
          <w:rFonts w:ascii="Arial" w:hAnsi="Arial"/>
          <w:color w:val="D19F2A"/>
          <w:sz w:val="26"/>
        </w:rPr>
        <w:t>► </w:t>
      </w:r>
      <w:r>
        <w:rPr>
          <w:rFonts w:ascii="Myriad Pro" w:hAnsi="Myriad Pro"/>
          <w:b/>
          <w:color w:val="231F20"/>
        </w:rPr>
        <w:t>R</w:t>
      </w:r>
      <w:r>
        <w:rPr>
          <w:b w:val="0"/>
          <w:color w:val="231F20"/>
        </w:rPr>
        <w:t>esponsabilités</w:t>
      </w:r>
    </w:p>
    <w:p>
      <w:pPr>
        <w:pStyle w:val="BodyText"/>
        <w:spacing w:before="47"/>
        <w:ind w:left="1591" w:right="1263"/>
        <w:rPr>
          <w:b w:val="0"/>
        </w:rPr>
      </w:pPr>
      <w:r>
        <w:rPr>
          <w:rFonts w:ascii="Arial" w:hAnsi="Arial"/>
          <w:color w:val="D19F2A"/>
          <w:sz w:val="26"/>
        </w:rPr>
        <w:t>► </w:t>
      </w:r>
      <w:r>
        <w:rPr>
          <w:rFonts w:ascii="Myriad Pro" w:hAnsi="Myriad Pro"/>
          <w:b/>
          <w:color w:val="231F20"/>
        </w:rPr>
        <w:t>R</w:t>
      </w:r>
      <w:r>
        <w:rPr>
          <w:b w:val="0"/>
          <w:color w:val="231F20"/>
        </w:rPr>
        <w:t>elations hiérarchiques</w:t>
      </w:r>
    </w:p>
    <w:p>
      <w:pPr>
        <w:spacing w:before="47"/>
        <w:ind w:left="1591" w:right="1263" w:firstLine="0"/>
        <w:jc w:val="left"/>
        <w:rPr>
          <w:b w:val="0"/>
          <w:sz w:val="22"/>
        </w:rPr>
      </w:pPr>
      <w:r>
        <w:rPr>
          <w:rFonts w:ascii="Arial" w:hAnsi="Arial"/>
          <w:color w:val="D19F2A"/>
          <w:sz w:val="26"/>
        </w:rPr>
        <w:t>► </w:t>
      </w:r>
      <w:r>
        <w:rPr>
          <w:rFonts w:ascii="Myriad Pro" w:hAnsi="Myriad Pro"/>
          <w:b/>
          <w:color w:val="231F20"/>
          <w:sz w:val="22"/>
        </w:rPr>
        <w:t>R</w:t>
      </w:r>
      <w:r>
        <w:rPr>
          <w:b w:val="0"/>
          <w:color w:val="231F20"/>
          <w:sz w:val="22"/>
        </w:rPr>
        <w:t>ésultats</w:t>
      </w:r>
    </w:p>
    <w:p>
      <w:pPr>
        <w:pStyle w:val="BodyText"/>
        <w:spacing w:before="142"/>
        <w:ind w:left="1251"/>
        <w:rPr>
          <w:b w:val="0"/>
        </w:rPr>
      </w:pPr>
      <w:r>
        <w:rPr>
          <w:b w:val="0"/>
          <w:color w:val="231F20"/>
        </w:rPr>
        <w:t>Plus précisément, l’expérience nous montre que l’on trouve parmi les problèmes clés :</w:t>
      </w:r>
    </w:p>
    <w:p>
      <w:pPr>
        <w:pStyle w:val="BodyText"/>
        <w:spacing w:before="47"/>
        <w:ind w:left="1591"/>
        <w:rPr>
          <w:b w:val="0"/>
        </w:rPr>
      </w:pPr>
      <w:r>
        <w:rPr>
          <w:rFonts w:ascii="Arial" w:hAnsi="Arial"/>
          <w:color w:val="D19F2A"/>
          <w:sz w:val="26"/>
        </w:rPr>
        <w:t>► </w:t>
      </w:r>
      <w:r>
        <w:rPr>
          <w:b w:val="0"/>
          <w:color w:val="231F20"/>
        </w:rPr>
        <w:t>Une définition insuffisante des principales tâches et activités d’application</w:t>
      </w:r>
    </w:p>
    <w:p>
      <w:pPr>
        <w:pStyle w:val="BodyText"/>
        <w:spacing w:line="264" w:lineRule="auto" w:before="47"/>
        <w:ind w:left="1931" w:right="146" w:hanging="341"/>
        <w:rPr>
          <w:b w:val="0"/>
        </w:rPr>
      </w:pPr>
      <w:r>
        <w:rPr>
          <w:rFonts w:ascii="Arial" w:hAnsi="Arial"/>
          <w:color w:val="D19F2A"/>
          <w:sz w:val="26"/>
        </w:rPr>
        <w:t>► </w:t>
      </w:r>
      <w:r>
        <w:rPr>
          <w:b w:val="0"/>
          <w:color w:val="231F20"/>
        </w:rPr>
        <w:t>Le manque de connaissances et de capacités de la part des personnes impliquées dans l’application</w:t>
      </w:r>
    </w:p>
    <w:p>
      <w:pPr>
        <w:pStyle w:val="BodyText"/>
        <w:spacing w:before="21"/>
        <w:ind w:left="1591" w:right="1263"/>
        <w:rPr>
          <w:b w:val="0"/>
        </w:rPr>
      </w:pPr>
      <w:r>
        <w:rPr>
          <w:rFonts w:ascii="Arial" w:hAnsi="Arial"/>
          <w:color w:val="D19F2A"/>
          <w:sz w:val="26"/>
        </w:rPr>
        <w:t>► </w:t>
      </w:r>
      <w:r>
        <w:rPr>
          <w:b w:val="0"/>
          <w:color w:val="231F20"/>
        </w:rPr>
        <w:t>Une formation et une instruction inadéquates offertes aux employés</w:t>
      </w:r>
    </w:p>
    <w:p>
      <w:pPr>
        <w:pStyle w:val="BodyText"/>
        <w:spacing w:before="47"/>
        <w:ind w:left="1591"/>
        <w:rPr>
          <w:b w:val="0"/>
        </w:rPr>
      </w:pPr>
      <w:r>
        <w:rPr>
          <w:rFonts w:ascii="Arial" w:hAnsi="Arial"/>
          <w:color w:val="D19F2A"/>
          <w:sz w:val="26"/>
        </w:rPr>
        <w:t>► </w:t>
      </w:r>
      <w:r>
        <w:rPr>
          <w:b w:val="0"/>
          <w:color w:val="231F20"/>
        </w:rPr>
        <w:t>Des ressources humaines insuffisantes consacrées à l’application de la Convention</w:t>
      </w:r>
    </w:p>
    <w:p>
      <w:pPr>
        <w:pStyle w:val="BodyText"/>
        <w:spacing w:line="264" w:lineRule="auto" w:before="47"/>
        <w:ind w:left="1931" w:right="1131" w:hanging="341"/>
        <w:rPr>
          <w:b w:val="0"/>
        </w:rPr>
      </w:pPr>
      <w:r>
        <w:rPr>
          <w:rFonts w:ascii="Arial" w:hAnsi="Arial"/>
          <w:color w:val="D19F2A"/>
          <w:sz w:val="26"/>
        </w:rPr>
        <w:t>► </w:t>
      </w:r>
      <w:r>
        <w:rPr>
          <w:b w:val="0"/>
          <w:color w:val="231F20"/>
        </w:rPr>
        <w:t>Des ressources financières insuffisantes consacrées à l’application de la Convention</w:t>
      </w:r>
    </w:p>
    <w:p>
      <w:pPr>
        <w:pStyle w:val="BodyText"/>
        <w:spacing w:line="264" w:lineRule="auto" w:before="21"/>
        <w:ind w:left="1931" w:right="287" w:hanging="341"/>
        <w:rPr>
          <w:b w:val="0"/>
        </w:rPr>
      </w:pPr>
      <w:r>
        <w:rPr>
          <w:rFonts w:ascii="Arial" w:hAnsi="Arial"/>
          <w:color w:val="D19F2A"/>
          <w:sz w:val="26"/>
        </w:rPr>
        <w:t>► </w:t>
      </w:r>
      <w:r>
        <w:rPr>
          <w:b w:val="0"/>
          <w:color w:val="231F20"/>
        </w:rPr>
        <w:t>Une coordination insuffisante des activités d’application entre les ministères clés et les autres parties prenantes</w:t>
      </w:r>
    </w:p>
    <w:p>
      <w:pPr>
        <w:pStyle w:val="BodyText"/>
        <w:spacing w:line="264" w:lineRule="auto" w:before="21"/>
        <w:ind w:left="1931" w:right="255" w:hanging="341"/>
        <w:rPr>
          <w:b w:val="0"/>
        </w:rPr>
      </w:pPr>
      <w:r>
        <w:rPr>
          <w:rFonts w:ascii="Arial" w:hAnsi="Arial"/>
          <w:color w:val="D19F2A"/>
          <w:sz w:val="26"/>
        </w:rPr>
        <w:t>► </w:t>
      </w:r>
      <w:r>
        <w:rPr>
          <w:b w:val="0"/>
          <w:color w:val="231F20"/>
        </w:rPr>
        <w:t>Des activités et des crises multiples qui détournent l’attention de l’application de la CDPH</w:t>
      </w:r>
    </w:p>
    <w:p>
      <w:pPr>
        <w:pStyle w:val="BodyText"/>
        <w:spacing w:before="21"/>
        <w:ind w:left="1591"/>
        <w:rPr>
          <w:b w:val="0"/>
        </w:rPr>
      </w:pPr>
      <w:r>
        <w:rPr>
          <w:rFonts w:ascii="Arial" w:hAnsi="Arial"/>
          <w:color w:val="D19F2A"/>
          <w:sz w:val="26"/>
        </w:rPr>
        <w:t>► </w:t>
      </w:r>
      <w:r>
        <w:rPr>
          <w:b w:val="0"/>
          <w:color w:val="231F20"/>
        </w:rPr>
        <w:t>Des facteurs externes incontrôlables qui ont un effet préjudiciable sur l’application</w:t>
      </w:r>
    </w:p>
    <w:p>
      <w:pPr>
        <w:pStyle w:val="BodyText"/>
        <w:spacing w:line="264" w:lineRule="auto" w:before="47"/>
        <w:ind w:left="1931" w:right="882" w:hanging="341"/>
        <w:rPr>
          <w:b w:val="0"/>
        </w:rPr>
      </w:pPr>
      <w:r>
        <w:rPr>
          <w:rFonts w:ascii="Arial" w:hAnsi="Arial"/>
          <w:color w:val="D19F2A"/>
          <w:sz w:val="26"/>
        </w:rPr>
        <w:t>► </w:t>
      </w:r>
      <w:r>
        <w:rPr>
          <w:b w:val="0"/>
          <w:color w:val="231F20"/>
        </w:rPr>
        <w:t>Un encadrement et une direction inadéquats fournis par les responsables ministériels</w:t>
      </w:r>
    </w:p>
    <w:p>
      <w:pPr>
        <w:pStyle w:val="BodyText"/>
        <w:spacing w:line="264" w:lineRule="auto" w:before="21"/>
        <w:ind w:left="1931" w:right="933" w:hanging="341"/>
        <w:rPr>
          <w:b w:val="0"/>
        </w:rPr>
      </w:pPr>
      <w:r>
        <w:rPr>
          <w:rFonts w:ascii="Arial" w:hAnsi="Arial"/>
          <w:color w:val="D19F2A"/>
          <w:sz w:val="26"/>
        </w:rPr>
        <w:t>► </w:t>
      </w:r>
      <w:r>
        <w:rPr>
          <w:b w:val="0"/>
          <w:color w:val="231F20"/>
        </w:rPr>
        <w:t>Des systèmes d’information inadéquats utilisés pour mesurer les activités d’application</w:t>
      </w:r>
    </w:p>
    <w:p>
      <w:pPr>
        <w:pStyle w:val="BodyText"/>
        <w:spacing w:line="264" w:lineRule="auto" w:before="21"/>
        <w:ind w:left="1931" w:right="1029" w:hanging="341"/>
        <w:rPr>
          <w:b w:val="0"/>
        </w:rPr>
      </w:pPr>
      <w:r>
        <w:rPr>
          <w:rFonts w:ascii="Arial" w:hAnsi="Arial"/>
          <w:color w:val="D19F2A"/>
          <w:sz w:val="26"/>
        </w:rPr>
        <w:t>► </w:t>
      </w:r>
      <w:r>
        <w:rPr>
          <w:b w:val="0"/>
          <w:color w:val="231F20"/>
        </w:rPr>
        <w:t>Des cadres ou pratiques de consultation entre les gouvernements et les organisations de personnes handicapées non encore mis en place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8"/>
        </w:rPr>
      </w:pPr>
    </w:p>
    <w:p>
      <w:pPr>
        <w:spacing w:after="0"/>
        <w:rPr>
          <w:sz w:val="28"/>
        </w:rPr>
        <w:sectPr>
          <w:pgSz w:w="11910" w:h="16840"/>
          <w:pgMar w:top="360" w:bottom="0" w:left="1640" w:right="1020"/>
        </w:sectPr>
      </w:pPr>
    </w:p>
    <w:p>
      <w:pPr>
        <w:pStyle w:val="Heading4"/>
        <w:tabs>
          <w:tab w:pos="699" w:val="left" w:leader="none"/>
          <w:tab w:pos="1022" w:val="left" w:leader="none"/>
        </w:tabs>
        <w:spacing w:before="115"/>
      </w:pPr>
      <w:r>
        <w:rPr/>
        <w:pict>
          <v:group style="position:absolute;margin-left:0pt;margin-top:0pt;width:595.3pt;height:841.9pt;mso-position-horizontal-relative:page;mso-position-vertical-relative:page;z-index:-50896" coordorigin="0,0" coordsize="11906,16838">
            <v:rect style="position:absolute;left:2665;top:0;width:9241;height:16838" filled="true" fillcolor="#f8f0e2" stroked="false">
              <v:fill type="solid"/>
            </v:rect>
            <v:shape style="position:absolute;left:0;top:0;width:2663;height:16838" type="#_x0000_t75" stroked="false">
              <v:imagedata r:id="rId28" o:title=""/>
            </v:shape>
            <v:rect style="position:absolute;left:0;top:0;width:397;height:16838" filled="true" fillcolor="#d19f2a" stroked="false">
              <v:fill type="solid"/>
            </v:rect>
            <v:shape style="position:absolute;left:1770;top:1259;width:822;height:822" coordorigin="1770,1259" coordsize="822,822" path="m2181,1259l2107,1265,2038,1284,1974,1315,1916,1355,1867,1405,1826,1462,1796,1526,1777,1596,1770,1670,1777,1743,1796,1813,1826,1877,1867,1934,1916,1984,1974,2024,2038,2055,2107,2074,2181,2080,2255,2074,2324,2055,2388,2024,2446,1984,2495,1934,2536,1877,2566,1813,2585,1743,2592,1670,2585,1596,2566,1526,2536,1462,2495,1405,2446,1355,2388,1315,2324,1284,2255,1265,2181,1259xe" filled="true" fillcolor="#d19f2a" stroked="false">
              <v:path arrowok="t"/>
              <v:fill type="solid"/>
            </v:shape>
            <v:line style="position:absolute" from="2077,1505" to="2295,1505" stroked="true" strokeweight="1.827pt" strokecolor="#ffffff"/>
            <v:line style="position:absolute" from="2077,1684" to="2295,1684" stroked="true" strokeweight="1.825pt" strokecolor="#ffffff"/>
            <v:line style="position:absolute" from="2077,1594" to="2294,1594" stroked="true" strokeweight="1.823pt" strokecolor="#ffffff"/>
            <v:shape style="position:absolute;left:1975;top:1388;width:403;height:518" coordorigin="1975,1388" coordsize="403,518" path="m2306,1388l2047,1388,2033,1389,2019,1393,2007,1400,1996,1409,1988,1420,1981,1432,1977,1445,1975,1460,1975,1833,1977,1848,1981,1861,1988,1873,1996,1884,1996,1884,2007,1893,2019,1900,2033,1904,2047,1905,2306,1905,2320,1904,2334,1900,2346,1893,2357,1884,2365,1873,2369,1867,2038,1867,2030,1863,2024,1857,2024,1857,2018,1851,2014,1842,2014,1450,2018,1442,2030,1430,2038,1426,2369,1426,2365,1419,2357,1409,2356,1409,2346,1400,2334,1393,2320,1389,2306,1388xm2369,1426l2315,1426,2323,1430,2329,1436,2329,1436,2335,1442,2339,1450,2339,1842,2335,1851,2323,1863,2315,1867,2369,1867,2372,1861,2376,1848,2378,1833,2378,1460,2376,1445,2372,1432,2369,1426xm2024,1857l2024,1857,2024,1857,2024,1857xe" filled="true" fillcolor="#ffffff" stroked="false">
              <v:path arrowok="t"/>
              <v:fill type="solid"/>
            </v:shape>
            <v:shape style="position:absolute;left:-19;top:16526;width:684;height:312" coordorigin="-19,16526" coordsize="684,312" path="m1858,1903l1945,1903,1945,1846,1946,1843,1954,1839,1962,1829,1966,1825,1971,1816,1974,1809,1982,1787,1985,1770,1992,1749,2011,1715,2038,1675,2044,1666,2051,1654,2054,1642,2049,1630,2038,1622,2027,1623,2016,1630,2007,1638,1995,1650,1983,1663,1971,1675,1958,1686,1952,1691,1943,1695,1932,1695,1932,1676,1940,1661,1951,1651,1956,1646,1956,1592,1939,1597,1921,1609,1903,1623,1887,1635,1863,1652,1848,1664,1841,1678,1840,1701,1840,1730,1839,1774,1840,1817,1840,1841,1858,1903xm2505,1903l2417,1903,2417,1846,2417,1843,2409,1839,2401,1829,2397,1825,2392,1816,2389,1809,2381,1787,2378,1770,2371,1749,2352,1715,2325,1675,2318,1666,2312,1654,2309,1642,2313,1630,2325,1622,2336,1623,2346,1630,2355,1638,2367,1650,2379,1663,2392,1675,2405,1686,2411,1691,2420,1695,2431,1695,2431,1676,2422,1661,2412,1651,2407,1646,2407,1592,2423,1597,2442,1609,2460,1623,2476,1635,2500,1652,2515,1664,2521,1678,2523,1701,2523,1730,2523,1774,2523,1817,2522,1841,2505,1903xe" filled="false" stroked="true" strokeweight=".966pt" strokecolor="#d19f2a">
              <v:path arrowok="t"/>
            </v:shape>
            <v:shape style="position:absolute;left:1840;top:1592;width:215;height:312" coordorigin="1840,1592" coordsize="215,312" path="m1956,1592l1939,1597,1921,1609,1887,1635,1863,1652,1848,1664,1841,1678,1840,1701,1840,1817,1840,1841,1858,1903,1945,1903,1945,1846,1946,1843,1954,1839,1966,1825,1971,1816,1974,1809,1982,1787,1985,1770,1992,1749,2011,1715,2024,1695,1943,1695,1932,1695,1932,1686,1932,1675,1940,1661,1951,1651,1956,1646,1956,1592xm2038,1622l2027,1623,2016,1630,2007,1638,1995,1650,1983,1663,1971,1675,1958,1686,1952,1691,1943,1695,2024,1695,2038,1675,2044,1666,2051,1654,2054,1642,2049,1630,2038,1622xe" filled="true" fillcolor="#ffffff" stroked="false">
              <v:path arrowok="t"/>
              <v:fill type="solid"/>
            </v:shape>
            <v:shape style="position:absolute;left:2309;top:1592;width:215;height:312" coordorigin="2309,1592" coordsize="215,312" path="m2325,1622l2313,1630,2309,1642,2312,1654,2318,1666,2325,1676,2352,1715,2371,1749,2378,1770,2381,1787,2389,1809,2392,1816,2397,1825,2409,1839,2417,1843,2417,1846,2417,1903,2505,1903,2522,1841,2523,1817,2523,1701,2523,1695,2420,1695,2411,1691,2405,1686,2392,1675,2379,1663,2367,1650,2355,1638,2346,1630,2336,1623,2325,1622xm2407,1592l2407,1646,2412,1651,2422,1661,2431,1675,2431,1686,2431,1695,2420,1695,2523,1695,2521,1678,2515,1664,2500,1652,2476,1635,2442,1609,2423,1597,2407,1592xe" filled="true" fillcolor="#ffffff" stroked="false">
              <v:path arrowok="t"/>
              <v:fill type="solid"/>
            </v:shape>
            <w10:wrap type="none"/>
          </v:group>
        </w:pict>
      </w:r>
      <w:r>
        <w:rPr>
          <w:color w:val="FFFFFF"/>
          <w:shd w:fill="D19F2A" w:color="auto" w:val="clear"/>
        </w:rPr>
        <w:t> </w:t>
        <w:tab/>
        <w:t>20</w:t>
        <w:tab/>
      </w:r>
    </w:p>
    <w:p>
      <w:pPr>
        <w:spacing w:before="74"/>
        <w:ind w:left="858" w:right="242" w:hanging="743"/>
        <w:jc w:val="left"/>
        <w:rPr>
          <w:rFonts w:ascii="Myriad Pro" w:hAnsi="Myriad Pro"/>
          <w:sz w:val="16"/>
        </w:rPr>
      </w:pPr>
      <w:r>
        <w:rPr/>
        <w:br w:type="column"/>
      </w: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054" w:right="1179"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left="133" w:right="1179"/>
        <w:rPr>
          <w:b/>
        </w:rPr>
      </w:pPr>
      <w:r>
        <w:rPr>
          <w:b/>
          <w:color w:val="231F20"/>
        </w:rPr>
        <w:t>Fiche de cours du formateur – Développement intégrant le handicap, Session 2</w:t>
      </w:r>
    </w:p>
    <w:p>
      <w:pPr>
        <w:pStyle w:val="BodyText"/>
        <w:spacing w:before="7"/>
        <w:rPr>
          <w:b/>
          <w:sz w:val="10"/>
        </w:rPr>
      </w:pPr>
    </w:p>
    <w:tbl>
      <w:tblPr>
        <w:tblW w:w="0" w:type="auto"/>
        <w:jc w:val="left"/>
        <w:tblInd w:w="118" w:type="dxa"/>
        <w:tblBorders>
          <w:top w:val="single" w:sz="4" w:space="0" w:color="D19F2A"/>
          <w:left w:val="single" w:sz="4" w:space="0" w:color="D19F2A"/>
          <w:bottom w:val="single" w:sz="4" w:space="0" w:color="D19F2A"/>
          <w:right w:val="single" w:sz="4" w:space="0" w:color="D19F2A"/>
          <w:insideH w:val="single" w:sz="4" w:space="0" w:color="D19F2A"/>
          <w:insideV w:val="single" w:sz="4" w:space="0" w:color="D19F2A"/>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D19F2A"/>
              <w:left w:val="nil"/>
              <w:right w:val="single" w:sz="8" w:space="0" w:color="D19F2A"/>
            </w:tcBorders>
          </w:tcPr>
          <w:p>
            <w:pPr/>
          </w:p>
        </w:tc>
        <w:tc>
          <w:tcPr>
            <w:tcW w:w="1389" w:type="dxa"/>
            <w:tcBorders>
              <w:top w:val="single" w:sz="12" w:space="0" w:color="D19F2A"/>
              <w:left w:val="single" w:sz="8" w:space="0" w:color="D19F2A"/>
              <w:right w:val="single" w:sz="8" w:space="0" w:color="D19F2A"/>
            </w:tcBorders>
            <w:shd w:val="clear" w:color="auto" w:fill="F8F0E2"/>
          </w:tcPr>
          <w:p>
            <w:pPr>
              <w:pStyle w:val="TableParagraph"/>
              <w:spacing w:before="72"/>
              <w:ind w:right="415"/>
              <w:rPr>
                <w:b/>
                <w:sz w:val="20"/>
              </w:rPr>
            </w:pPr>
            <w:r>
              <w:rPr>
                <w:b/>
                <w:color w:val="231F20"/>
                <w:sz w:val="20"/>
              </w:rPr>
              <w:t>Messages clés</w:t>
            </w:r>
          </w:p>
        </w:tc>
        <w:tc>
          <w:tcPr>
            <w:tcW w:w="5357" w:type="dxa"/>
            <w:tcBorders>
              <w:top w:val="single" w:sz="12" w:space="0" w:color="D19F2A"/>
              <w:left w:val="single" w:sz="8" w:space="0" w:color="D19F2A"/>
              <w:right w:val="nil"/>
            </w:tcBorders>
            <w:shd w:val="clear" w:color="auto" w:fill="F8F0E2"/>
          </w:tcPr>
          <w:p>
            <w:pPr>
              <w:pStyle w:val="TableParagraph"/>
              <w:spacing w:line="240" w:lineRule="auto" w:before="58"/>
              <w:rPr>
                <w:sz w:val="20"/>
              </w:rPr>
            </w:pPr>
            <w:r>
              <w:rPr>
                <w:color w:val="231F20"/>
                <w:sz w:val="20"/>
              </w:rPr>
              <w:t>Consulter le résumé et les principaux enseignements.</w:t>
            </w:r>
          </w:p>
        </w:tc>
      </w:tr>
      <w:tr>
        <w:trPr>
          <w:trHeight w:val="1001"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line="240" w:lineRule="auto"/>
              <w:ind w:right="415"/>
              <w:rPr>
                <w:b/>
                <w:sz w:val="20"/>
              </w:rPr>
            </w:pPr>
            <w:r>
              <w:rPr>
                <w:b/>
                <w:color w:val="231F20"/>
                <w:sz w:val="20"/>
              </w:rPr>
              <w:t>Objectifs</w:t>
            </w:r>
          </w:p>
        </w:tc>
        <w:tc>
          <w:tcPr>
            <w:tcW w:w="5357" w:type="dxa"/>
            <w:tcBorders>
              <w:left w:val="single" w:sz="8" w:space="0" w:color="D19F2A"/>
              <w:right w:val="nil"/>
            </w:tcBorders>
            <w:shd w:val="clear" w:color="auto" w:fill="F8F0E2"/>
          </w:tcPr>
          <w:p>
            <w:pPr>
              <w:pStyle w:val="TableParagraph"/>
              <w:spacing w:before="49"/>
              <w:rPr>
                <w:sz w:val="20"/>
              </w:rPr>
            </w:pPr>
            <w:r>
              <w:rPr>
                <w:color w:val="231F20"/>
                <w:sz w:val="20"/>
              </w:rPr>
              <w:t>À la fin de cette session, les participants auront réfléchi aux différentes manières d’assurer le suivi indépendant de la CDPH.</w:t>
            </w:r>
          </w:p>
        </w:tc>
      </w:tr>
      <w:tr>
        <w:trPr>
          <w:trHeight w:val="977" w:hRule="exact"/>
        </w:trPr>
        <w:tc>
          <w:tcPr>
            <w:tcW w:w="1134" w:type="dxa"/>
            <w:tcBorders>
              <w:left w:val="nil"/>
              <w:right w:val="single" w:sz="8" w:space="0" w:color="D19F2A"/>
            </w:tcBorders>
            <w:shd w:val="clear" w:color="auto" w:fill="F8F0E2"/>
          </w:tcPr>
          <w:p>
            <w:pPr/>
          </w:p>
        </w:tc>
        <w:tc>
          <w:tcPr>
            <w:tcW w:w="1389" w:type="dxa"/>
            <w:tcBorders>
              <w:left w:val="single" w:sz="8" w:space="0" w:color="D19F2A"/>
              <w:right w:val="single" w:sz="8" w:space="0" w:color="D19F2A"/>
            </w:tcBorders>
            <w:shd w:val="clear" w:color="auto" w:fill="F8F0E2"/>
          </w:tcPr>
          <w:p>
            <w:pPr>
              <w:pStyle w:val="TableParagraph"/>
              <w:spacing w:before="49"/>
              <w:ind w:right="0"/>
              <w:rPr>
                <w:b/>
                <w:sz w:val="20"/>
              </w:rPr>
            </w:pPr>
            <w:r>
              <w:rPr>
                <w:b/>
                <w:color w:val="231F20"/>
                <w:sz w:val="20"/>
              </w:rPr>
              <w:t>Organisation de la classe</w:t>
            </w:r>
          </w:p>
        </w:tc>
        <w:tc>
          <w:tcPr>
            <w:tcW w:w="5357" w:type="dxa"/>
            <w:tcBorders>
              <w:left w:val="single" w:sz="8" w:space="0" w:color="D19F2A"/>
              <w:right w:val="nil"/>
            </w:tcBorders>
            <w:shd w:val="clear" w:color="auto" w:fill="F8F0E2"/>
          </w:tcPr>
          <w:p>
            <w:pPr>
              <w:pStyle w:val="TableParagraph"/>
              <w:spacing w:before="49"/>
              <w:rPr>
                <w:sz w:val="20"/>
              </w:rPr>
            </w:pPr>
            <w:r>
              <w:rPr>
                <w:color w:val="231F20"/>
                <w:sz w:val="20"/>
              </w:rPr>
              <w:t>Discussion en classe entière, suivie par une activité de jeu de rôles, si possible selon une configuration de type « salle de conférence ».</w:t>
            </w:r>
          </w:p>
        </w:tc>
      </w:tr>
      <w:tr>
        <w:trPr>
          <w:trHeight w:val="1173" w:hRule="exact"/>
        </w:trPr>
        <w:tc>
          <w:tcPr>
            <w:tcW w:w="1134" w:type="dxa"/>
            <w:tcBorders>
              <w:left w:val="nil"/>
              <w:right w:val="single" w:sz="8" w:space="0" w:color="D19F2A"/>
            </w:tcBorders>
            <w:shd w:val="clear" w:color="auto" w:fill="F8F0E2"/>
          </w:tcPr>
          <w:p>
            <w:pPr/>
          </w:p>
        </w:tc>
        <w:tc>
          <w:tcPr>
            <w:tcW w:w="1389" w:type="dxa"/>
            <w:tcBorders>
              <w:left w:val="single" w:sz="8" w:space="0" w:color="D19F2A"/>
              <w:right w:val="single" w:sz="8" w:space="0" w:color="D19F2A"/>
            </w:tcBorders>
            <w:shd w:val="clear" w:color="auto" w:fill="F8F0E2"/>
          </w:tcPr>
          <w:p>
            <w:pPr>
              <w:pStyle w:val="TableParagraph"/>
              <w:spacing w:line="240" w:lineRule="auto"/>
              <w:ind w:right="415"/>
              <w:rPr>
                <w:b/>
                <w:sz w:val="20"/>
              </w:rPr>
            </w:pPr>
            <w:r>
              <w:rPr>
                <w:b/>
                <w:color w:val="231F20"/>
                <w:sz w:val="20"/>
              </w:rPr>
              <w:t>Activité</w:t>
            </w:r>
          </w:p>
        </w:tc>
        <w:tc>
          <w:tcPr>
            <w:tcW w:w="5357" w:type="dxa"/>
            <w:tcBorders>
              <w:left w:val="single" w:sz="8" w:space="0" w:color="D19F2A"/>
              <w:right w:val="nil"/>
            </w:tcBorders>
            <w:shd w:val="clear" w:color="auto" w:fill="F8F0E2"/>
          </w:tcPr>
          <w:p>
            <w:pPr>
              <w:pStyle w:val="TableParagraph"/>
              <w:spacing w:line="240" w:lineRule="auto" w:before="34"/>
              <w:rPr>
                <w:sz w:val="20"/>
              </w:rPr>
            </w:pPr>
            <w:r>
              <w:rPr>
                <w:color w:val="231F20"/>
                <w:sz w:val="20"/>
              </w:rPr>
              <w:t>20 min. – Discussion en classe entière</w:t>
            </w:r>
          </w:p>
          <w:p>
            <w:pPr>
              <w:pStyle w:val="TableParagraph"/>
              <w:spacing w:line="276" w:lineRule="auto" w:before="36"/>
              <w:rPr>
                <w:sz w:val="20"/>
              </w:rPr>
            </w:pPr>
            <w:r>
              <w:rPr>
                <w:color w:val="231F20"/>
                <w:sz w:val="20"/>
              </w:rPr>
              <w:t>15 min. – Préparation du jeu de rôles 20 min. – Jeu de rôles 20 min. – Réflexions en groupes</w:t>
            </w:r>
          </w:p>
          <w:p>
            <w:pPr>
              <w:pStyle w:val="TableParagraph"/>
              <w:spacing w:line="240" w:lineRule="auto" w:before="0"/>
              <w:rPr>
                <w:sz w:val="20"/>
              </w:rPr>
            </w:pPr>
            <w:r>
              <w:rPr>
                <w:color w:val="231F20"/>
                <w:sz w:val="20"/>
              </w:rPr>
              <w:t>15 min. – Synthèse et conclusions en classe entière</w:t>
            </w:r>
          </w:p>
        </w:tc>
      </w:tr>
      <w:tr>
        <w:trPr>
          <w:trHeight w:val="1067"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line="240" w:lineRule="auto"/>
              <w:ind w:right="415"/>
              <w:rPr>
                <w:b/>
                <w:sz w:val="20"/>
              </w:rPr>
            </w:pPr>
            <w:r>
              <w:rPr>
                <w:b/>
                <w:color w:val="231F20"/>
                <w:sz w:val="20"/>
              </w:rPr>
              <w:t>Durée</w:t>
            </w:r>
          </w:p>
        </w:tc>
        <w:tc>
          <w:tcPr>
            <w:tcW w:w="5357" w:type="dxa"/>
            <w:tcBorders>
              <w:left w:val="single" w:sz="8" w:space="0" w:color="D19F2A"/>
              <w:right w:val="nil"/>
            </w:tcBorders>
            <w:shd w:val="clear" w:color="auto" w:fill="F8F0E2"/>
          </w:tcPr>
          <w:p>
            <w:pPr>
              <w:pStyle w:val="TableParagraph"/>
              <w:spacing w:line="240" w:lineRule="auto" w:before="34"/>
              <w:rPr>
                <w:sz w:val="20"/>
              </w:rPr>
            </w:pPr>
            <w:r>
              <w:rPr>
                <w:color w:val="231F20"/>
                <w:sz w:val="20"/>
              </w:rPr>
              <w:t>90 minutes</w:t>
            </w:r>
          </w:p>
        </w:tc>
      </w:tr>
      <w:tr>
        <w:trPr>
          <w:trHeight w:val="1997" w:hRule="exact"/>
        </w:trPr>
        <w:tc>
          <w:tcPr>
            <w:tcW w:w="1134" w:type="dxa"/>
            <w:tcBorders>
              <w:left w:val="nil"/>
              <w:right w:val="single" w:sz="8" w:space="0" w:color="D19F2A"/>
            </w:tcBorders>
            <w:shd w:val="clear" w:color="auto" w:fill="F8F0E2"/>
          </w:tcPr>
          <w:p>
            <w:pPr/>
          </w:p>
        </w:tc>
        <w:tc>
          <w:tcPr>
            <w:tcW w:w="1389" w:type="dxa"/>
            <w:tcBorders>
              <w:left w:val="single" w:sz="8" w:space="0" w:color="D19F2A"/>
              <w:right w:val="single" w:sz="8" w:space="0" w:color="D19F2A"/>
            </w:tcBorders>
            <w:shd w:val="clear" w:color="auto" w:fill="F8F0E2"/>
          </w:tcPr>
          <w:p>
            <w:pPr>
              <w:pStyle w:val="TableParagraph"/>
              <w:spacing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D19F2A"/>
              <w:right w:val="nil"/>
            </w:tcBorders>
            <w:shd w:val="clear" w:color="auto" w:fill="F8F0E2"/>
          </w:tcPr>
          <w:p>
            <w:pPr>
              <w:pStyle w:val="TableParagraph"/>
              <w:spacing w:before="48"/>
              <w:rPr>
                <w:sz w:val="20"/>
              </w:rPr>
            </w:pPr>
            <w:r>
              <w:rPr>
                <w:color w:val="231F20"/>
                <w:sz w:val="20"/>
              </w:rPr>
              <w:t>Discussion en classe entière, suivie par une activité de jeu de rôles, si possible selon une configuration de type « salle du conseil ».</w:t>
            </w:r>
          </w:p>
          <w:p>
            <w:pPr>
              <w:pStyle w:val="TableParagraph"/>
              <w:spacing w:before="56"/>
              <w:ind w:right="0"/>
              <w:rPr>
                <w:sz w:val="20"/>
              </w:rPr>
            </w:pPr>
            <w:r>
              <w:rPr>
                <w:color w:val="231F20"/>
                <w:sz w:val="20"/>
              </w:rPr>
              <w:t>En fonction de la situation actuelle dans les pays représentés, vous pouvez choisir de présenter le scénario de pays de l’encadré : Suivi indépendant au niveau national dans les faits.</w:t>
            </w:r>
          </w:p>
          <w:p>
            <w:pPr>
              <w:pStyle w:val="TableParagraph"/>
              <w:spacing w:before="56"/>
              <w:ind w:right="418"/>
              <w:rPr>
                <w:sz w:val="20"/>
              </w:rPr>
            </w:pPr>
            <w:r>
              <w:rPr>
                <w:color w:val="231F20"/>
                <w:sz w:val="20"/>
              </w:rPr>
              <w:t>Donnez des cartes vierges à tous les participants du jeu de rôles.</w:t>
            </w:r>
          </w:p>
        </w:tc>
      </w:tr>
      <w:tr>
        <w:trPr>
          <w:trHeight w:val="977" w:hRule="exact"/>
        </w:trPr>
        <w:tc>
          <w:tcPr>
            <w:tcW w:w="1134" w:type="dxa"/>
            <w:tcBorders>
              <w:left w:val="nil"/>
              <w:right w:val="single" w:sz="8" w:space="0" w:color="D19F2A"/>
            </w:tcBorders>
          </w:tcPr>
          <w:p>
            <w:pPr/>
          </w:p>
        </w:tc>
        <w:tc>
          <w:tcPr>
            <w:tcW w:w="1389" w:type="dxa"/>
            <w:tcBorders>
              <w:left w:val="single" w:sz="8" w:space="0" w:color="D19F2A"/>
              <w:right w:val="single" w:sz="8" w:space="0" w:color="D19F2A"/>
            </w:tcBorders>
            <w:shd w:val="clear" w:color="auto" w:fill="F8F0E2"/>
          </w:tcPr>
          <w:p>
            <w:pPr>
              <w:pStyle w:val="TableParagraph"/>
              <w:spacing w:before="48"/>
              <w:ind w:right="415"/>
              <w:rPr>
                <w:b/>
                <w:sz w:val="20"/>
              </w:rPr>
            </w:pPr>
            <w:r>
              <w:rPr>
                <w:b/>
                <w:color w:val="231F20"/>
                <w:sz w:val="20"/>
              </w:rPr>
              <w:t>Fiches de travail</w:t>
            </w:r>
          </w:p>
        </w:tc>
        <w:tc>
          <w:tcPr>
            <w:tcW w:w="5357" w:type="dxa"/>
            <w:tcBorders>
              <w:left w:val="single" w:sz="8" w:space="0" w:color="D19F2A"/>
              <w:right w:val="nil"/>
            </w:tcBorders>
            <w:shd w:val="clear" w:color="auto" w:fill="F8F0E2"/>
          </w:tcPr>
          <w:p>
            <w:pPr>
              <w:pStyle w:val="TableParagraph"/>
              <w:spacing w:before="48"/>
              <w:rPr>
                <w:sz w:val="20"/>
              </w:rPr>
            </w:pPr>
            <w:r>
              <w:rPr>
                <w:color w:val="231F20"/>
                <w:sz w:val="20"/>
              </w:rPr>
              <w:t>Activité d’apprentissage 2.C.2 : Rôles et responsabilités en matière de suivi</w:t>
            </w:r>
          </w:p>
        </w:tc>
      </w:tr>
      <w:tr>
        <w:trPr>
          <w:trHeight w:val="977" w:hRule="exact"/>
        </w:trPr>
        <w:tc>
          <w:tcPr>
            <w:tcW w:w="1134" w:type="dxa"/>
            <w:tcBorders>
              <w:left w:val="nil"/>
              <w:bottom w:val="single" w:sz="12" w:space="0" w:color="D19F2A"/>
              <w:right w:val="single" w:sz="8" w:space="0" w:color="D19F2A"/>
            </w:tcBorders>
          </w:tcPr>
          <w:p>
            <w:pPr/>
          </w:p>
        </w:tc>
        <w:tc>
          <w:tcPr>
            <w:tcW w:w="1389" w:type="dxa"/>
            <w:tcBorders>
              <w:left w:val="single" w:sz="8" w:space="0" w:color="D19F2A"/>
              <w:bottom w:val="single" w:sz="12" w:space="0" w:color="D19F2A"/>
              <w:right w:val="single" w:sz="8" w:space="0" w:color="D19F2A"/>
            </w:tcBorders>
            <w:shd w:val="clear" w:color="auto" w:fill="F8F0E2"/>
          </w:tcPr>
          <w:p>
            <w:pPr>
              <w:pStyle w:val="TableParagraph"/>
              <w:spacing w:line="240" w:lineRule="auto" w:before="26"/>
              <w:ind w:right="415"/>
              <w:rPr>
                <w:b/>
                <w:sz w:val="20"/>
              </w:rPr>
            </w:pPr>
            <w:r>
              <w:rPr>
                <w:b/>
                <w:color w:val="231F20"/>
                <w:sz w:val="20"/>
              </w:rPr>
              <w:t>Supports</w:t>
            </w:r>
          </w:p>
        </w:tc>
        <w:tc>
          <w:tcPr>
            <w:tcW w:w="5357" w:type="dxa"/>
            <w:tcBorders>
              <w:left w:val="single" w:sz="8" w:space="0" w:color="D19F2A"/>
              <w:bottom w:val="single" w:sz="12" w:space="0" w:color="D19F2A"/>
              <w:right w:val="nil"/>
            </w:tcBorders>
            <w:shd w:val="clear" w:color="auto" w:fill="F8F0E2"/>
          </w:tcPr>
          <w:p>
            <w:pPr>
              <w:pStyle w:val="TableParagraph"/>
              <w:spacing w:line="240" w:lineRule="auto" w:before="34"/>
              <w:rPr>
                <w:sz w:val="20"/>
              </w:rPr>
            </w:pPr>
            <w:r>
              <w:rPr>
                <w:color w:val="231F20"/>
                <w:sz w:val="20"/>
              </w:rPr>
              <w:t>Article 33 – Application et suivi au niveau national</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after="0"/>
        <w:rPr>
          <w:sz w:val="17"/>
        </w:rPr>
        <w:sectPr>
          <w:pgSz w:w="11910" w:h="16840"/>
          <w:pgMar w:top="360" w:bottom="0" w:left="1000" w:right="1640"/>
        </w:sectPr>
      </w:pPr>
    </w:p>
    <w:p>
      <w:pPr>
        <w:spacing w:line="192" w:lineRule="exact" w:before="75"/>
        <w:ind w:left="0" w:right="0" w:firstLine="0"/>
        <w:jc w:val="right"/>
        <w:rPr>
          <w:rFonts w:ascii="Myriad Pro" w:hAnsi="Myriad Pro"/>
          <w:sz w:val="16"/>
        </w:rPr>
      </w:pPr>
      <w:r>
        <w:rPr/>
        <w:pict>
          <v:group style="position:absolute;margin-left:0pt;margin-top:0pt;width:595.3pt;height:841.9pt;mso-position-horizontal-relative:page;mso-position-vertical-relative:page;z-index:-50848" coordorigin="0,0" coordsize="11906,16838">
            <v:rect style="position:absolute;left:0;top:0;width:9241;height:16838" filled="true" fillcolor="#f8f0e2" stroked="false">
              <v:fill type="solid"/>
            </v:rect>
            <v:shape style="position:absolute;left:9243;top:0;width:2663;height:16838" type="#_x0000_t75" stroked="false">
              <v:imagedata r:id="rId27" o:title=""/>
            </v:shape>
            <v:rect style="position:absolute;left:11509;top:0;width:397;height:16838" filled="true" fillcolor="#d19f2a" stroked="false">
              <v:fill type="solid"/>
            </v:rect>
            <v:shape style="position:absolute;left:1148;top:3287;width:822;height:822" coordorigin="1148,3287" coordsize="822,822" path="m1559,3287l1485,3294,1415,3313,1351,3343,1294,3384,1245,3433,1204,3490,1174,3554,1155,3624,1148,3698,1155,3772,1174,3841,1204,3905,1245,3963,1294,4012,1351,4053,1415,4083,1485,4102,1559,4109,1633,4102,1702,4083,1766,4053,1824,4012,1873,3963,1914,3905,1944,3841,1963,3772,1970,3698,1963,3624,1944,3554,1914,3490,1873,3433,1824,3384,1766,3343,1702,3313,1633,3294,1559,3287xe" filled="true" fillcolor="#d19f2a" stroked="false">
              <v:path arrowok="t"/>
              <v:fill type="solid"/>
            </v:shape>
            <v:shape style="position:absolute;left:1211;top:3350;width:697;height:697" coordorigin="1211,3350" coordsize="697,697" path="m1559,3350l1489,3357,1423,3377,1364,3409,1313,3452,1270,3503,1238,3562,1218,3628,1211,3698,1218,3768,1238,3833,1270,3893,1313,3944,1364,3987,1423,4019,1489,4039,1559,4046,1629,4039,1694,4019,1754,3987,1755,3986,1559,3986,1482,3976,1414,3947,1355,3902,1310,3843,1281,3774,1271,3698,1281,3621,1310,3552,1355,3494,1414,3449,1482,3420,1559,3410,1755,3410,1754,3409,1694,3377,1629,3357,1559,3350xm1755,3410l1559,3410,1635,3420,1704,3449,1763,3494,1808,3552,1837,3621,1847,3698,1837,3774,1808,3843,1763,3902,1704,3947,1635,3976,1559,3986,1755,3986,1805,3944,1848,3893,1880,3833,1900,3768,1907,3698,1900,3628,1880,3562,1848,3503,1805,3452,1755,3410xm1559,3471l1487,3483,1425,3515,1376,3564,1344,3626,1332,3698,1344,3770,1376,3832,1425,3881,1487,3913,1559,3925,1631,3913,1693,3881,1712,3862,1559,3862,1495,3849,1443,3814,1408,3762,1395,3698,1408,3634,1443,3582,1495,3547,1559,3534,1712,3534,1693,3515,1631,3483,1559,3471xm1712,3534l1559,3534,1623,3547,1675,3582,1710,3634,1723,3698,1710,3762,1675,3814,1623,3849,1559,3862,1712,3862,1742,3832,1774,3770,1786,3698,1774,3626,1742,3564,1712,3534xm1559,3604l1522,3612,1493,3632,1473,3661,1465,3698,1473,3734,1493,3764,1522,3784,1559,3791,1595,3784,1625,3764,1645,3734,1652,3698,1645,3661,1625,3632,1595,3612,1559,3604xe" filled="true" fillcolor="#ffffff" stroked="false">
              <v:path arrowok="t"/>
              <v:fill type="solid"/>
            </v:shape>
            <v:shape style="position:absolute;left:1145;top:4293;width:822;height:822" type="#_x0000_t75" stroked="false">
              <v:imagedata r:id="rId35" o:title=""/>
            </v:shape>
            <v:shape style="position:absolute;left:1159;top:6439;width:806;height:927" coordorigin="1159,6439" coordsize="806,927" path="m1605,6517l1520,6517,1520,6562,1446,6577,1378,6605,1317,6644,1264,6693,1220,6750,1187,6816,1167,6887,1159,6963,1166,7035,1185,7104,1214,7166,1254,7223,1303,7271,1359,7311,1422,7341,1490,7359,1562,7366,1635,7359,1703,7341,1766,7311,1801,7286,1562,7286,1488,7277,1420,7253,1360,7215,1310,7165,1272,7105,1248,7037,1239,6963,1248,6890,1248,6889,1272,6821,1310,6761,1360,6711,1420,6673,1488,6649,1562,6640,1863,6640,1890,6615,1764,6615,1727,6596,1688,6580,1647,6569,1605,6562,1605,6517xm1863,6640l1562,6640,1636,6649,1704,6673,1764,6711,1814,6761,1852,6821,1877,6889,1877,6890,1885,6963,1877,7037,1852,7105,1814,7165,1764,7215,1704,7253,1636,7277,1562,7286,1801,7286,1822,7271,1870,7223,1910,7166,1940,7104,1959,7035,1965,6963,1956,6878,1930,6799,1889,6728,1835,6667,1863,6640xm1571,6889l1563,6889,1531,6895,1504,6914,1486,6940,1479,6973,1486,7006,1504,7033,1531,7051,1563,7058,1596,7051,1623,7033,1641,7006,1648,6973,1648,6962,1645,6950,1641,6940,1674,6892,1584,6892,1578,6890,1571,6889xm1757,6765l1584,6892,1674,6892,1757,6765xm1830,6556l1764,6615,1890,6615,1892,6613,1830,6556xm1655,6439l1465,6439,1465,6517,1655,6517,1655,6439xe" filled="true" fillcolor="#d19f2a" stroked="false">
              <v:path arrowok="t"/>
              <v:fill type="solid"/>
            </v:shape>
            <v:shape style="position:absolute;left:1144;top:7516;width:822;height:822" coordorigin="1144,7516" coordsize="822,822" path="m1555,7516l1481,7523,1411,7542,1347,7572,1290,7613,1240,7662,1200,7720,1169,7784,1150,7853,1144,7927,1150,8001,1169,8071,1200,8135,1240,8192,1290,8241,1347,8282,1411,8312,1481,8331,1555,8338,1628,8331,1698,8312,1762,8282,1819,8241,1869,8192,1909,8135,1940,8071,1959,8001,1965,7927,1959,7853,1940,7784,1909,7720,1869,7662,1819,7613,1762,7572,1698,7542,1628,7523,1555,7516xe" filled="true" fillcolor="#d19f2a" stroked="false">
              <v:path arrowok="t"/>
              <v:fill type="solid"/>
            </v:shape>
            <v:shape style="position:absolute;left:1244;top:7582;width:654;height:587" coordorigin="1244,7582" coordsize="654,587" path="m1683,7582l1652,7600,1649,7603,1649,7604,1646,7607,1560,7706,1544,7725,1534,7736,1528,7742,1525,7744,1512,7746,1508,7747,1478,7754,1448,7764,1418,7776,1390,7789,1374,7797,1372,7802,1361,7811,1345,7826,1328,7845,1312,7865,1299,7883,1283,7906,1264,7934,1250,7963,1244,7987,1244,8000,1246,8012,1249,8023,1255,8035,1261,8043,1271,8055,1282,8057,1274,8073,1264,8094,1256,8116,1252,8135,1255,8147,1261,8158,1270,8166,1282,8169,1299,8164,1317,8154,1350,8129,1356,8124,1366,8113,1422,8113,1431,8110,1463,8097,1500,8083,1546,8077,1774,8077,1763,8071,1386,8071,1381,8066,1378,8060,1386,8047,1405,8034,1426,8023,1440,8016,1443,8015,1303,8015,1290,8012,1289,7994,1294,7981,1314,7944,1347,7898,1382,7856,1410,7832,1413,7830,1415,7829,1424,7825,1447,7815,1461,7809,1473,7806,1537,7806,1538,7804,1538,7804,1541,7801,1580,7756,1583,7753,1582,7753,1585,7750,1649,7675,1653,7671,1655,7668,1659,7664,1687,7632,1697,7631,1766,7631,1749,7610,1717,7589,1683,7582xm1774,8077l1546,8077,1574,8077,1599,8078,1623,8080,1651,8083,1674,8086,1687,8089,1700,8094,1720,8104,1818,8150,1837,8158,1850,8110,1836,8105,1810,8094,1780,8080,1774,8077xm1422,8113l1366,8113,1370,8114,1387,8117,1404,8117,1422,8113xm1556,8029l1520,8030,1493,8035,1469,8043,1432,8058,1428,8061,1407,8070,1411,8071,1763,8071,1753,8067,1701,8044,1684,8041,1640,8035,1623,8032,1608,8031,1590,8030,1572,8029,1556,8029xm1471,7809l1468,7813,1453,7830,1428,7858,1407,7883,1385,7908,1342,7959,1332,7972,1319,7991,1309,8007,1303,8015,1443,8015,1462,8005,1482,7995,1374,7995,1383,7984,1393,7972,1404,7960,1413,7949,1444,7913,1445,7912,1472,7881,1476,7877,1477,7874,1484,7867,1484,7867,1488,7862,1489,7861,1494,7856,1493,7856,1498,7850,1499,7850,1501,7847,1532,7811,1471,7811,1471,7809xm1766,7631l1697,7631,1714,7643,1723,7650,1725,7654,1731,7665,1662,7744,1634,7776,1619,7793,1607,7808,1542,7883,1540,7885,1539,7886,1534,7891,1534,7892,1528,7899,1526,7902,1517,7910,1516,7913,1507,7922,1506,7924,1496,7931,1493,7933,1487,7936,1432,7967,1397,7984,1381,7994,1374,7995,1482,7995,1484,7994,1506,7982,1525,7969,1537,7960,1546,7950,1547,7948,1554,7941,1555,7939,1558,7935,1569,7924,1582,7908,1594,7894,1604,7882,1610,7877,1615,7871,1623,7861,1625,7860,1643,7838,1647,7834,1648,7833,1650,7829,1726,7829,1684,7790,1703,7769,1706,7766,1706,7765,1712,7759,1712,7758,1717,7753,1741,7725,1747,7717,1756,7707,1765,7697,1772,7689,1778,7675,1778,7662,1775,7648,1769,7635,1766,7631xm1726,7829l1650,7829,1656,7830,1656,7831,1664,7838,1665,7839,1669,7842,1746,7913,1885,7956,1898,7908,1770,7869,1726,7829xm1484,7867l1484,7867,1484,7867,1484,7867xm1537,7806l1473,7806,1471,7811,1532,7811,1536,7807,1537,7806xm1583,7753l1582,7753,1583,7753,1583,7753xe" filled="true" fillcolor="#ffffff" stroked="false">
              <v:path arrowok="t"/>
              <v:fill type="solid"/>
            </v:shape>
            <v:shape style="position:absolute;left:1147;top:9511;width:822;height:822" coordorigin="1147,9511" coordsize="822,822" path="m1558,9511l1484,9518,1415,9537,1351,9567,1294,9608,1244,9658,1203,9715,1173,9779,1154,9848,1147,9922,1154,9996,1173,10066,1203,10130,1244,10187,1294,10237,1351,10277,1415,10307,1484,10327,1558,10333,1632,10327,1702,10307,1766,10277,1823,10237,1873,10187,1913,10130,1943,10066,1963,9996,1969,9922,1963,9848,1943,9779,1913,9715,1873,9658,1823,9608,1766,9567,1702,9537,1632,9518,1558,9511xe" filled="true" fillcolor="#d19f2a" stroked="false">
              <v:path arrowok="t"/>
              <v:fill type="solid"/>
            </v:shape>
            <v:shape style="position:absolute;left:1280;top:9625;width:511;height:304" coordorigin="1280,9625" coordsize="511,304" path="m1758,9710l1618,9710,1619,9714,1615,9715,1595,9729,1591,9732,1579,9740,1566,9748,1554,9756,1541,9763,1528,9771,1516,9777,1504,9784,1490,9791,1457,9806,1447,9811,1435,9816,1413,9825,1401,9829,1389,9833,1377,9837,1364,9841,1350,9844,1337,9847,1311,9853,1301,9855,1298,9857,1285,9870,1281,9878,1280,9886,1280,9893,1284,9906,1291,9917,1302,9925,1315,9928,1336,9926,1357,9922,1379,9917,1407,9909,1415,9906,1423,9903,1449,9894,1478,9882,1508,9869,1533,9857,1603,9817,1616,9809,1627,9801,1669,9773,1734,9773,1743,9750,1758,9710xm1734,9773l1669,9773,1674,9776,1677,9781,1681,9785,1703,9811,1706,9815,1711,9822,1715,9824,1724,9799,1734,9773xm1791,9625l1760,9629,1595,9656,1583,9659,1575,9659,1576,9663,1593,9682,1597,9687,1613,9706,1616,9710,1618,9710,1758,9710,1772,9675,1776,9665,1782,9649,1788,9633,1791,9625xe" filled="true" fillcolor="#ffffff" stroked="false">
              <v:path arrowok="t"/>
              <v:fill type="solid"/>
            </v:shape>
            <v:shape style="position:absolute;left:1642;top:9843;width:124;height:360" type="#_x0000_t75" stroked="false">
              <v:imagedata r:id="rId36" o:title=""/>
            </v:shape>
            <v:shape style="position:absolute;left:1476;top:9923;width:124;height:280" type="#_x0000_t75" stroked="false">
              <v:imagedata r:id="rId37" o:title=""/>
            </v:shape>
            <v:shape style="position:absolute;left:1311;top:10002;width:124;height:200" type="#_x0000_t75" stroked="false">
              <v:imagedata r:id="rId38" o:title=""/>
            </v:shape>
            <v:shape style="position:absolute;left:1146;top:10500;width:822;height:822" coordorigin="1146,10500" coordsize="822,822" path="m1557,10500l1483,10506,1414,10525,1350,10556,1293,10596,1243,10646,1202,10703,1172,10767,1153,10837,1146,10910,1153,10984,1172,11054,1202,11118,1243,11175,1293,11225,1350,11265,1414,11296,1483,11315,1557,11321,1631,11315,1701,11296,1765,11265,1822,11225,1872,11175,1912,11118,1942,11054,1962,10984,1968,10910,1962,10837,1942,10767,1912,10703,1872,10646,1822,10596,1765,10556,1701,10525,1631,10506,1557,10500xe" filled="true" fillcolor="#d19f2a" stroked="false">
              <v:path arrowok="t"/>
              <v:fill type="solid"/>
            </v:shape>
            <v:line style="position:absolute" from="1453,10746" to="1671,10746" stroked="true" strokeweight="1.827pt" strokecolor="#ffffff"/>
            <v:line style="position:absolute" from="1453,10925" to="1671,10925" stroked="true" strokeweight="1.824pt" strokecolor="#ffffff"/>
            <v:line style="position:absolute" from="1453,10835" to="1671,10835" stroked="true" strokeweight="1.823pt" strokecolor="#ffffff"/>
            <v:line style="position:absolute" from="1453,11015" to="1671,11015" stroked="true" strokeweight="1.846pt" strokecolor="#ffffff"/>
            <v:shape style="position:absolute;left:1352;top:10629;width:403;height:518" coordorigin="1352,10629" coordsize="403,518" path="m1682,10629l1424,10629,1409,10630,1396,10634,1383,10641,1373,10650,1364,10660,1357,10673,1353,10686,1352,10701,1352,11074,1353,11089,1357,11102,1364,11114,1373,11125,1373,11125,1383,11134,1396,11140,1409,11145,1424,11146,1682,11146,1697,11145,1710,11140,1722,11134,1733,11125,1742,11114,1745,11107,1414,11107,1406,11104,1400,11098,1400,11098,1394,11092,1390,11083,1390,10691,1394,10683,1406,10671,1414,10667,1745,10667,1742,10660,1733,10650,1733,10650,1722,10641,1710,10634,1697,10630,1682,10629xm1745,10667l1691,10667,1700,10671,1706,10677,1706,10677,1712,10683,1715,10691,1715,11083,1712,11092,1700,11104,1691,11107,1745,11107,1748,11102,1753,11089,1754,11074,1754,10701,1753,10686,1748,10673,1745,10667xm1400,11098l1400,11098,1400,11098,1400,11098xe" filled="true" fillcolor="#ffffff" stroked="false">
              <v:path arrowok="t"/>
              <v:fill type="solid"/>
            </v:shape>
            <v:shape style="position:absolute;left:-19;top:16526;width:684;height:312" coordorigin="-19,16526" coordsize="684,312" path="m1235,11144l1322,11144,1322,11087,1322,11084,1330,11080,1338,11070,1342,11065,1347,11057,1350,11050,1358,11028,1361,11011,1368,10990,1388,10956,1414,10916,1421,10907,1427,10895,1430,10883,1426,10871,1414,10863,1403,10864,1393,10871,1384,10879,1372,10891,1360,10904,1348,10916,1334,10927,1328,10932,1319,10936,1308,10936,1308,10916,1317,10902,1327,10892,1332,10887,1332,10833,1316,10838,1297,10850,1279,10864,1263,10876,1239,10893,1224,10905,1218,10919,1216,10942,1216,10971,1216,11015,1216,11058,1217,11082,1235,11144xm1881,11144l1794,11144,1794,11087,1793,11084,1785,11080,1777,11070,1773,11065,1768,11057,1765,11050,1757,11028,1754,11011,1747,10990,1728,10956,1701,10916,1695,10907,1688,10895,1685,10883,1690,10871,1701,10863,1712,10864,1723,10871,1732,10879,1744,10891,1756,10904,1768,10916,1781,10927,1787,10932,1796,10936,1807,10936,1807,10916,1799,10902,1788,10892,1783,10887,1783,10833,1800,10838,1818,10850,1836,10864,1852,10876,1876,10893,1891,10905,1898,10919,1899,10942,1899,10971,1900,11015,1899,11058,1899,11082,1881,11144xe" filled="false" stroked="true" strokeweight=".966pt" strokecolor="#d19f2a">
              <v:path arrowok="t"/>
            </v:shape>
            <v:shape style="position:absolute;left:1216;top:10833;width:215;height:312" coordorigin="1216,10833" coordsize="215,312" path="m1332,10833l1316,10838,1297,10850,1263,10876,1239,10893,1224,10905,1218,10919,1216,10942,1216,11058,1217,11082,1235,11144,1322,11144,1322,11087,1322,11084,1330,11080,1342,11065,1347,11057,1350,11050,1358,11028,1361,11011,1368,10990,1388,10956,1401,10936,1319,10936,1308,10936,1308,10927,1308,10916,1317,10902,1327,10892,1332,10887,1332,10833xm1414,10863l1403,10864,1393,10871,1384,10879,1372,10891,1360,10904,1348,10916,1334,10927,1328,10932,1319,10936,1401,10936,1414,10916,1421,10907,1427,10895,1430,10883,1426,10871,1414,10863xe" filled="true" fillcolor="#ffffff" stroked="false">
              <v:path arrowok="t"/>
              <v:fill type="solid"/>
            </v:shape>
            <v:shape style="position:absolute;left:1685;top:10833;width:215;height:312" coordorigin="1685,10833" coordsize="215,312" path="m1701,10863l1690,10871,1685,10883,1688,10895,1695,10907,1702,10916,1728,10956,1747,10990,1754,11011,1757,11028,1765,11050,1768,11057,1773,11065,1785,11080,1793,11084,1794,11087,1794,11144,1881,11144,1899,11082,1899,11058,1899,10942,1899,10936,1796,10936,1788,10932,1781,10927,1768,10916,1756,10904,1744,10891,1732,10879,1723,10871,1712,10864,1701,10863xm1783,10833l1783,10887,1788,10892,1799,10902,1807,10916,1807,10927,1807,10936,1796,10936,1899,10936,1898,10919,1891,10905,1876,10893,1852,10876,1818,10850,1800,10838,1783,10833xe" filled="true" fillcolor="#ffffff" stroked="false">
              <v:path arrowok="t"/>
              <v:fill type="solid"/>
            </v:shape>
            <v:shape style="position:absolute;left:1152;top:5275;width:822;height:822" type="#_x0000_t75" stroked="false">
              <v:imagedata r:id="rId39" o:title=""/>
            </v:shape>
            <v:shape style="position:absolute;left:1300;top:5325;width:310;height:287" type="#_x0000_t75" stroked="false">
              <v:imagedata r:id="rId40" o:title=""/>
            </v:shape>
            <v:shape style="position:absolute;left:1146;top:2301;width:822;height:822" coordorigin="1146,2301" coordsize="822,822" path="m1557,2301l1483,2307,1414,2326,1350,2357,1293,2397,1243,2447,1202,2504,1172,2568,1153,2638,1146,2711,1153,2785,1172,2855,1202,2919,1243,2976,1293,3026,1350,3066,1414,3097,1483,3116,1557,3122,1631,3116,1701,3097,1765,3066,1822,3026,1872,2976,1912,2919,1942,2855,1962,2785,1968,2711,1962,2638,1942,2568,1912,2504,1872,2447,1822,2397,1765,2357,1701,2326,1631,2307,1557,2301xe" filled="true" fillcolor="#d19f2a" stroked="false">
              <v:path arrowok="t"/>
              <v:fill type="solid"/>
            </v:shape>
            <v:shape style="position:absolute;left:1258;top:2412;width:599;height:556" coordorigin="1258,2412" coordsize="599,556" path="m1677,2412l1659,2413,1642,2417,1626,2422,1611,2428,1599,2435,1588,2442,1578,2450,1568,2459,1563,2464,1555,2472,1551,2477,1544,2487,1532,2509,1522,2532,1517,2557,1515,2584,1516,2607,1519,2617,1516,2623,1504,2635,1263,2876,1259,2877,1258,2885,1258,2928,1275,2942,1283,2950,1298,2967,1385,2967,1393,2961,1408,2947,1423,2932,1429,2923,1301,2923,1301,2883,1300,2883,1301,2879,1305,2879,1397,2786,1457,2726,1495,2688,1515,2669,1833,2669,1841,2654,1849,2635,1854,2615,1856,2596,1856,2582,1736,2582,1711,2579,1702,2573,1693,2564,1688,2553,1685,2540,1695,2513,1719,2499,1835,2499,1824,2481,1810,2464,1795,2450,1778,2439,1759,2428,1739,2419,1720,2415,1700,2412,1677,2412xm1515,2710l1331,2894,1316,2910,1308,2918,1301,2923,1429,2923,1429,2882,1472,2882,1472,2839,1515,2839,1515,2796,1599,2796,1608,2789,1624,2774,1639,2758,1647,2750,1719,2750,1734,2747,1773,2730,1794,2714,1515,2714,1515,2710xm1301,2882l1300,2883,1301,2883,1301,2882xm1305,2879l1301,2879,1301,2882,1305,2879xm1719,2750l1647,2750,1659,2751,1667,2752,1676,2753,1693,2754,1719,2750xm1799,2710l1515,2710,1515,2714,1794,2714,1799,2710xm1833,2669l1515,2669,1515,2710,1515,2710,1799,2710,1806,2704,1832,2672,1833,2669xm1835,2499l1719,2499,1746,2501,1767,2523,1770,2548,1758,2570,1736,2582,1856,2582,1856,2568,1853,2545,1846,2522,1837,2501,1835,2499xe" filled="true" fillcolor="#ffffff" stroked="false">
              <v:path arrowok="t"/>
              <v:fill type="solid"/>
            </v:shape>
            <w10:wrap type="none"/>
          </v:group>
        </w:pict>
      </w:r>
      <w:r>
        <w:rPr>
          <w:rFonts w:ascii="Myriad Pro" w:hAnsi="Myriad Pro"/>
          <w:color w:val="6D6E71"/>
          <w:sz w:val="16"/>
        </w:rPr>
        <w:t>Module 2 - CADRES D’APPLICATION ET DE SUIVI DE LA CONVENTION DES NATIONS UNIES RELATIVE AUX DROITS DES</w:t>
      </w:r>
    </w:p>
    <w:p>
      <w:pPr>
        <w:spacing w:before="0"/>
        <w:ind w:left="0" w:right="0" w:firstLine="0"/>
        <w:jc w:val="right"/>
        <w:rPr>
          <w:rFonts w:ascii="Myriad Pro" w:hAnsi="Myriad Pro"/>
          <w:sz w:val="16"/>
        </w:rPr>
      </w:pPr>
      <w:r>
        <w:rPr>
          <w:rFonts w:ascii="Myriad Pro" w:hAnsi="Myriad Pro"/>
          <w:color w:val="6D6E71"/>
          <w:sz w:val="16"/>
        </w:rPr>
        <w:t>PERSONNES HANDICAPÉES</w:t>
      </w:r>
    </w:p>
    <w:p>
      <w:pPr>
        <w:pStyle w:val="Heading4"/>
        <w:tabs>
          <w:tab w:pos="1093" w:val="left" w:leader="none"/>
        </w:tabs>
        <w:ind w:left="186"/>
      </w:pPr>
      <w:r>
        <w:rPr/>
        <w:br w:type="column"/>
      </w:r>
      <w:r>
        <w:rPr>
          <w:color w:val="FFFFFF"/>
          <w:spacing w:val="21"/>
          <w:shd w:fill="D19F2A" w:color="auto" w:val="clear"/>
        </w:rPr>
        <w:t> </w:t>
      </w:r>
      <w:r>
        <w:rPr>
          <w:color w:val="FFFFFF"/>
          <w:shd w:fill="D19F2A" w:color="auto" w:val="clear"/>
        </w:rPr>
        <w:t>21</w:t>
        <w:tab/>
      </w:r>
    </w:p>
    <w:p>
      <w:pPr>
        <w:spacing w:after="0"/>
        <w:sectPr>
          <w:type w:val="continuous"/>
          <w:pgSz w:w="11910" w:h="16840"/>
          <w:pgMar w:top="1600" w:bottom="280" w:left="1000" w:right="1640"/>
          <w:cols w:num="2" w:equalWidth="0">
            <w:col w:w="8015" w:space="40"/>
            <w:col w:w="1215"/>
          </w:cols>
        </w:sectPr>
      </w:pPr>
    </w:p>
    <w:p>
      <w:pPr>
        <w:spacing w:before="57"/>
        <w:ind w:left="1252" w:right="1263"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32.7pt;mso-position-horizontal-relative:page;mso-position-vertical-relative:paragraph;z-index:3472;mso-wrap-distance-left:0;mso-wrap-distance-right:0" type="#_x0000_t202" filled="true" fillcolor="#231f20" stroked="false">
            <v:textbox inset="0,0,0,0">
              <w:txbxContent>
                <w:p>
                  <w:pPr>
                    <w:spacing w:before="32"/>
                    <w:ind w:left="1135" w:right="1135" w:firstLine="0"/>
                    <w:jc w:val="center"/>
                    <w:rPr>
                      <w:rFonts w:ascii="Myriad Pro" w:hAnsi="Myriad Pro"/>
                      <w:b/>
                      <w:sz w:val="22"/>
                    </w:rPr>
                  </w:pPr>
                  <w:r>
                    <w:rPr>
                      <w:rFonts w:ascii="Myriad Pro" w:hAnsi="Myriad Pro"/>
                      <w:b/>
                      <w:color w:val="FFFFFF"/>
                      <w:sz w:val="22"/>
                    </w:rPr>
                    <w:t>Activité d’apprentissage 2.C.2 :</w:t>
                  </w:r>
                </w:p>
                <w:p>
                  <w:pPr>
                    <w:spacing w:before="18"/>
                    <w:ind w:left="1135" w:right="1135" w:firstLine="0"/>
                    <w:jc w:val="center"/>
                    <w:rPr>
                      <w:rFonts w:ascii="Myriad Pro" w:hAnsi="Myriad Pro"/>
                      <w:b/>
                      <w:i/>
                      <w:sz w:val="22"/>
                    </w:rPr>
                  </w:pPr>
                  <w:r>
                    <w:rPr>
                      <w:rFonts w:ascii="Myriad Pro" w:hAnsi="Myriad Pro"/>
                      <w:b/>
                      <w:i/>
                      <w:color w:val="FFFFFF"/>
                      <w:sz w:val="22"/>
                    </w:rPr>
                    <w:t>Rôles et responsabilités en matière d’application et de suivi</w:t>
                  </w:r>
                </w:p>
              </w:txbxContent>
            </v:textbox>
            <v:fill type="solid"/>
            <w10:wrap type="topAndBottom"/>
          </v:shape>
        </w:pict>
      </w:r>
    </w:p>
    <w:p>
      <w:pPr>
        <w:pStyle w:val="BodyText"/>
        <w:spacing w:before="4"/>
        <w:rPr>
          <w:rFonts w:ascii="Myriad Pro"/>
          <w:sz w:val="9"/>
        </w:rPr>
      </w:pPr>
    </w:p>
    <w:p>
      <w:pPr>
        <w:spacing w:before="59"/>
        <w:ind w:left="1251" w:right="0" w:firstLine="0"/>
        <w:jc w:val="left"/>
        <w:rPr>
          <w:rFonts w:ascii="Myriad Pro" w:hAnsi="Myriad Pro"/>
          <w:b/>
          <w:i/>
          <w:sz w:val="22"/>
        </w:rPr>
      </w:pPr>
      <w:r>
        <w:rPr>
          <w:rFonts w:ascii="Myriad Pro" w:hAnsi="Myriad Pro"/>
          <w:b/>
          <w:i/>
          <w:color w:val="231F20"/>
          <w:sz w:val="22"/>
        </w:rPr>
        <w:t>Objectif : Réfléchir à la manière dont se déroule le suivi indépendant de la CDPH.</w:t>
      </w:r>
    </w:p>
    <w:p>
      <w:pPr>
        <w:pStyle w:val="BodyText"/>
        <w:spacing w:line="266" w:lineRule="auto" w:before="142"/>
        <w:ind w:left="1251" w:right="230"/>
        <w:rPr>
          <w:b w:val="0"/>
        </w:rPr>
      </w:pPr>
      <w:r>
        <w:rPr>
          <w:b w:val="0"/>
          <w:color w:val="231F20"/>
        </w:rPr>
        <w:t>La CDPH définit un cadre d’application et de suivi au niveau national. Cela inclut (1) un rôle pour un point de contact du gouvernement dans la progression de l’application ; (2) un rôle d’une institution nationale indépendante dans le suivi de l’application ; et (3) un rôle pour la société civile.</w:t>
      </w:r>
    </w:p>
    <w:p>
      <w:pPr>
        <w:pStyle w:val="BodyText"/>
        <w:spacing w:line="266" w:lineRule="auto" w:before="114"/>
        <w:ind w:left="1251" w:right="235"/>
        <w:rPr>
          <w:b w:val="0"/>
        </w:rPr>
      </w:pPr>
      <w:r>
        <w:rPr>
          <w:b w:val="0"/>
          <w:color w:val="231F20"/>
        </w:rPr>
        <w:t>Pour cette activité, le groupe sera divisé en trois : une première partie représentera le gouvernement, une deuxième, l’institution indépendante nationale et la troisième partie sera une organisation de la société civile. Le formateur vous expliquera brièvement le contexte de la situation en matière d’application et de suivi.</w:t>
      </w:r>
    </w:p>
    <w:p>
      <w:pPr>
        <w:pStyle w:val="Heading5"/>
        <w:ind w:left="1251"/>
      </w:pPr>
      <w:r>
        <w:rPr>
          <w:color w:val="231F20"/>
        </w:rPr>
        <w:t>Partie 1 – Préparation du jeu de rôles</w:t>
      </w:r>
    </w:p>
    <w:p>
      <w:pPr>
        <w:pStyle w:val="BodyText"/>
        <w:spacing w:line="266" w:lineRule="auto" w:before="142"/>
        <w:ind w:left="1251" w:right="245"/>
        <w:rPr>
          <w:b w:val="0"/>
        </w:rPr>
      </w:pPr>
      <w:r>
        <w:rPr>
          <w:b w:val="0"/>
          <w:color w:val="231F20"/>
        </w:rPr>
        <w:t>Discutez dans votre groupe de ce que vous pensez être les rôles et responsabilités du groupe que vous représentez, en termes d’application et de suivi, compte tenu du contexte précisé par le formateur. Établissez une liste des meilleures pratiques et une autre des pires pratiques que votre groupe pourrait adopter dans cette situation ou</w:t>
      </w:r>
      <w:r>
        <w:rPr>
          <w:b w:val="0"/>
          <w:color w:val="231F20"/>
          <w:spacing w:val="-19"/>
        </w:rPr>
        <w:t> </w:t>
      </w:r>
      <w:r>
        <w:rPr>
          <w:b w:val="0"/>
          <w:color w:val="231F20"/>
        </w:rPr>
        <w:t>dans ce contexte. Choisissez deux personnes pour représenter votre groupe pendant le jeu de rôles et décidez, parmi vos listes de « meilleures » et de « pires » pratiques, celles que vous allez défendre. Si vous choisissez des « pires » pratiques, il sera intéressant de voir comment les deux autres groupes réagissent et </w:t>
      </w:r>
      <w:r>
        <w:rPr>
          <w:b w:val="0"/>
          <w:color w:val="231F20"/>
          <w:spacing w:val="-3"/>
        </w:rPr>
        <w:t>s’ils </w:t>
      </w:r>
      <w:r>
        <w:rPr>
          <w:b w:val="0"/>
          <w:color w:val="231F20"/>
        </w:rPr>
        <w:t>relèvent ce que vous pensez</w:t>
      </w:r>
      <w:r>
        <w:rPr>
          <w:b w:val="0"/>
          <w:color w:val="231F20"/>
          <w:spacing w:val="-17"/>
        </w:rPr>
        <w:t> </w:t>
      </w:r>
      <w:r>
        <w:rPr>
          <w:b w:val="0"/>
          <w:color w:val="231F20"/>
        </w:rPr>
        <w:t>être</w:t>
      </w:r>
    </w:p>
    <w:p>
      <w:pPr>
        <w:pStyle w:val="BodyText"/>
        <w:spacing w:line="266" w:lineRule="auto"/>
        <w:ind w:left="1251" w:right="146"/>
        <w:rPr>
          <w:b w:val="0"/>
        </w:rPr>
      </w:pPr>
      <w:r>
        <w:rPr>
          <w:b w:val="0"/>
          <w:color w:val="231F20"/>
        </w:rPr>
        <w:t>mauvais. Vous allez rencontrer les représentants des deux autres parties pour convenir de la façon de faire progresser l’application et le suivi de la CDPH et, bien sûr, vous aimeriez vous en charger le plus possible.</w:t>
      </w:r>
    </w:p>
    <w:p>
      <w:pPr>
        <w:pStyle w:val="Heading5"/>
        <w:ind w:left="1251"/>
      </w:pPr>
      <w:r>
        <w:rPr>
          <w:color w:val="231F20"/>
        </w:rPr>
        <w:t>Partie 2 – Le jeu de rôles</w:t>
      </w:r>
    </w:p>
    <w:p>
      <w:pPr>
        <w:pStyle w:val="BodyText"/>
        <w:spacing w:line="266" w:lineRule="auto" w:before="142"/>
        <w:ind w:left="1251" w:right="119"/>
        <w:rPr>
          <w:b w:val="0"/>
        </w:rPr>
      </w:pPr>
      <w:r>
        <w:rPr>
          <w:b w:val="0"/>
          <w:color w:val="231F20"/>
        </w:rPr>
        <w:t>Les deux personnes désignées représenteront votre groupe. Vous pouvez aussi attribuer des rôles aux autres membres de votre équipe. Chaque personne doit avoir une « carte à son nom » placée sur la table, de façon à ce que tout le monde sache qui elle représente et qui prend la parole. Les deux personnes désignées doivent tenir les rôles et assumer les responsabilités que le groupe leur a confiés. Les autres doivent les soutenir et développer leurs idées.</w:t>
      </w:r>
    </w:p>
    <w:p>
      <w:pPr>
        <w:pStyle w:val="Heading5"/>
        <w:ind w:left="1251"/>
      </w:pPr>
      <w:r>
        <w:rPr>
          <w:color w:val="231F20"/>
        </w:rPr>
        <w:t>Partie 3 – Réflexions</w:t>
      </w:r>
    </w:p>
    <w:p>
      <w:pPr>
        <w:pStyle w:val="BodyText"/>
        <w:spacing w:before="142"/>
        <w:ind w:left="1251" w:right="1263"/>
        <w:rPr>
          <w:b w:val="0"/>
        </w:rPr>
      </w:pPr>
      <w:r>
        <w:rPr>
          <w:b w:val="0"/>
          <w:color w:val="231F20"/>
        </w:rPr>
        <w:t>De retour dans votre groupe, réfléchissez à ce qui suit :</w:t>
      </w:r>
    </w:p>
    <w:p>
      <w:pPr>
        <w:pStyle w:val="ListParagraph"/>
        <w:numPr>
          <w:ilvl w:val="1"/>
          <w:numId w:val="2"/>
        </w:numPr>
        <w:tabs>
          <w:tab w:pos="1992" w:val="left" w:leader="none"/>
        </w:tabs>
        <w:spacing w:line="240" w:lineRule="auto" w:before="112" w:after="0"/>
        <w:ind w:left="1991" w:right="406" w:hanging="400"/>
        <w:jc w:val="left"/>
        <w:rPr>
          <w:b w:val="0"/>
          <w:sz w:val="22"/>
        </w:rPr>
      </w:pPr>
      <w:r>
        <w:rPr>
          <w:b w:val="0"/>
          <w:color w:val="231F20"/>
          <w:sz w:val="22"/>
        </w:rPr>
        <w:t>En ce qui concerne la CDPH, quelles meilleures pratiques avez-vous identifiées dans chacun des trois groupes</w:t>
      </w:r>
      <w:r>
        <w:rPr>
          <w:b w:val="0"/>
          <w:color w:val="231F20"/>
          <w:spacing w:val="-8"/>
          <w:sz w:val="22"/>
        </w:rPr>
        <w:t> </w:t>
      </w:r>
      <w:r>
        <w:rPr>
          <w:b w:val="0"/>
          <w:color w:val="231F20"/>
          <w:sz w:val="22"/>
        </w:rPr>
        <w:t>?</w:t>
      </w:r>
    </w:p>
    <w:p>
      <w:pPr>
        <w:pStyle w:val="ListParagraph"/>
        <w:numPr>
          <w:ilvl w:val="1"/>
          <w:numId w:val="2"/>
        </w:numPr>
        <w:tabs>
          <w:tab w:pos="1992" w:val="left" w:leader="none"/>
        </w:tabs>
        <w:spacing w:line="240" w:lineRule="auto" w:before="112" w:after="0"/>
        <w:ind w:left="1991" w:right="0" w:hanging="400"/>
        <w:jc w:val="left"/>
        <w:rPr>
          <w:b w:val="0"/>
          <w:sz w:val="22"/>
        </w:rPr>
      </w:pPr>
      <w:r>
        <w:rPr>
          <w:b w:val="0"/>
          <w:color w:val="231F20"/>
          <w:sz w:val="22"/>
        </w:rPr>
        <w:t>Et quelles « pires » pratiques avez-vous relevées</w:t>
      </w:r>
      <w:r>
        <w:rPr>
          <w:b w:val="0"/>
          <w:color w:val="231F20"/>
          <w:spacing w:val="-16"/>
          <w:sz w:val="22"/>
        </w:rPr>
        <w:t> </w:t>
      </w:r>
      <w:r>
        <w:rPr>
          <w:b w:val="0"/>
          <w:color w:val="231F20"/>
          <w:sz w:val="22"/>
        </w:rPr>
        <w:t>?</w:t>
      </w:r>
    </w:p>
    <w:p>
      <w:pPr>
        <w:pStyle w:val="ListParagraph"/>
        <w:numPr>
          <w:ilvl w:val="1"/>
          <w:numId w:val="2"/>
        </w:numPr>
        <w:tabs>
          <w:tab w:pos="1992" w:val="left" w:leader="none"/>
        </w:tabs>
        <w:spacing w:line="240" w:lineRule="auto" w:before="112" w:after="0"/>
        <w:ind w:left="1991" w:right="404" w:hanging="400"/>
        <w:jc w:val="left"/>
        <w:rPr>
          <w:b w:val="0"/>
          <w:sz w:val="22"/>
        </w:rPr>
      </w:pPr>
      <w:r>
        <w:rPr>
          <w:b w:val="0"/>
          <w:color w:val="231F20"/>
          <w:sz w:val="22"/>
        </w:rPr>
        <w:t>Comment les pays peuvent-ils respecter les exigences d’application et de</w:t>
      </w:r>
      <w:r>
        <w:rPr>
          <w:b w:val="0"/>
          <w:color w:val="231F20"/>
          <w:spacing w:val="-12"/>
          <w:sz w:val="22"/>
        </w:rPr>
        <w:t> </w:t>
      </w:r>
      <w:r>
        <w:rPr>
          <w:b w:val="0"/>
          <w:color w:val="231F20"/>
          <w:sz w:val="22"/>
        </w:rPr>
        <w:t>suivi dans un contexte de ressources limitées tout en respectant la CDPH</w:t>
      </w:r>
      <w:r>
        <w:rPr>
          <w:b w:val="0"/>
          <w:color w:val="231F20"/>
          <w:spacing w:val="-13"/>
          <w:sz w:val="22"/>
        </w:rPr>
        <w:t> </w:t>
      </w:r>
      <w:r>
        <w:rPr>
          <w:b w:val="0"/>
          <w:color w:val="231F20"/>
          <w:sz w:val="22"/>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1910" w:h="16840"/>
          <w:pgMar w:top="360" w:bottom="0" w:left="1640" w:right="1020"/>
        </w:sectPr>
      </w:pPr>
    </w:p>
    <w:p>
      <w:pPr>
        <w:pStyle w:val="BodyText"/>
        <w:spacing w:before="2"/>
        <w:rPr>
          <w:b w:val="0"/>
          <w:sz w:val="20"/>
        </w:rPr>
      </w:pPr>
      <w:r>
        <w:rPr/>
        <w:pict>
          <v:group style="position:absolute;margin-left:0pt;margin-top:0pt;width:595.3pt;height:841.9pt;mso-position-horizontal-relative:page;mso-position-vertical-relative:page;z-index:-50800" coordorigin="0,0" coordsize="11906,16838">
            <v:rect style="position:absolute;left:2665;top:0;width:9241;height:16838" filled="true" fillcolor="#f8f0e2" stroked="false">
              <v:fill type="solid"/>
            </v:rect>
            <v:shape style="position:absolute;left:0;top:0;width:2663;height:16838" type="#_x0000_t75" stroked="false">
              <v:imagedata r:id="rId28" o:title=""/>
            </v:shape>
            <v:rect style="position:absolute;left:0;top:0;width:397;height:16838" filled="true" fillcolor="#d19f2a" stroked="false">
              <v:fill type="solid"/>
            </v:rect>
            <v:shape style="position:absolute;left:1762;top:1361;width:827;height:822" coordorigin="1762,1361" coordsize="827,822" path="m1871,1387l1870,1387,1857,1389,1843,1395,1830,1401,1821,1407,1810,1415,1801,1423,1793,1432,1786,1442,1771,1469,1765,1495,1763,1524,1763,1995,1762,2018,1763,2050,1767,2080,1777,2110,1791,2131,1808,2149,1830,2164,1854,2175,1883,2181,1919,2182,2429,2181,2444,2180,2458,2178,2473,2173,2508,2155,2535,2127,2548,2102,1942,2102,1916,2101,1893,2096,1871,2084,1854,2065,1845,2043,1842,2020,1842,1995,1842,1633,1841,1588,1841,1574,1842,1547,1844,1524,1848,1513,1853,1503,1859,1494,1866,1487,1873,1481,1883,1474,1894,1468,1905,1466,1916,1463,1934,1463,2231,1463,2241,1462,2251,1453,2270,1434,2303,1401,2311,1393,2314,1390,2317,1389,2317,1387,1873,1387,1871,1387xm2560,1624l2549,1635,2527,1657,2487,1697,2484,1700,2481,1701,2481,1705,2481,2018,2477,2044,2468,2065,2455,2081,2438,2093,2426,2098,2414,2101,2402,2102,1972,2102,1942,2102,2548,2102,2553,2091,2560,2049,2561,1995,2561,1828,2561,1727,2561,1705,2561,1657,2560,1624xm1998,1936l1996,1939,1995,1940,1992,1953,1998,1952,2001,1952,2002,1951,1994,1951,1995,1945,1997,1940,1998,1936xm2047,1761l2038,1794,2021,1853,2005,1909,1998,1936,1997,1940,1995,1945,1994,1951,2005,1949,2186,1898,2164,1875,2117,1828,2070,1782,2047,1761xm2005,1949l1994,1951,2002,1951,2005,1949xm2374,1436l2366,1443,2355,1454,2336,1473,2068,1739,2079,1752,2101,1774,2137,1809,2173,1846,2195,1867,2207,1878,2233,1853,2499,1588,2509,1581,2512,1574,2491,1551,2445,1505,2398,1459,2374,1436xm2465,1361l2452,1363,2442,1369,2434,1376,2427,1383,2410,1399,2401,1408,2396,1414,2534,1552,2542,1545,2550,1537,2558,1529,2565,1522,2573,1515,2580,1506,2586,1496,2588,1484,2586,1471,2580,1460,2573,1452,2566,1445,2521,1401,2512,1392,2504,1384,2497,1377,2489,1369,2478,1363,2465,1361xm2231,1463l1934,1463,1953,1463,1964,1463,2111,1463,2200,1463,2231,1463xm1874,1385l1874,1386,1874,1386,1873,1387,2317,1387,2317,1387,1882,1387,1874,1385xm2151,1384l1892,1385,1882,1387,2317,1387,2318,1385,2151,1384xe" filled="true" fillcolor="#d19f2a" stroked="false">
              <v:path arrowok="t"/>
              <v:fill type="solid"/>
            </v:shape>
            <w10:wrap type="none"/>
          </v:group>
        </w:pict>
      </w:r>
    </w:p>
    <w:p>
      <w:pPr>
        <w:pStyle w:val="Heading4"/>
        <w:tabs>
          <w:tab w:pos="699" w:val="left" w:leader="none"/>
          <w:tab w:pos="1022" w:val="left" w:leader="none"/>
        </w:tabs>
        <w:spacing w:before="0"/>
      </w:pPr>
      <w:r>
        <w:rPr>
          <w:color w:val="FFFFFF"/>
          <w:shd w:fill="D19F2A" w:color="auto" w:val="clear"/>
        </w:rPr>
        <w:t> </w:t>
        <w:tab/>
        <w:t>22</w:t>
        <w:tab/>
      </w:r>
    </w:p>
    <w:p>
      <w:pPr>
        <w:pStyle w:val="BodyText"/>
        <w:spacing w:before="5"/>
        <w:rPr>
          <w:rFonts w:ascii="Myriad Pro"/>
          <w:sz w:val="16"/>
        </w:rPr>
      </w:pPr>
      <w:r>
        <w:rPr/>
        <w:br w:type="column"/>
      </w:r>
      <w:r>
        <w:rPr>
          <w:rFonts w:ascii="Myriad Pro"/>
          <w:sz w:val="16"/>
        </w:rPr>
      </w:r>
    </w:p>
    <w:p>
      <w:pPr>
        <w:spacing w:before="0"/>
        <w:ind w:left="858" w:right="242" w:hanging="743"/>
        <w:jc w:val="left"/>
        <w:rPr>
          <w:rFonts w:ascii="Myriad Pro" w:hAnsi="Myriad Pro"/>
          <w:sz w:val="16"/>
        </w:rPr>
      </w:pP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034" w:right="1263"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before="68"/>
        <w:ind w:left="113"/>
        <w:jc w:val="both"/>
        <w:rPr>
          <w:b w:val="0"/>
        </w:rPr>
      </w:pPr>
      <w:r>
        <w:rPr>
          <w:b w:val="0"/>
          <w:color w:val="231F20"/>
        </w:rPr>
        <w:t>Préparez-vous à rendre compte de vos réponses à ces trois questions en classe entière.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66" w:lineRule="auto" w:before="168"/>
        <w:ind w:left="113" w:right="1469"/>
        <w:jc w:val="both"/>
        <w:rPr>
          <w:b w:val="0"/>
        </w:rPr>
      </w:pPr>
      <w:r>
        <w:rPr>
          <w:b w:val="0"/>
          <w:color w:val="231F20"/>
        </w:rPr>
        <w:t>Vous avez 2 minutes pour terminer la partie 1, 10 minutes pour la partie 2 et 30 minutes pour arriver à la fin de la partie 3. Préparez-vous à rendre compte de vos idées en classe entière.</w:t>
      </w:r>
    </w:p>
    <w:p>
      <w:pPr>
        <w:pStyle w:val="BodyText"/>
        <w:rPr>
          <w:b w:val="0"/>
          <w:sz w:val="20"/>
        </w:rPr>
      </w:pPr>
    </w:p>
    <w:p>
      <w:pPr>
        <w:pStyle w:val="BodyText"/>
        <w:spacing w:before="7"/>
        <w:rPr>
          <w:b w:val="0"/>
          <w:sz w:val="23"/>
        </w:rPr>
      </w:pPr>
    </w:p>
    <w:p>
      <w:pPr>
        <w:spacing w:after="0"/>
        <w:rPr>
          <w:sz w:val="23"/>
        </w:rPr>
        <w:sectPr>
          <w:pgSz w:w="11910" w:h="16840"/>
          <w:pgMar w:top="360" w:bottom="0" w:left="1020" w:right="1640"/>
        </w:sectPr>
      </w:pPr>
    </w:p>
    <w:p>
      <w:pPr>
        <w:spacing w:line="192" w:lineRule="exact" w:before="74"/>
        <w:ind w:left="0" w:right="0" w:firstLine="0"/>
        <w:jc w:val="right"/>
        <w:rPr>
          <w:rFonts w:ascii="Myriad Pro" w:hAnsi="Myriad Pro"/>
          <w:sz w:val="16"/>
        </w:rPr>
      </w:pPr>
      <w:r>
        <w:rPr/>
        <w:pict>
          <v:group style="position:absolute;margin-left:0pt;margin-top:0pt;width:595.3pt;height:841.9pt;mso-position-horizontal-relative:page;mso-position-vertical-relative:page;z-index:-50776" coordorigin="0,0" coordsize="11906,16838">
            <v:rect style="position:absolute;left:0;top:0;width:9241;height:16838" filled="true" fillcolor="#f8f0e2" stroked="false">
              <v:fill type="solid"/>
            </v:rect>
            <v:shape style="position:absolute;left:9243;top:0;width:2663;height:16838" type="#_x0000_t75" stroked="false">
              <v:imagedata r:id="rId27" o:title=""/>
            </v:shape>
            <v:rect style="position:absolute;left:11509;top:0;width:397;height:16838" filled="true" fillcolor="#d19f2a" stroked="false">
              <v:fill type="solid"/>
            </v:rect>
            <v:line style="position:absolute" from="1134,2202" to="9014,2202" stroked="true" strokeweight=".35pt" strokecolor="#231f20"/>
            <v:line style="position:absolute" from="1134,2649" to="9014,2649" stroked="true" strokeweight=".35pt" strokecolor="#231f20"/>
            <v:line style="position:absolute" from="1134,3096" to="9014,3096" stroked="true" strokeweight=".35pt" strokecolor="#231f20"/>
            <v:line style="position:absolute" from="1134,3543" to="9014,3543" stroked="true" strokeweight=".35pt" strokecolor="#231f20"/>
            <v:line style="position:absolute" from="1134,3989" to="9014,3989" stroked="true" strokeweight=".35pt" strokecolor="#231f20"/>
            <v:line style="position:absolute" from="1134,4436" to="9014,4436" stroked="true" strokeweight=".35pt" strokecolor="#231f20"/>
            <v:line style="position:absolute" from="1134,4883" to="9014,4883" stroked="true" strokeweight=".35pt" strokecolor="#231f20"/>
            <v:line style="position:absolute" from="1134,5330" to="9014,5330" stroked="true" strokeweight=".35pt" strokecolor="#231f20"/>
            <v:line style="position:absolute" from="1134,5776" to="9014,5776" stroked="true" strokeweight=".35pt" strokecolor="#231f20"/>
            <v:line style="position:absolute" from="1134,6223" to="9014,6223" stroked="true" strokeweight=".35pt" strokecolor="#231f20"/>
            <v:line style="position:absolute" from="1134,6670" to="9014,6670" stroked="true" strokeweight=".35pt" strokecolor="#231f20"/>
            <v:line style="position:absolute" from="1134,7117" to="9014,7117" stroked="true" strokeweight=".35pt" strokecolor="#231f20"/>
            <v:line style="position:absolute" from="1134,7563" to="9014,7563" stroked="true" strokeweight=".35pt" strokecolor="#231f20"/>
            <v:line style="position:absolute" from="1134,8010" to="9014,8010" stroked="true" strokeweight=".35pt" strokecolor="#231f20"/>
            <v:line style="position:absolute" from="1134,8457" to="9014,8457" stroked="true" strokeweight=".35pt" strokecolor="#231f20"/>
            <v:line style="position:absolute" from="1134,8904" to="9014,8904" stroked="true" strokeweight=".35pt" strokecolor="#231f20"/>
            <v:line style="position:absolute" from="1134,9351" to="9014,9351" stroked="true" strokeweight=".35pt" strokecolor="#231f20"/>
            <v:line style="position:absolute" from="1134,9797" to="9014,9797" stroked="true" strokeweight=".35pt" strokecolor="#231f20"/>
            <v:line style="position:absolute" from="1134,10244" to="9014,10244" stroked="true" strokeweight=".35pt" strokecolor="#231f20"/>
            <v:line style="position:absolute" from="1134,10691" to="9014,10691" stroked="true" strokeweight=".35pt" strokecolor="#231f20"/>
            <v:line style="position:absolute" from="1134,11138" to="9014,11138" stroked="true" strokeweight=".35pt" strokecolor="#231f20"/>
            <v:line style="position:absolute" from="1134,11584" to="9014,11584" stroked="true" strokeweight=".35pt" strokecolor="#231f20"/>
            <v:line style="position:absolute" from="1134,12031" to="9014,12031" stroked="true" strokeweight=".35pt" strokecolor="#231f20"/>
            <v:line style="position:absolute" from="1134,12478" to="9014,12478" stroked="true" strokeweight=".35pt" strokecolor="#231f20"/>
            <v:line style="position:absolute" from="1134,12925" to="9014,12925" stroked="true" strokeweight=".35pt" strokecolor="#231f20"/>
            <v:line style="position:absolute" from="1134,13372" to="9014,13372" stroked="true" strokeweight=".35pt" strokecolor="#231f20"/>
            <v:line style="position:absolute" from="1134,13818" to="9014,13818" stroked="true" strokeweight=".35pt" strokecolor="#231f20"/>
            <v:line style="position:absolute" from="1134,14265" to="9014,14265" stroked="true" strokeweight=".35pt" strokecolor="#231f20"/>
            <v:line style="position:absolute" from="1134,15545" to="9014,15545" stroked="true" strokeweight="1pt" strokecolor="#d19f2a"/>
            <v:shape style="position:absolute;left:9317;top:1361;width:827;height:822" coordorigin="9317,1361" coordsize="827,822" path="m9426,1387l9424,1387,9412,1389,9398,1395,9385,1401,9375,1407,9365,1415,9356,1423,9347,1432,9340,1442,9326,1469,9319,1495,9317,1524,9317,1995,9317,2018,9317,2050,9321,2080,9332,2110,9345,2131,9363,2149,9384,2164,9408,2175,9438,2181,9473,2182,9983,2181,9998,2180,10013,2178,10028,2173,10062,2155,10089,2127,10102,2102,9496,2102,9470,2101,9447,2096,9426,2084,9408,2065,9400,2043,9397,2020,9396,1995,9396,1633,9396,1588,9396,1574,9396,1547,9399,1524,9403,1513,9408,1503,9414,1494,9420,1487,9427,1481,9437,1474,9448,1468,9459,1466,9470,1463,9489,1463,9786,1463,9795,1462,9805,1453,9824,1434,9858,1401,9865,1393,9868,1390,9871,1389,9872,1387,9427,1387,9426,1387xm10115,1624l10103,1635,10081,1657,10041,1697,10038,1700,10036,1701,10035,1705,10035,2018,10032,2044,10023,2065,10009,2081,9992,2093,9980,2098,9969,2101,9956,2102,9526,2102,9496,2102,10102,2102,10108,2091,10115,2049,10115,1995,10115,1828,10115,1727,10115,1705,10115,1657,10115,1624xm9552,1936l9550,1939,9550,1940,9546,1953,9552,1952,9555,1952,9556,1951,9549,1951,9549,1945,9552,1940,9552,1936xm9602,1761l9592,1794,9575,1853,9559,1909,9552,1936,9552,1940,9549,1945,9549,1951,9559,1949,9740,1898,9718,1875,9671,1828,9624,1782,9602,1761xm9559,1949l9549,1951,9556,1951,9559,1949xm9928,1436l9921,1443,9909,1454,9890,1473,9622,1739,9633,1752,9655,1774,9691,1809,9727,1846,9749,1867,9761,1878,9787,1853,10053,1588,10063,1581,10066,1574,10045,1551,9999,1505,9952,1459,9928,1436xm10020,1361l10007,1363,9996,1369,9988,1376,9981,1383,9965,1399,9955,1408,9950,1414,10089,1552,10097,1545,10105,1537,10112,1529,10120,1522,10127,1515,10134,1506,10140,1496,10143,1484,10141,1471,10135,1460,10127,1452,10120,1445,10075,1401,10066,1392,10058,1384,10051,1377,10043,1369,10033,1363,10020,1361xm9786,1463l9489,1463,9507,1463,9519,1463,9665,1463,9754,1463,9786,1463xm9428,1385l9428,1386,9428,1386,9427,1387,9872,1387,9872,1387,9436,1387,9428,1385xm9705,1384l9446,1385,9436,1387,9872,1387,9872,1385,9705,1384xe" filled="true" fillcolor="#d19f2a" stroked="false">
              <v:path arrowok="t"/>
              <v:fill type="solid"/>
            </v:shape>
            <v:shape style="position:absolute;left:9356;top:14712;width:739;height:850" coordorigin="9356,14712" coordsize="739,850" path="m9765,14784l9687,14784,9687,14825,9610,14842,9540,14873,9479,14918,9428,14974,9390,15040,9365,15113,9356,15193,9364,15267,9386,15336,9420,15399,9465,15454,9519,15499,9582,15533,9651,15554,9726,15562,9800,15554,9869,15533,9932,15499,9944,15489,9726,15489,9647,15478,9576,15448,9516,15402,9470,15342,9440,15271,9430,15193,9440,15114,9470,15043,9516,14983,9576,14937,9647,14907,9726,14897,10002,14897,10026,14873,9911,14873,9877,14856,9841,14842,9804,14832,9765,14825,9765,14784xm10002,14897l9726,14897,9804,14907,9875,14937,9935,14983,9981,15043,10011,15114,10022,15193,10011,15271,9981,15342,9935,15402,9875,15448,9804,15478,9726,15489,9944,15489,9987,15454,10032,15399,10066,15336,10088,15267,10095,15193,10087,15114,10063,15042,10026,14977,9976,14921,10002,14897xm9733,15125l9727,15125,9697,15131,9672,15147,9655,15172,9649,15202,9655,15232,9672,15257,9697,15273,9727,15279,9757,15273,9782,15257,9798,15232,9804,15202,9804,15191,9802,15181,9798,15172,9828,15127,9746,15127,9740,15125,9733,15125xm9905,15011l9746,15127,9828,15127,9905,15011xm9972,14819l9911,14873,10026,14873,10028,14871,9972,14819xm9810,14712l9637,14712,9637,14784,9810,14784,9810,14712xe" filled="true" fillcolor="#d19f2a" stroked="false">
              <v:path arrowok="t"/>
              <v:fill type="solid"/>
            </v:shape>
            <w10:wrap type="none"/>
          </v:group>
        </w:pict>
      </w:r>
      <w:r>
        <w:rPr>
          <w:rFonts w:ascii="Myriad Pro" w:hAnsi="Myriad Pro"/>
          <w:color w:val="6D6E71"/>
          <w:sz w:val="16"/>
        </w:rPr>
        <w:t>Module 2 - CADRES D’APPLICATION ET DE SUIVI DE LA CONVENTION DES NATIONS UNIES RELATIVE AUX DROITS DES</w:t>
      </w:r>
    </w:p>
    <w:p>
      <w:pPr>
        <w:spacing w:before="0"/>
        <w:ind w:left="0" w:right="0" w:firstLine="0"/>
        <w:jc w:val="right"/>
        <w:rPr>
          <w:rFonts w:ascii="Myriad Pro" w:hAnsi="Myriad Pro"/>
          <w:sz w:val="16"/>
        </w:rPr>
      </w:pPr>
      <w:r>
        <w:rPr>
          <w:rFonts w:ascii="Myriad Pro" w:hAnsi="Myriad Pro"/>
          <w:color w:val="6D6E71"/>
          <w:sz w:val="16"/>
        </w:rPr>
        <w:t>PERSONNES HANDICAPÉES</w:t>
      </w:r>
    </w:p>
    <w:p>
      <w:pPr>
        <w:pStyle w:val="Heading4"/>
        <w:tabs>
          <w:tab w:pos="1093" w:val="left" w:leader="none"/>
        </w:tabs>
        <w:ind w:left="186"/>
      </w:pPr>
      <w:r>
        <w:rPr/>
        <w:br w:type="column"/>
      </w:r>
      <w:r>
        <w:rPr>
          <w:color w:val="FFFFFF"/>
          <w:spacing w:val="21"/>
          <w:shd w:fill="D19F2A" w:color="auto" w:val="clear"/>
        </w:rPr>
        <w:t> </w:t>
      </w:r>
      <w:r>
        <w:rPr>
          <w:color w:val="FFFFFF"/>
          <w:shd w:fill="D19F2A" w:color="auto" w:val="clear"/>
        </w:rPr>
        <w:t>23</w:t>
        <w:tab/>
      </w:r>
    </w:p>
    <w:p>
      <w:pPr>
        <w:spacing w:after="0"/>
        <w:sectPr>
          <w:type w:val="continuous"/>
          <w:pgSz w:w="11910" w:h="16840"/>
          <w:pgMar w:top="1600" w:bottom="280" w:left="1020" w:right="1640"/>
          <w:cols w:num="2" w:equalWidth="0">
            <w:col w:w="7995" w:space="40"/>
            <w:col w:w="1215"/>
          </w:cols>
        </w:sectPr>
      </w:pPr>
    </w:p>
    <w:p>
      <w:pPr>
        <w:spacing w:before="57"/>
        <w:ind w:left="1252" w:right="1263" w:firstLine="0"/>
        <w:jc w:val="left"/>
        <w:rPr>
          <w:rFonts w:ascii="Myriad Pro" w:hAnsi="Myriad Pro"/>
          <w:sz w:val="16"/>
        </w:rPr>
      </w:pPr>
      <w:r>
        <w:rPr>
          <w:rFonts w:ascii="Myriad Pro" w:hAnsi="Myriad Pro"/>
          <w:color w:val="D19F2A"/>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tabs>
          <w:tab w:pos="635" w:val="left" w:leader="none"/>
        </w:tabs>
        <w:spacing w:before="58"/>
        <w:ind w:left="418" w:right="0" w:firstLine="0"/>
        <w:jc w:val="left"/>
        <w:rPr>
          <w:rFonts w:ascii="Myriad Pro"/>
          <w:b/>
          <w:sz w:val="22"/>
        </w:rPr>
      </w:pPr>
      <w:r>
        <w:rPr/>
        <w:pict>
          <v:shape style="position:absolute;margin-left:144.567001pt;margin-top:1.277012pt;width:394.05pt;height:18.2pt;mso-position-horizontal-relative:page;mso-position-vertical-relative:paragraph;z-index:3568" type="#_x0000_t202" filled="true" fillcolor="#d19f2a" stroked="false">
            <v:textbox inset="0,0,0,0">
              <w:txbxContent>
                <w:p>
                  <w:pPr>
                    <w:spacing w:before="32"/>
                    <w:ind w:left="1024" w:right="302" w:firstLine="0"/>
                    <w:jc w:val="left"/>
                    <w:rPr>
                      <w:rFonts w:ascii="Myriad Pro" w:hAnsi="Myriad Pro"/>
                      <w:b/>
                      <w:sz w:val="22"/>
                    </w:rPr>
                  </w:pPr>
                  <w:bookmarkStart w:name="_TOC_250000" w:id="10"/>
                  <w:bookmarkEnd w:id="10"/>
                  <w:r>
                    <w:rPr>
                      <w:rFonts w:ascii="Myriad Pro" w:hAnsi="Myriad Pro"/>
                      <w:b/>
                      <w:color w:val="FFFFFF"/>
                      <w:sz w:val="22"/>
                    </w:rPr>
                    <w:t>Support : Article 33 – Application et suivi au niveau national</w:t>
                  </w:r>
                </w:p>
              </w:txbxContent>
            </v:textbox>
            <v:fill type="solid"/>
            <w10:wrap type="none"/>
          </v:shape>
        </w:pict>
      </w:r>
      <w:r>
        <w:rPr>
          <w:rFonts w:ascii="Myriad Pro"/>
          <w:b/>
          <w:color w:val="FFFFFF"/>
          <w:sz w:val="22"/>
          <w:u w:val="thick" w:color="FFFFFF"/>
        </w:rPr>
        <w:t> </w:t>
        <w:tab/>
      </w:r>
    </w:p>
    <w:p>
      <w:pPr>
        <w:pStyle w:val="BodyText"/>
        <w:spacing w:before="9"/>
        <w:rPr>
          <w:rFonts w:ascii="Myriad Pro"/>
          <w:b/>
          <w:sz w:val="12"/>
        </w:rPr>
      </w:pPr>
    </w:p>
    <w:p>
      <w:pPr>
        <w:pStyle w:val="ListParagraph"/>
        <w:numPr>
          <w:ilvl w:val="0"/>
          <w:numId w:val="7"/>
        </w:numPr>
        <w:tabs>
          <w:tab w:pos="1992" w:val="left" w:leader="none"/>
        </w:tabs>
        <w:spacing w:line="240" w:lineRule="auto" w:before="68" w:after="0"/>
        <w:ind w:left="1991" w:right="208" w:hanging="400"/>
        <w:jc w:val="left"/>
        <w:rPr>
          <w:b w:val="0"/>
          <w:sz w:val="22"/>
        </w:rPr>
      </w:pPr>
      <w:r>
        <w:rPr>
          <w:b w:val="0"/>
          <w:color w:val="231F20"/>
          <w:sz w:val="22"/>
        </w:rPr>
        <w:t>Les États parties désignent, conformément à leur système de gouvernement, un ou plusieurs points de contact pour les questions relatives à l’application de la présente Convention et envisagent dûment de créer ou désigner, au sein de</w:t>
      </w:r>
      <w:r>
        <w:rPr>
          <w:b w:val="0"/>
          <w:color w:val="231F20"/>
          <w:spacing w:val="-30"/>
          <w:sz w:val="22"/>
        </w:rPr>
        <w:t> </w:t>
      </w:r>
      <w:r>
        <w:rPr>
          <w:b w:val="0"/>
          <w:color w:val="231F20"/>
          <w:sz w:val="22"/>
        </w:rPr>
        <w:t>leur administration, un dispositif de coordination chargé de faciliter les actions liées à cette application dans différents secteurs et à différents</w:t>
      </w:r>
      <w:r>
        <w:rPr>
          <w:b w:val="0"/>
          <w:color w:val="231F20"/>
          <w:spacing w:val="-10"/>
          <w:sz w:val="22"/>
        </w:rPr>
        <w:t> </w:t>
      </w:r>
      <w:r>
        <w:rPr>
          <w:b w:val="0"/>
          <w:color w:val="231F20"/>
          <w:sz w:val="22"/>
        </w:rPr>
        <w:t>niveaux.</w:t>
      </w:r>
    </w:p>
    <w:p>
      <w:pPr>
        <w:pStyle w:val="ListParagraph"/>
        <w:numPr>
          <w:ilvl w:val="0"/>
          <w:numId w:val="7"/>
        </w:numPr>
        <w:tabs>
          <w:tab w:pos="1992" w:val="left" w:leader="none"/>
        </w:tabs>
        <w:spacing w:line="240" w:lineRule="auto" w:before="112" w:after="0"/>
        <w:ind w:left="1991" w:right="275" w:hanging="400"/>
        <w:jc w:val="left"/>
        <w:rPr>
          <w:b w:val="0"/>
          <w:sz w:val="22"/>
        </w:rPr>
      </w:pPr>
      <w:r>
        <w:rPr>
          <w:b w:val="0"/>
          <w:color w:val="231F20"/>
          <w:sz w:val="22"/>
        </w:rPr>
        <w:t>Les États Parties, conformément à leurs systèmes administratif et juridique, maintiennent, renforcent, désignent ou créent, au niveau interne, un dispositif, y compris un ou plusieurs mécanismes indépendants, selon </w:t>
      </w:r>
      <w:r>
        <w:rPr>
          <w:b w:val="0"/>
          <w:color w:val="231F20"/>
          <w:spacing w:val="-3"/>
          <w:sz w:val="22"/>
        </w:rPr>
        <w:t>qu’il </w:t>
      </w:r>
      <w:r>
        <w:rPr>
          <w:b w:val="0"/>
          <w:color w:val="231F20"/>
          <w:sz w:val="22"/>
        </w:rPr>
        <w:t>conviendra, de promotion, de protection et de suivi de l’application de la présente Convention. En désignant ou en créant un tel mécanisme, ils tiennent compte des principes applicables au statut et au fonctionnement des institutions nationales de protection et de promotion des droits de</w:t>
      </w:r>
      <w:r>
        <w:rPr>
          <w:b w:val="0"/>
          <w:color w:val="231F20"/>
          <w:spacing w:val="-11"/>
          <w:sz w:val="22"/>
        </w:rPr>
        <w:t> </w:t>
      </w:r>
      <w:r>
        <w:rPr>
          <w:b w:val="0"/>
          <w:color w:val="231F20"/>
          <w:sz w:val="22"/>
        </w:rPr>
        <w:t>l’homme.</w:t>
      </w:r>
    </w:p>
    <w:p>
      <w:pPr>
        <w:pStyle w:val="ListParagraph"/>
        <w:numPr>
          <w:ilvl w:val="0"/>
          <w:numId w:val="7"/>
        </w:numPr>
        <w:tabs>
          <w:tab w:pos="1992" w:val="left" w:leader="none"/>
        </w:tabs>
        <w:spacing w:line="240" w:lineRule="auto" w:before="112" w:after="0"/>
        <w:ind w:left="1991" w:right="266" w:hanging="400"/>
        <w:jc w:val="left"/>
        <w:rPr>
          <w:b w:val="0"/>
          <w:sz w:val="22"/>
        </w:rPr>
      </w:pPr>
      <w:r>
        <w:rPr>
          <w:b w:val="0"/>
          <w:color w:val="231F20"/>
          <w:sz w:val="22"/>
        </w:rPr>
        <w:t>La société civile – en particulier les personnes handicapées et les organisations qui les représentent – est associée et participe pleinement à la fonction de</w:t>
      </w:r>
      <w:r>
        <w:rPr>
          <w:b w:val="0"/>
          <w:color w:val="231F20"/>
          <w:spacing w:val="-5"/>
          <w:sz w:val="22"/>
        </w:rPr>
        <w:t> </w:t>
      </w:r>
      <w:r>
        <w:rPr>
          <w:b w:val="0"/>
          <w:color w:val="231F20"/>
          <w:sz w:val="22"/>
        </w:rPr>
        <w:t>suivi.</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7"/>
        </w:rPr>
      </w:pPr>
    </w:p>
    <w:p>
      <w:pPr>
        <w:spacing w:after="0"/>
        <w:rPr>
          <w:sz w:val="17"/>
        </w:rPr>
        <w:sectPr>
          <w:pgSz w:w="11910" w:h="16840"/>
          <w:pgMar w:top="360" w:bottom="0" w:left="1640" w:right="1020"/>
        </w:sectPr>
      </w:pPr>
    </w:p>
    <w:p>
      <w:pPr>
        <w:pStyle w:val="Heading4"/>
        <w:tabs>
          <w:tab w:pos="699" w:val="left" w:leader="none"/>
          <w:tab w:pos="1022" w:val="left" w:leader="none"/>
        </w:tabs>
        <w:spacing w:before="115"/>
      </w:pPr>
      <w:r>
        <w:rPr/>
        <w:pict>
          <v:group style="position:absolute;margin-left:0pt;margin-top:0pt;width:595.3pt;height:841.9pt;mso-position-horizontal-relative:page;mso-position-vertical-relative:page;z-index:-50752" coordorigin="0,0" coordsize="11906,16838">
            <v:rect style="position:absolute;left:2665;top:0;width:9241;height:16838" filled="true" fillcolor="#f8f0e2" stroked="false">
              <v:fill type="solid"/>
            </v:rect>
            <v:shape style="position:absolute;left:0;top:0;width:2663;height:16838" type="#_x0000_t75" stroked="false">
              <v:imagedata r:id="rId28" o:title=""/>
            </v:shape>
            <v:rect style="position:absolute;left:0;top:0;width:397;height:16838" filled="true" fillcolor="#d19f2a" stroked="false">
              <v:fill type="solid"/>
            </v:rect>
            <v:shape style="position:absolute;left:1751;top:1259;width:822;height:822" coordorigin="1751,1259" coordsize="822,822" path="m2162,1259l2088,1265,2019,1284,1955,1315,1897,1355,1848,1405,1807,1462,1777,1526,1758,1596,1751,1670,1758,1743,1777,1813,1807,1877,1848,1934,1897,1984,1955,2024,2019,2055,2088,2074,2162,2080,2236,2074,2305,2055,2369,2024,2427,1984,2476,1934,2517,1877,2547,1813,2566,1743,2573,1670,2566,1596,2547,1526,2517,1462,2476,1405,2427,1355,2369,1315,2305,1284,2236,1265,2162,1259xe" filled="true" fillcolor="#d19f2a" stroked="false">
              <v:path arrowok="t"/>
              <v:fill type="solid"/>
            </v:shape>
            <v:line style="position:absolute" from="2058,1505" to="2276,1505" stroked="true" strokeweight="1.827pt" strokecolor="#ffffff"/>
            <v:line style="position:absolute" from="2058,1684" to="2276,1684" stroked="true" strokeweight="1.825pt" strokecolor="#ffffff"/>
            <v:line style="position:absolute" from="2058,1594" to="2276,1594" stroked="true" strokeweight="1.823pt" strokecolor="#ffffff"/>
            <v:shape style="position:absolute;left:1956;top:1388;width:403;height:518" coordorigin="1956,1388" coordsize="403,518" path="m2287,1388l2028,1388,2014,1389,2000,1393,1988,1400,1978,1409,1969,1420,1962,1432,1958,1445,1956,1460,1956,1833,1958,1848,1962,1861,1969,1873,1977,1884,1977,1884,1988,1893,2000,1900,2014,1904,2028,1905,2287,1905,2301,1904,2315,1900,2327,1893,2338,1884,2346,1873,2350,1867,2019,1867,2011,1863,2005,1857,2005,1857,1999,1851,1995,1842,1995,1450,1999,1442,2011,1430,2019,1426,2350,1426,2346,1419,2338,1409,2338,1409,2327,1400,2315,1393,2301,1389,2287,1388xm2350,1426l2296,1426,2304,1430,2310,1436,2310,1436,2316,1442,2320,1450,2320,1842,2316,1851,2304,1863,2296,1867,2350,1867,2353,1861,2357,1848,2359,1833,2359,1460,2357,1445,2353,1432,2350,1426xm2005,1857l2005,1857,2005,1857,2005,1857xe" filled="true" fillcolor="#ffffff" stroked="false">
              <v:path arrowok="t"/>
              <v:fill type="solid"/>
            </v:shape>
            <v:shape style="position:absolute;left:-19;top:16526;width:684;height:312" coordorigin="-19,16526" coordsize="684,312" path="m1840,1903l1926,1903,1926,1846,1927,1843,1935,1839,1943,1829,1947,1825,1952,1816,1955,1809,1963,1787,1966,1770,1973,1749,1992,1715,2019,1675,2025,1666,2032,1654,2035,1642,2030,1630,2019,1622,2008,1623,1997,1630,1988,1638,1976,1650,1964,1663,1952,1675,1939,1686,1933,1691,1924,1695,1913,1695,1913,1676,1921,1661,1932,1651,1937,1646,1937,1592,1920,1597,1902,1609,1884,1623,1868,1635,1844,1652,1829,1664,1822,1678,1821,1701,1821,1730,1821,1774,1821,1817,1822,1841,1840,1903xm2486,1903l2398,1903,2398,1846,2398,1843,2390,1839,2382,1829,2378,1825,2373,1816,2370,1809,2362,1787,2359,1770,2352,1749,2333,1715,2306,1675,2299,1666,2293,1654,2290,1642,2294,1630,2306,1622,2317,1623,2328,1630,2337,1638,2349,1650,2360,1663,2373,1675,2386,1686,2392,1691,2401,1695,2412,1695,2412,1676,2404,1661,2393,1651,2388,1646,2388,1592,2404,1597,2423,1609,2441,1623,2457,1635,2481,1652,2496,1664,2503,1678,2504,1701,2504,1730,2504,1774,2504,1817,2503,1841,2486,1903xe" filled="false" stroked="true" strokeweight=".966pt" strokecolor="#d19f2a">
              <v:path arrowok="t"/>
            </v:shape>
            <v:shape style="position:absolute;left:1821;top:1592;width:215;height:312" coordorigin="1821,1592" coordsize="215,312" path="m1937,1592l1920,1597,1902,1609,1868,1635,1844,1652,1829,1664,1822,1678,1821,1701,1821,1817,1822,1841,1840,1903,1926,1903,1926,1846,1927,1843,1935,1839,1947,1825,1952,1816,1955,1809,1963,1787,1966,1770,1973,1749,1992,1715,2005,1695,1924,1695,1913,1695,1913,1686,1913,1675,1921,1661,1932,1651,1937,1646,1937,1592xm2019,1622l2008,1623,1997,1630,1988,1638,1976,1650,1964,1663,1952,1675,1939,1686,1933,1691,1924,1695,2005,1695,2019,1675,2025,1666,2032,1654,2035,1642,2030,1630,2019,1622xe" filled="true" fillcolor="#ffffff" stroked="false">
              <v:path arrowok="t"/>
              <v:fill type="solid"/>
            </v:shape>
            <v:shape style="position:absolute;left:2290;top:1592;width:215;height:312" coordorigin="2290,1592" coordsize="215,312" path="m2306,1622l2294,1630,2290,1642,2293,1654,2299,1666,2306,1676,2333,1715,2352,1749,2359,1770,2362,1787,2370,1809,2373,1816,2378,1825,2390,1839,2398,1843,2398,1846,2398,1903,2486,1903,2503,1841,2504,1817,2504,1701,2504,1695,2401,1695,2392,1691,2386,1686,2373,1675,2360,1663,2349,1650,2337,1638,2328,1630,2317,1623,2306,1622xm2388,1592l2388,1646,2393,1651,2404,1661,2412,1675,2412,1686,2412,1695,2401,1695,2504,1695,2503,1678,2496,1664,2481,1652,2457,1635,2423,1609,2404,1597,2388,1592xe" filled="true" fillcolor="#ffffff" stroked="false">
              <v:path arrowok="t"/>
              <v:fill type="solid"/>
            </v:shape>
            <w10:wrap type="none"/>
          </v:group>
        </w:pict>
      </w:r>
      <w:r>
        <w:rPr>
          <w:color w:val="FFFFFF"/>
          <w:shd w:fill="D19F2A" w:color="auto" w:val="clear"/>
        </w:rPr>
        <w:t> </w:t>
        <w:tab/>
        <w:t>24</w:t>
        <w:tab/>
      </w:r>
    </w:p>
    <w:p>
      <w:pPr>
        <w:spacing w:before="74"/>
        <w:ind w:left="858" w:right="242" w:hanging="743"/>
        <w:jc w:val="left"/>
        <w:rPr>
          <w:rFonts w:ascii="Myriad Pro" w:hAnsi="Myriad Pro"/>
          <w:sz w:val="16"/>
        </w:rPr>
      </w:pPr>
      <w:r>
        <w:rPr/>
        <w:br w:type="column"/>
      </w:r>
      <w:r>
        <w:rPr>
          <w:rFonts w:ascii="Myriad Pro" w:hAnsi="Myriad Pro"/>
          <w:color w:val="6D6E71"/>
          <w:sz w:val="16"/>
        </w:rPr>
        <w:t>Module 2 - CADRES D’APPLICATION ET DE SUIVI DE LA CONVENTION DES NATIONS UNIES RELATIVE AUX DROITS DES PERSONNES HANDICAPÉES</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50704" coordorigin="0,1" coordsize="11900,16839">
            <v:shape style="position:absolute;left:0;top:1;width:11900;height:16838" type="#_x0000_t75" stroked="false">
              <v:imagedata r:id="rId41" o:title=""/>
            </v:shape>
            <v:shape style="position:absolute;left:11336;top:1;width:565;height:16839" coordorigin="11336,1" coordsize="565,16839" path="m11900,16839l11336,16839,11336,16839,11900,16839,11900,16839m11900,1l11336,1,11336,13020,11900,13020,11900,1e" filled="true" fillcolor="#d6a21b"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0,166" path="m11336,13241l11336,13075,11336,13241xe" filled="true" fillcolor="#e31c2d" stroked="false">
              <v:path arrowok="t"/>
              <v:fill type="solid"/>
            </v:shape>
            <v:shape style="position:absolute;left:11336;top:13300;width:2;height:166" coordorigin="11336,13300" coordsize="0,166" path="m11336,13466l11336,13300,11336,13466xe" filled="true" fillcolor="#d6a21b" stroked="false">
              <v:path arrowok="t"/>
              <v:fill type="solid"/>
            </v:shape>
            <v:shape style="position:absolute;left:11336;top:13526;width:2;height:166" coordorigin="11336,13526" coordsize="0,166" path="m11336,13691l11336,13526,11336,13691xe" filled="true" fillcolor="#30953e" stroked="false">
              <v:path arrowok="t"/>
              <v:fill type="solid"/>
            </v:shape>
            <v:shape style="position:absolute;left:11336;top:13751;width:2;height:166" coordorigin="11336,13751" coordsize="0,166" path="m11336,13916l11336,13751,11336,13916xe" filled="true" fillcolor="#c12632" stroked="false">
              <v:path arrowok="t"/>
              <v:fill type="solid"/>
            </v:shape>
            <v:shape style="position:absolute;left:11336;top:13976;width:2;height:166" coordorigin="11336,13976" coordsize="0,166" path="m11336,14141l11336,13976,11336,14141xe" filled="true" fillcolor="#e63a2a" stroked="false">
              <v:path arrowok="t"/>
              <v:fill type="solid"/>
            </v:shape>
            <v:shape style="position:absolute;left:11336;top:14201;width:2;height:166" coordorigin="11336,14201" coordsize="0,166" path="m11336,14366l11336,14201,11336,14366xe" filled="true" fillcolor="#00a7d7" stroked="false">
              <v:path arrowok="t"/>
              <v:fill type="solid"/>
            </v:shape>
            <v:shape style="position:absolute;left:11336;top:14426;width:2;height:166" coordorigin="11336,14426" coordsize="0,166" path="m11336,14591l11336,14426,11336,14591xe" filled="true" fillcolor="#fab800" stroked="false">
              <v:path arrowok="t"/>
              <v:fill type="solid"/>
            </v:shape>
            <v:shape style="position:absolute;left:11336;top:14651;width:2;height:166" coordorigin="11336,14651" coordsize="0,166" path="m11336,14816l11336,14651,11336,14816xe" filled="true" fillcolor="#95273a" stroked="false">
              <v:path arrowok="t"/>
              <v:fill type="solid"/>
            </v:shape>
            <v:shape style="position:absolute;left:11336;top:14876;width:2;height:166" coordorigin="11336,14876" coordsize="0,166" path="m11336,15041l11336,14876,11336,15041xe" filled="true" fillcolor="#ec6724" stroked="false">
              <v:path arrowok="t"/>
              <v:fill type="solid"/>
            </v:shape>
            <v:shape style="position:absolute;left:11336;top:15101;width:2;height:166" coordorigin="11336,15101" coordsize="0,166" path="m11336,15266l11336,15101,11336,15266xe" filled="true" fillcolor="#dd1f7b" stroked="false">
              <v:path arrowok="t"/>
              <v:fill type="solid"/>
            </v:shape>
            <v:shape style="position:absolute;left:11336;top:15326;width:2;height:166" coordorigin="11336,15326" coordsize="0,166" path="m11336,15491l11336,15326,11336,15491xe" filled="true" fillcolor="#f69d1f" stroked="false">
              <v:path arrowok="t"/>
              <v:fill type="solid"/>
            </v:shape>
            <v:shape style="position:absolute;left:11336;top:15551;width:2;height:166" coordorigin="11336,15551" coordsize="0,166" path="m11336,15717l11336,15551,11336,15717xe" filled="true" fillcolor="#d28d22" stroked="false">
              <v:path arrowok="t"/>
              <v:fill type="solid"/>
            </v:shape>
            <v:shape style="position:absolute;left:11336;top:15776;width:2;height:166" coordorigin="11336,15776" coordsize="0,166" path="m11336,15942l11336,15776,11336,15942xe" filled="true" fillcolor="#4f793c" stroked="false">
              <v:path arrowok="t"/>
              <v:fill type="solid"/>
            </v:shape>
            <v:shape style="position:absolute;left:11336;top:16001;width:2;height:166" coordorigin="11336,16001" coordsize="0,166" path="m11336,16167l11336,16001,11336,16167xe" filled="true" fillcolor="#0079b9" stroked="false">
              <v:path arrowok="t"/>
              <v:fill type="solid"/>
            </v:shape>
            <v:shape style="position:absolute;left:11336;top:16226;width:2;height:166" coordorigin="11336,16226" coordsize="0,166" path="m11336,16392l11336,16226,11336,16392xe" filled="true" fillcolor="#44a73d" stroked="false">
              <v:path arrowok="t"/>
              <v:fill type="solid"/>
            </v:shape>
            <v:shape style="position:absolute;left:11336;top:16451;width:2;height:166" coordorigin="11336,16451" coordsize="0,166" path="m11336,16617l11336,16451,11336,16617xe" filled="true" fillcolor="#175186" stroked="false">
              <v:path arrowok="t"/>
              <v:fill type="solid"/>
            </v:shape>
            <v:shape style="position:absolute;left:11336;top:16677;width:2;height:163" coordorigin="11336,16677" coordsize="0,163" path="m11336,16839l11336,16677,11336,16839xe" filled="true" fillcolor="#2c3b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31c2d" stroked="false">
              <v:fill type="solid"/>
            </v:rect>
            <v:rect style="position:absolute;left:11336;top:13300;width:565;height:165" filled="true" fillcolor="#d6a21b" stroked="false">
              <v:fill type="solid"/>
            </v:rect>
            <v:rect style="position:absolute;left:11336;top:13526;width:565;height:165" filled="true" fillcolor="#30953e" stroked="false">
              <v:fill type="solid"/>
            </v:rect>
            <v:rect style="position:absolute;left:11336;top:13751;width:565;height:165" filled="true" fillcolor="#c12632" stroked="false">
              <v:fill type="solid"/>
            </v:rect>
            <v:rect style="position:absolute;left:11336;top:13976;width:565;height:165" filled="true" fillcolor="#e63a2a" stroked="false">
              <v:fill type="solid"/>
            </v:rect>
            <v:rect style="position:absolute;left:11336;top:14201;width:565;height:165" filled="true" fillcolor="#00a7d7" stroked="false">
              <v:fill type="solid"/>
            </v:rect>
            <v:rect style="position:absolute;left:11336;top:14426;width:565;height:165" filled="true" fillcolor="#fab800" stroked="false">
              <v:fill type="solid"/>
            </v:rect>
            <v:rect style="position:absolute;left:11336;top:14651;width:565;height:165" filled="true" fillcolor="#95273a" stroked="false">
              <v:fill type="solid"/>
            </v:rect>
            <v:rect style="position:absolute;left:11336;top:14876;width:565;height:165" filled="true" fillcolor="#ec6724" stroked="false">
              <v:fill type="solid"/>
            </v:rect>
            <v:rect style="position:absolute;left:11336;top:15101;width:565;height:165" filled="true" fillcolor="#dd1f7b" stroked="false">
              <v:fill type="solid"/>
            </v:rect>
            <v:rect style="position:absolute;left:11336;top:15326;width:565;height:165" filled="true" fillcolor="#f69d1f" stroked="false">
              <v:fill type="solid"/>
            </v:rect>
            <v:rect style="position:absolute;left:11336;top:15551;width:565;height:165" filled="true" fillcolor="#d28d22" stroked="false">
              <v:fill type="solid"/>
            </v:rect>
            <v:rect style="position:absolute;left:11336;top:15776;width:565;height:165" filled="true" fillcolor="#4f793c" stroked="false">
              <v:fill type="solid"/>
            </v:rect>
            <v:rect style="position:absolute;left:11336;top:16001;width:565;height:165" filled="true" fillcolor="#0079b9" stroked="false">
              <v:fill type="solid"/>
            </v:rect>
            <v:rect style="position:absolute;left:11336;top:16226;width:565;height:165" filled="true" fillcolor="#44a73d" stroked="false">
              <v:fill type="solid"/>
            </v:rect>
            <v:rect style="position:absolute;left:11336;top:16451;width:565;height:165" filled="true" fillcolor="#175186" stroked="false">
              <v:fill type="solid"/>
            </v:rect>
            <v:rect style="position:absolute;left:11336;top:16677;width:565;height:163" filled="true" fillcolor="#2c3b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TradeGothic Light">
    <w:altName w:val="TradeGothic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991" w:hanging="400"/>
        <w:jc w:val="left"/>
      </w:pPr>
      <w:rPr>
        <w:rFonts w:hint="default" w:ascii="Myriad Pro Light" w:hAnsi="Myriad Pro Light" w:eastAsia="Myriad Pro Light" w:cs="Myriad Pro Light"/>
        <w:color w:val="231F20"/>
        <w:spacing w:val="-10"/>
        <w:w w:val="100"/>
        <w:sz w:val="22"/>
        <w:szCs w:val="22"/>
      </w:rPr>
    </w:lvl>
    <w:lvl w:ilvl="1">
      <w:start w:val="1"/>
      <w:numFmt w:val="bullet"/>
      <w:lvlText w:val="•"/>
      <w:lvlJc w:val="left"/>
      <w:pPr>
        <w:ind w:left="2724" w:hanging="400"/>
      </w:pPr>
      <w:rPr>
        <w:rFonts w:hint="default"/>
      </w:rPr>
    </w:lvl>
    <w:lvl w:ilvl="2">
      <w:start w:val="1"/>
      <w:numFmt w:val="bullet"/>
      <w:lvlText w:val="•"/>
      <w:lvlJc w:val="left"/>
      <w:pPr>
        <w:ind w:left="3449" w:hanging="400"/>
      </w:pPr>
      <w:rPr>
        <w:rFonts w:hint="default"/>
      </w:rPr>
    </w:lvl>
    <w:lvl w:ilvl="3">
      <w:start w:val="1"/>
      <w:numFmt w:val="bullet"/>
      <w:lvlText w:val="•"/>
      <w:lvlJc w:val="left"/>
      <w:pPr>
        <w:ind w:left="4173" w:hanging="400"/>
      </w:pPr>
      <w:rPr>
        <w:rFonts w:hint="default"/>
      </w:rPr>
    </w:lvl>
    <w:lvl w:ilvl="4">
      <w:start w:val="1"/>
      <w:numFmt w:val="bullet"/>
      <w:lvlText w:val="•"/>
      <w:lvlJc w:val="left"/>
      <w:pPr>
        <w:ind w:left="4898" w:hanging="400"/>
      </w:pPr>
      <w:rPr>
        <w:rFonts w:hint="default"/>
      </w:rPr>
    </w:lvl>
    <w:lvl w:ilvl="5">
      <w:start w:val="1"/>
      <w:numFmt w:val="bullet"/>
      <w:lvlText w:val="•"/>
      <w:lvlJc w:val="left"/>
      <w:pPr>
        <w:ind w:left="5622" w:hanging="400"/>
      </w:pPr>
      <w:rPr>
        <w:rFonts w:hint="default"/>
      </w:rPr>
    </w:lvl>
    <w:lvl w:ilvl="6">
      <w:start w:val="1"/>
      <w:numFmt w:val="bullet"/>
      <w:lvlText w:val="•"/>
      <w:lvlJc w:val="left"/>
      <w:pPr>
        <w:ind w:left="6347" w:hanging="400"/>
      </w:pPr>
      <w:rPr>
        <w:rFonts w:hint="default"/>
      </w:rPr>
    </w:lvl>
    <w:lvl w:ilvl="7">
      <w:start w:val="1"/>
      <w:numFmt w:val="bullet"/>
      <w:lvlText w:val="•"/>
      <w:lvlJc w:val="left"/>
      <w:pPr>
        <w:ind w:left="7071" w:hanging="400"/>
      </w:pPr>
      <w:rPr>
        <w:rFonts w:hint="default"/>
      </w:rPr>
    </w:lvl>
    <w:lvl w:ilvl="8">
      <w:start w:val="1"/>
      <w:numFmt w:val="bullet"/>
      <w:lvlText w:val="•"/>
      <w:lvlJc w:val="left"/>
      <w:pPr>
        <w:ind w:left="7796" w:hanging="400"/>
      </w:pPr>
      <w:rPr>
        <w:rFonts w:hint="default"/>
      </w:rPr>
    </w:lvl>
  </w:abstractNum>
  <w:abstractNum w:abstractNumId="5">
    <w:multiLevelType w:val="hybridMultilevel"/>
    <w:lvl w:ilvl="0">
      <w:start w:val="1"/>
      <w:numFmt w:val="lowerLetter"/>
      <w:lvlText w:val="%1."/>
      <w:lvlJc w:val="left"/>
      <w:pPr>
        <w:ind w:left="460" w:hanging="280"/>
        <w:jc w:val="left"/>
      </w:pPr>
      <w:rPr>
        <w:rFonts w:hint="default" w:ascii="Myriad Pro" w:hAnsi="Myriad Pro" w:eastAsia="Myriad Pro" w:cs="Myriad Pro"/>
        <w:color w:val="231F20"/>
        <w:spacing w:val="-3"/>
        <w:w w:val="100"/>
        <w:sz w:val="20"/>
        <w:szCs w:val="20"/>
      </w:rPr>
    </w:lvl>
    <w:lvl w:ilvl="1">
      <w:start w:val="1"/>
      <w:numFmt w:val="bullet"/>
      <w:lvlText w:val="•"/>
      <w:lvlJc w:val="left"/>
      <w:pPr>
        <w:ind w:left="1204" w:hanging="280"/>
      </w:pPr>
      <w:rPr>
        <w:rFonts w:hint="default"/>
      </w:rPr>
    </w:lvl>
    <w:lvl w:ilvl="2">
      <w:start w:val="1"/>
      <w:numFmt w:val="bullet"/>
      <w:lvlText w:val="•"/>
      <w:lvlJc w:val="left"/>
      <w:pPr>
        <w:ind w:left="1948" w:hanging="280"/>
      </w:pPr>
      <w:rPr>
        <w:rFonts w:hint="default"/>
      </w:rPr>
    </w:lvl>
    <w:lvl w:ilvl="3">
      <w:start w:val="1"/>
      <w:numFmt w:val="bullet"/>
      <w:lvlText w:val="•"/>
      <w:lvlJc w:val="left"/>
      <w:pPr>
        <w:ind w:left="2692" w:hanging="280"/>
      </w:pPr>
      <w:rPr>
        <w:rFonts w:hint="default"/>
      </w:rPr>
    </w:lvl>
    <w:lvl w:ilvl="4">
      <w:start w:val="1"/>
      <w:numFmt w:val="bullet"/>
      <w:lvlText w:val="•"/>
      <w:lvlJc w:val="left"/>
      <w:pPr>
        <w:ind w:left="3436" w:hanging="280"/>
      </w:pPr>
      <w:rPr>
        <w:rFonts w:hint="default"/>
      </w:rPr>
    </w:lvl>
    <w:lvl w:ilvl="5">
      <w:start w:val="1"/>
      <w:numFmt w:val="bullet"/>
      <w:lvlText w:val="•"/>
      <w:lvlJc w:val="left"/>
      <w:pPr>
        <w:ind w:left="4180" w:hanging="280"/>
      </w:pPr>
      <w:rPr>
        <w:rFonts w:hint="default"/>
      </w:rPr>
    </w:lvl>
    <w:lvl w:ilvl="6">
      <w:start w:val="1"/>
      <w:numFmt w:val="bullet"/>
      <w:lvlText w:val="•"/>
      <w:lvlJc w:val="left"/>
      <w:pPr>
        <w:ind w:left="4924" w:hanging="280"/>
      </w:pPr>
      <w:rPr>
        <w:rFonts w:hint="default"/>
      </w:rPr>
    </w:lvl>
    <w:lvl w:ilvl="7">
      <w:start w:val="1"/>
      <w:numFmt w:val="bullet"/>
      <w:lvlText w:val="•"/>
      <w:lvlJc w:val="left"/>
      <w:pPr>
        <w:ind w:left="5668" w:hanging="280"/>
      </w:pPr>
      <w:rPr>
        <w:rFonts w:hint="default"/>
      </w:rPr>
    </w:lvl>
    <w:lvl w:ilvl="8">
      <w:start w:val="1"/>
      <w:numFmt w:val="bullet"/>
      <w:lvlText w:val="•"/>
      <w:lvlJc w:val="left"/>
      <w:pPr>
        <w:ind w:left="6412" w:hanging="280"/>
      </w:pPr>
      <w:rPr>
        <w:rFonts w:hint="default"/>
      </w:rPr>
    </w:lvl>
  </w:abstractNum>
  <w:abstractNum w:abstractNumId="4">
    <w:multiLevelType w:val="hybridMultilevel"/>
    <w:lvl w:ilvl="0">
      <w:start w:val="1"/>
      <w:numFmt w:val="decimal"/>
      <w:lvlText w:val="%1)"/>
      <w:lvlJc w:val="left"/>
      <w:pPr>
        <w:ind w:left="3631" w:hanging="400"/>
        <w:jc w:val="left"/>
      </w:pPr>
      <w:rPr>
        <w:rFonts w:hint="default" w:ascii="Myriad Pro Light" w:hAnsi="Myriad Pro Light" w:eastAsia="Myriad Pro Light" w:cs="Myriad Pro Light"/>
        <w:color w:val="231F20"/>
        <w:spacing w:val="-3"/>
        <w:w w:val="100"/>
        <w:sz w:val="22"/>
        <w:szCs w:val="22"/>
      </w:rPr>
    </w:lvl>
    <w:lvl w:ilvl="1">
      <w:start w:val="1"/>
      <w:numFmt w:val="bullet"/>
      <w:lvlText w:val="•"/>
      <w:lvlJc w:val="left"/>
      <w:pPr>
        <w:ind w:left="4364" w:hanging="400"/>
      </w:pPr>
      <w:rPr>
        <w:rFonts w:hint="default"/>
      </w:rPr>
    </w:lvl>
    <w:lvl w:ilvl="2">
      <w:start w:val="1"/>
      <w:numFmt w:val="bullet"/>
      <w:lvlText w:val="•"/>
      <w:lvlJc w:val="left"/>
      <w:pPr>
        <w:ind w:left="5089" w:hanging="400"/>
      </w:pPr>
      <w:rPr>
        <w:rFonts w:hint="default"/>
      </w:rPr>
    </w:lvl>
    <w:lvl w:ilvl="3">
      <w:start w:val="1"/>
      <w:numFmt w:val="bullet"/>
      <w:lvlText w:val="•"/>
      <w:lvlJc w:val="left"/>
      <w:pPr>
        <w:ind w:left="5813" w:hanging="400"/>
      </w:pPr>
      <w:rPr>
        <w:rFonts w:hint="default"/>
      </w:rPr>
    </w:lvl>
    <w:lvl w:ilvl="4">
      <w:start w:val="1"/>
      <w:numFmt w:val="bullet"/>
      <w:lvlText w:val="•"/>
      <w:lvlJc w:val="left"/>
      <w:pPr>
        <w:ind w:left="6538" w:hanging="400"/>
      </w:pPr>
      <w:rPr>
        <w:rFonts w:hint="default"/>
      </w:rPr>
    </w:lvl>
    <w:lvl w:ilvl="5">
      <w:start w:val="1"/>
      <w:numFmt w:val="bullet"/>
      <w:lvlText w:val="•"/>
      <w:lvlJc w:val="left"/>
      <w:pPr>
        <w:ind w:left="7262" w:hanging="400"/>
      </w:pPr>
      <w:rPr>
        <w:rFonts w:hint="default"/>
      </w:rPr>
    </w:lvl>
    <w:lvl w:ilvl="6">
      <w:start w:val="1"/>
      <w:numFmt w:val="bullet"/>
      <w:lvlText w:val="•"/>
      <w:lvlJc w:val="left"/>
      <w:pPr>
        <w:ind w:left="7987" w:hanging="400"/>
      </w:pPr>
      <w:rPr>
        <w:rFonts w:hint="default"/>
      </w:rPr>
    </w:lvl>
    <w:lvl w:ilvl="7">
      <w:start w:val="1"/>
      <w:numFmt w:val="bullet"/>
      <w:lvlText w:val="•"/>
      <w:lvlJc w:val="left"/>
      <w:pPr>
        <w:ind w:left="8711" w:hanging="400"/>
      </w:pPr>
      <w:rPr>
        <w:rFonts w:hint="default"/>
      </w:rPr>
    </w:lvl>
    <w:lvl w:ilvl="8">
      <w:start w:val="1"/>
      <w:numFmt w:val="bullet"/>
      <w:lvlText w:val="•"/>
      <w:lvlJc w:val="left"/>
      <w:pPr>
        <w:ind w:left="9436" w:hanging="400"/>
      </w:pPr>
      <w:rPr>
        <w:rFonts w:hint="default"/>
      </w:rPr>
    </w:lvl>
  </w:abstractNum>
  <w:abstractNum w:abstractNumId="3">
    <w:multiLevelType w:val="hybridMultilevel"/>
    <w:lvl w:ilvl="0">
      <w:start w:val="1"/>
      <w:numFmt w:val="decimal"/>
      <w:lvlText w:val="%1."/>
      <w:lvlJc w:val="left"/>
      <w:pPr>
        <w:ind w:left="360" w:hanging="280"/>
        <w:jc w:val="left"/>
      </w:pPr>
      <w:rPr>
        <w:rFonts w:hint="default" w:ascii="Myriad Pro" w:hAnsi="Myriad Pro" w:eastAsia="Myriad Pro" w:cs="Myriad Pro"/>
        <w:color w:val="231F20"/>
        <w:spacing w:val="-4"/>
        <w:w w:val="99"/>
        <w:sz w:val="20"/>
        <w:szCs w:val="20"/>
      </w:rPr>
    </w:lvl>
    <w:lvl w:ilvl="1">
      <w:start w:val="1"/>
      <w:numFmt w:val="bullet"/>
      <w:lvlText w:val="•"/>
      <w:lvlJc w:val="left"/>
      <w:pPr>
        <w:ind w:left="1110" w:hanging="280"/>
      </w:pPr>
      <w:rPr>
        <w:rFonts w:hint="default"/>
      </w:rPr>
    </w:lvl>
    <w:lvl w:ilvl="2">
      <w:start w:val="1"/>
      <w:numFmt w:val="bullet"/>
      <w:lvlText w:val="•"/>
      <w:lvlJc w:val="left"/>
      <w:pPr>
        <w:ind w:left="1860" w:hanging="280"/>
      </w:pPr>
      <w:rPr>
        <w:rFonts w:hint="default"/>
      </w:rPr>
    </w:lvl>
    <w:lvl w:ilvl="3">
      <w:start w:val="1"/>
      <w:numFmt w:val="bullet"/>
      <w:lvlText w:val="•"/>
      <w:lvlJc w:val="left"/>
      <w:pPr>
        <w:ind w:left="2610" w:hanging="280"/>
      </w:pPr>
      <w:rPr>
        <w:rFonts w:hint="default"/>
      </w:rPr>
    </w:lvl>
    <w:lvl w:ilvl="4">
      <w:start w:val="1"/>
      <w:numFmt w:val="bullet"/>
      <w:lvlText w:val="•"/>
      <w:lvlJc w:val="left"/>
      <w:pPr>
        <w:ind w:left="3360" w:hanging="280"/>
      </w:pPr>
      <w:rPr>
        <w:rFonts w:hint="default"/>
      </w:rPr>
    </w:lvl>
    <w:lvl w:ilvl="5">
      <w:start w:val="1"/>
      <w:numFmt w:val="bullet"/>
      <w:lvlText w:val="•"/>
      <w:lvlJc w:val="left"/>
      <w:pPr>
        <w:ind w:left="4110" w:hanging="280"/>
      </w:pPr>
      <w:rPr>
        <w:rFonts w:hint="default"/>
      </w:rPr>
    </w:lvl>
    <w:lvl w:ilvl="6">
      <w:start w:val="1"/>
      <w:numFmt w:val="bullet"/>
      <w:lvlText w:val="•"/>
      <w:lvlJc w:val="left"/>
      <w:pPr>
        <w:ind w:left="4860" w:hanging="280"/>
      </w:pPr>
      <w:rPr>
        <w:rFonts w:hint="default"/>
      </w:rPr>
    </w:lvl>
    <w:lvl w:ilvl="7">
      <w:start w:val="1"/>
      <w:numFmt w:val="bullet"/>
      <w:lvlText w:val="•"/>
      <w:lvlJc w:val="left"/>
      <w:pPr>
        <w:ind w:left="5610" w:hanging="280"/>
      </w:pPr>
      <w:rPr>
        <w:rFonts w:hint="default"/>
      </w:rPr>
    </w:lvl>
    <w:lvl w:ilvl="8">
      <w:start w:val="1"/>
      <w:numFmt w:val="bullet"/>
      <w:lvlText w:val="•"/>
      <w:lvlJc w:val="left"/>
      <w:pPr>
        <w:ind w:left="6360" w:hanging="280"/>
      </w:pPr>
      <w:rPr>
        <w:rFonts w:hint="default"/>
      </w:rPr>
    </w:lvl>
  </w:abstractNum>
  <w:abstractNum w:abstractNumId="2">
    <w:multiLevelType w:val="hybridMultilevel"/>
    <w:lvl w:ilvl="0">
      <w:start w:val="2"/>
      <w:numFmt w:val="decimal"/>
      <w:lvlText w:val="%1"/>
      <w:lvlJc w:val="left"/>
      <w:pPr>
        <w:ind w:left="853" w:hanging="720"/>
        <w:jc w:val="left"/>
      </w:pPr>
      <w:rPr>
        <w:rFonts w:hint="default"/>
      </w:rPr>
    </w:lvl>
    <w:lvl w:ilvl="1">
      <w:start w:val="1"/>
      <w:numFmt w:val="upperLetter"/>
      <w:lvlText w:val="%1.%2."/>
      <w:lvlJc w:val="left"/>
      <w:pPr>
        <w:ind w:left="3611" w:hanging="720"/>
        <w:jc w:val="right"/>
      </w:pPr>
      <w:rPr>
        <w:rFonts w:hint="default" w:ascii="Myriad Pro Light" w:hAnsi="Myriad Pro Light" w:eastAsia="Myriad Pro Light" w:cs="Myriad Pro Light"/>
        <w:color w:val="231F20"/>
        <w:spacing w:val="-6"/>
        <w:w w:val="100"/>
        <w:sz w:val="32"/>
        <w:szCs w:val="32"/>
      </w:rPr>
    </w:lvl>
    <w:lvl w:ilvl="2">
      <w:start w:val="1"/>
      <w:numFmt w:val="bullet"/>
      <w:lvlText w:val="•"/>
      <w:lvlJc w:val="left"/>
      <w:pPr>
        <w:ind w:left="4429" w:hanging="720"/>
      </w:pPr>
      <w:rPr>
        <w:rFonts w:hint="default"/>
      </w:rPr>
    </w:lvl>
    <w:lvl w:ilvl="3">
      <w:start w:val="1"/>
      <w:numFmt w:val="bullet"/>
      <w:lvlText w:val="•"/>
      <w:lvlJc w:val="left"/>
      <w:pPr>
        <w:ind w:left="5239" w:hanging="720"/>
      </w:pPr>
      <w:rPr>
        <w:rFonts w:hint="default"/>
      </w:rPr>
    </w:lvl>
    <w:lvl w:ilvl="4">
      <w:start w:val="1"/>
      <w:numFmt w:val="bullet"/>
      <w:lvlText w:val="•"/>
      <w:lvlJc w:val="left"/>
      <w:pPr>
        <w:ind w:left="6048" w:hanging="720"/>
      </w:pPr>
      <w:rPr>
        <w:rFonts w:hint="default"/>
      </w:rPr>
    </w:lvl>
    <w:lvl w:ilvl="5">
      <w:start w:val="1"/>
      <w:numFmt w:val="bullet"/>
      <w:lvlText w:val="•"/>
      <w:lvlJc w:val="left"/>
      <w:pPr>
        <w:ind w:left="6858" w:hanging="720"/>
      </w:pPr>
      <w:rPr>
        <w:rFonts w:hint="default"/>
      </w:rPr>
    </w:lvl>
    <w:lvl w:ilvl="6">
      <w:start w:val="1"/>
      <w:numFmt w:val="bullet"/>
      <w:lvlText w:val="•"/>
      <w:lvlJc w:val="left"/>
      <w:pPr>
        <w:ind w:left="7667" w:hanging="720"/>
      </w:pPr>
      <w:rPr>
        <w:rFonts w:hint="default"/>
      </w:rPr>
    </w:lvl>
    <w:lvl w:ilvl="7">
      <w:start w:val="1"/>
      <w:numFmt w:val="bullet"/>
      <w:lvlText w:val="•"/>
      <w:lvlJc w:val="left"/>
      <w:pPr>
        <w:ind w:left="8477" w:hanging="720"/>
      </w:pPr>
      <w:rPr>
        <w:rFonts w:hint="default"/>
      </w:rPr>
    </w:lvl>
    <w:lvl w:ilvl="8">
      <w:start w:val="1"/>
      <w:numFmt w:val="bullet"/>
      <w:lvlText w:val="•"/>
      <w:lvlJc w:val="left"/>
      <w:pPr>
        <w:ind w:left="9286" w:hanging="720"/>
      </w:pPr>
      <w:rPr>
        <w:rFonts w:hint="default"/>
      </w:rPr>
    </w:lvl>
  </w:abstractNum>
  <w:abstractNum w:abstractNumId="1">
    <w:multiLevelType w:val="hybridMultilevel"/>
    <w:lvl w:ilvl="0">
      <w:start w:val="1"/>
      <w:numFmt w:val="decimal"/>
      <w:lvlText w:val="%1."/>
      <w:lvlJc w:val="left"/>
      <w:pPr>
        <w:ind w:left="853" w:hanging="720"/>
        <w:jc w:val="right"/>
      </w:pPr>
      <w:rPr>
        <w:rFonts w:hint="default" w:ascii="Myriad Pro Light" w:hAnsi="Myriad Pro Light" w:eastAsia="Myriad Pro Light" w:cs="Myriad Pro Light"/>
        <w:color w:val="D19F2A"/>
        <w:spacing w:val="-35"/>
        <w:w w:val="100"/>
        <w:sz w:val="42"/>
        <w:szCs w:val="42"/>
      </w:rPr>
    </w:lvl>
    <w:lvl w:ilvl="1">
      <w:start w:val="1"/>
      <w:numFmt w:val="decimal"/>
      <w:lvlText w:val="%2."/>
      <w:lvlJc w:val="left"/>
      <w:pPr>
        <w:ind w:left="3631" w:hanging="400"/>
        <w:jc w:val="left"/>
      </w:pPr>
      <w:rPr>
        <w:rFonts w:hint="default" w:ascii="Myriad Pro Light" w:hAnsi="Myriad Pro Light" w:eastAsia="Myriad Pro Light" w:cs="Myriad Pro Light"/>
        <w:color w:val="231F20"/>
        <w:spacing w:val="-3"/>
        <w:w w:val="100"/>
        <w:sz w:val="22"/>
        <w:szCs w:val="22"/>
      </w:rPr>
    </w:lvl>
    <w:lvl w:ilvl="2">
      <w:start w:val="1"/>
      <w:numFmt w:val="bullet"/>
      <w:lvlText w:val="•"/>
      <w:lvlJc w:val="left"/>
      <w:pPr>
        <w:ind w:left="3640" w:hanging="400"/>
      </w:pPr>
      <w:rPr>
        <w:rFonts w:hint="default"/>
      </w:rPr>
    </w:lvl>
    <w:lvl w:ilvl="3">
      <w:start w:val="1"/>
      <w:numFmt w:val="bullet"/>
      <w:lvlText w:val="•"/>
      <w:lvlJc w:val="left"/>
      <w:pPr>
        <w:ind w:left="4263" w:hanging="400"/>
      </w:pPr>
      <w:rPr>
        <w:rFonts w:hint="default"/>
      </w:rPr>
    </w:lvl>
    <w:lvl w:ilvl="4">
      <w:start w:val="1"/>
      <w:numFmt w:val="bullet"/>
      <w:lvlText w:val="•"/>
      <w:lvlJc w:val="left"/>
      <w:pPr>
        <w:ind w:left="4886" w:hanging="400"/>
      </w:pPr>
      <w:rPr>
        <w:rFonts w:hint="default"/>
      </w:rPr>
    </w:lvl>
    <w:lvl w:ilvl="5">
      <w:start w:val="1"/>
      <w:numFmt w:val="bullet"/>
      <w:lvlText w:val="•"/>
      <w:lvlJc w:val="left"/>
      <w:pPr>
        <w:ind w:left="5509" w:hanging="400"/>
      </w:pPr>
      <w:rPr>
        <w:rFonts w:hint="default"/>
      </w:rPr>
    </w:lvl>
    <w:lvl w:ilvl="6">
      <w:start w:val="1"/>
      <w:numFmt w:val="bullet"/>
      <w:lvlText w:val="•"/>
      <w:lvlJc w:val="left"/>
      <w:pPr>
        <w:ind w:left="6132" w:hanging="400"/>
      </w:pPr>
      <w:rPr>
        <w:rFonts w:hint="default"/>
      </w:rPr>
    </w:lvl>
    <w:lvl w:ilvl="7">
      <w:start w:val="1"/>
      <w:numFmt w:val="bullet"/>
      <w:lvlText w:val="•"/>
      <w:lvlJc w:val="left"/>
      <w:pPr>
        <w:ind w:left="6755" w:hanging="400"/>
      </w:pPr>
      <w:rPr>
        <w:rFonts w:hint="default"/>
      </w:rPr>
    </w:lvl>
    <w:lvl w:ilvl="8">
      <w:start w:val="1"/>
      <w:numFmt w:val="bullet"/>
      <w:lvlText w:val="•"/>
      <w:lvlJc w:val="left"/>
      <w:pPr>
        <w:ind w:left="7379" w:hanging="400"/>
      </w:pPr>
      <w:rPr>
        <w:rFonts w:hint="default"/>
      </w:rPr>
    </w:lvl>
  </w:abstractNum>
  <w:abstractNum w:abstractNumId="0">
    <w:multiLevelType w:val="hybridMultilevel"/>
    <w:lvl w:ilvl="0">
      <w:start w:val="1"/>
      <w:numFmt w:val="decimal"/>
      <w:lvlText w:val="%1."/>
      <w:lvlJc w:val="left"/>
      <w:pPr>
        <w:ind w:left="510" w:hanging="397"/>
        <w:jc w:val="left"/>
      </w:pPr>
      <w:rPr>
        <w:rFonts w:hint="default" w:ascii="Myriad Pro Light" w:hAnsi="Myriad Pro Light" w:eastAsia="Myriad Pro Light" w:cs="Myriad Pro Light"/>
        <w:color w:val="D19F2A"/>
        <w:spacing w:val="-20"/>
        <w:w w:val="100"/>
        <w:sz w:val="24"/>
        <w:szCs w:val="24"/>
      </w:rPr>
    </w:lvl>
    <w:lvl w:ilvl="1">
      <w:start w:val="1"/>
      <w:numFmt w:val="upperLetter"/>
      <w:lvlText w:val="%1.%2."/>
      <w:lvlJc w:val="left"/>
      <w:pPr>
        <w:ind w:left="964" w:hanging="454"/>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570"/>
      <w:ind w:left="510" w:hanging="397"/>
    </w:pPr>
    <w:rPr>
      <w:rFonts w:ascii="Myriad Pro Light" w:hAnsi="Myriad Pro Light" w:eastAsia="Myriad Pro Light" w:cs="Myriad Pro Light"/>
      <w:sz w:val="24"/>
      <w:szCs w:val="24"/>
    </w:rPr>
  </w:style>
  <w:style w:styleId="TOC2" w:type="paragraph">
    <w:name w:val="TOC 2"/>
    <w:basedOn w:val="Normal"/>
    <w:uiPriority w:val="1"/>
    <w:qFormat/>
    <w:pPr>
      <w:spacing w:before="174"/>
      <w:ind w:left="510" w:hanging="454"/>
    </w:pPr>
    <w:rPr>
      <w:rFonts w:ascii="TradeGothic Light" w:hAnsi="TradeGothic Light" w:eastAsia="TradeGothic Light" w:cs="TradeGothic Light"/>
      <w:sz w:val="22"/>
      <w:szCs w:val="22"/>
    </w:rPr>
  </w:style>
  <w:style w:styleId="TOC3" w:type="paragraph">
    <w:name w:val="TOC 3"/>
    <w:basedOn w:val="Normal"/>
    <w:uiPriority w:val="1"/>
    <w:qFormat/>
    <w:pPr>
      <w:spacing w:before="118"/>
      <w:ind w:left="964"/>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85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ind w:left="133"/>
      <w:outlineLvl w:val="2"/>
    </w:pPr>
    <w:rPr>
      <w:rFonts w:ascii="Myriad Pro Light" w:hAnsi="Myriad Pro Light" w:eastAsia="Myriad Pro Light" w:cs="Myriad Pro Light"/>
      <w:sz w:val="32"/>
      <w:szCs w:val="32"/>
    </w:rPr>
  </w:style>
  <w:style w:styleId="Heading3" w:type="paragraph">
    <w:name w:val="Heading 3"/>
    <w:basedOn w:val="Normal"/>
    <w:uiPriority w:val="1"/>
    <w:qFormat/>
    <w:pPr>
      <w:ind w:left="2891"/>
      <w:outlineLvl w:val="3"/>
    </w:pPr>
    <w:rPr>
      <w:rFonts w:ascii="Myriad Pro Light" w:hAnsi="Myriad Pro Light" w:eastAsia="Myriad Pro Light" w:cs="Myriad Pro Light"/>
      <w:sz w:val="28"/>
      <w:szCs w:val="28"/>
    </w:rPr>
  </w:style>
  <w:style w:styleId="Heading4" w:type="paragraph">
    <w:name w:val="Heading 4"/>
    <w:basedOn w:val="Normal"/>
    <w:uiPriority w:val="1"/>
    <w:qFormat/>
    <w:pPr>
      <w:spacing w:before="131"/>
      <w:ind w:left="115"/>
      <w:outlineLvl w:val="4"/>
    </w:pPr>
    <w:rPr>
      <w:rFonts w:ascii="Myriad Pro" w:hAnsi="Myriad Pro" w:eastAsia="Myriad Pro" w:cs="Myriad Pro"/>
      <w:sz w:val="26"/>
      <w:szCs w:val="26"/>
    </w:rPr>
  </w:style>
  <w:style w:styleId="Heading5" w:type="paragraph">
    <w:name w:val="Heading 5"/>
    <w:basedOn w:val="Normal"/>
    <w:uiPriority w:val="1"/>
    <w:qFormat/>
    <w:pPr>
      <w:spacing w:before="102"/>
      <w:ind w:left="113" w:right="1263"/>
      <w:outlineLvl w:val="5"/>
    </w:pPr>
    <w:rPr>
      <w:rFonts w:ascii="Myriad Pro" w:hAnsi="Myriad Pro" w:eastAsia="Myriad Pro" w:cs="Myriad Pro"/>
      <w:b/>
      <w:bCs/>
      <w:sz w:val="22"/>
      <w:szCs w:val="22"/>
    </w:rPr>
  </w:style>
  <w:style w:styleId="Heading6" w:type="paragraph">
    <w:name w:val="Heading 6"/>
    <w:basedOn w:val="Normal"/>
    <w:uiPriority w:val="1"/>
    <w:qFormat/>
    <w:pPr>
      <w:spacing w:before="18"/>
      <w:ind w:left="1135" w:right="1135"/>
      <w:outlineLvl w:val="6"/>
    </w:pPr>
    <w:rPr>
      <w:rFonts w:ascii="Myriad Pro" w:hAnsi="Myriad Pro" w:eastAsia="Myriad Pro" w:cs="Myriad Pro"/>
      <w:b/>
      <w:bCs/>
      <w:i/>
      <w:sz w:val="22"/>
      <w:szCs w:val="22"/>
    </w:rPr>
  </w:style>
  <w:style w:styleId="ListParagraph" w:type="paragraph">
    <w:name w:val="List Paragraph"/>
    <w:basedOn w:val="Normal"/>
    <w:uiPriority w:val="1"/>
    <w:qFormat/>
    <w:pPr>
      <w:spacing w:before="112"/>
      <w:ind w:left="1991" w:hanging="400"/>
    </w:pPr>
    <w:rPr>
      <w:rFonts w:ascii="Myriad Pro Light" w:hAnsi="Myriad Pro Light" w:eastAsia="Myriad Pro Light" w:cs="Myriad Pro Light"/>
    </w:rPr>
  </w:style>
  <w:style w:styleId="TableParagraph" w:type="paragraph">
    <w:name w:val="Table Paragraph"/>
    <w:basedOn w:val="Normal"/>
    <w:uiPriority w:val="1"/>
    <w:qFormat/>
    <w:pPr>
      <w:spacing w:before="27" w:line="220" w:lineRule="exact"/>
      <w:ind w:left="70" w:right="224"/>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tbinternet.ohchr.org/_layouts/treatybodyexternal/Download" TargetMode="External"/><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www.ohchr.org/" TargetMode="External"/><Relationship Id="rId26" Type="http://schemas.openxmlformats.org/officeDocument/2006/relationships/hyperlink" Target="http://www.ods.un.org/" TargetMode="External"/><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2017-12-01T14:30:57Z</dcterms:created>
  <dcterms:modified xsi:type="dcterms:W3CDTF">2017-12-01T14:30:57Z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