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6"/>
        </w:rPr>
      </w:pPr>
      <w:r>
        <w:rPr/>
        <w:pict>
          <v:group style="position:absolute;margin-left:.015015pt;margin-top:.050001pt;width:595pt;height:841.95pt;mso-position-horizontal-relative:page;mso-position-vertical-relative:page;z-index:-47656" coordorigin="0,1" coordsize="11900,16839">
            <v:shape style="position:absolute;left:0;top:1;width:11900;height:16838" type="#_x0000_t75" stroked="false">
              <v:imagedata r:id="rId5" o:title=""/>
            </v:shape>
            <v:shape style="position:absolute;left:0;top:1;width:564;height:16839" coordorigin="0,1" coordsize="564,16839" path="m564,16839l0,16839,0,16839,564,16839,564,16839m564,1l0,1,0,13020,564,13020,564,1e" filled="true" fillcolor="#f99d25" stroked="false">
              <v:path arrowok="t"/>
              <v:fill type="solid"/>
            </v:shape>
            <v:rect style="position:absolute;left:0;top:16839;width:353;height:2" filled="true" fillcolor="#ffffff" stroked="false">
              <v:fill type="solid"/>
            </v:rect>
            <v:shape style="position:absolute;left:0;top:16677;width:2;height:163" coordorigin="0,16677" coordsize="0,163" path="m0,16839l0,16677,0,16839xe" filled="true" fillcolor="#1a3866" stroked="false">
              <v:path arrowok="t"/>
              <v:fill type="solid"/>
            </v:shape>
            <v:shape style="position:absolute;left:0;top:13020;width:564;height:3820" coordorigin="0,13020" coordsize="564,3820" path="m564,16839l0,16839,0,16839,564,16839,564,16839m564,16617l0,16617,0,16677,564,16677,564,16617m564,16392l0,16392,0,16451,564,16451,564,16392m564,16167l0,16167,0,16226,564,16226,564,16167m564,15942l0,15942,0,16001,564,16001,564,15942m564,15717l0,15717,0,15776,564,15776,564,15717m564,15491l0,15491,0,15551,564,15551,564,15491m564,15266l0,15266,0,15326,564,15326,564,15266m564,15041l0,15041,0,15101,564,15101,564,15041m564,14816l0,14816,0,14876,564,14876,564,14816m564,14591l0,14591,0,14651,564,14651,564,14591m564,14366l0,14366,0,14426,564,14426,564,14366m564,14141l0,14141,0,14201,564,14201,564,14141m564,13916l0,13916,0,13976,564,13976,564,13916m564,13691l0,13691,0,13751,564,13751,564,13691m564,13466l0,13466,0,13526,564,13526,564,13466m564,13241l0,13241,0,13300,564,13300,564,13241m564,13020l0,13020,0,13075,564,13075,564,13020e" filled="true" fillcolor="#ffffff" stroked="false">
              <v:path arrowok="t"/>
              <v:fill type="solid"/>
            </v:shape>
            <v:rect style="position:absolute;left:0;top:13075;width:564;height:165" filled="true" fillcolor="#e81c2c" stroked="false">
              <v:fill type="solid"/>
            </v:rect>
            <v:rect style="position:absolute;left:0;top:13300;width:564;height:165" filled="true" fillcolor="#cd9c26" stroked="false">
              <v:fill type="solid"/>
            </v:rect>
            <v:rect style="position:absolute;left:0;top:13526;width:564;height:165" filled="true" fillcolor="#279a47" stroked="false">
              <v:fill type="solid"/>
            </v:rect>
            <v:rect style="position:absolute;left:0;top:13751;width:564;height:165" filled="true" fillcolor="#c21f34" stroked="false">
              <v:fill type="solid"/>
            </v:rect>
            <v:rect style="position:absolute;left:0;top:13976;width:564;height:165" filled="true" fillcolor="#ef3e2b" stroked="false">
              <v:fill type="solid"/>
            </v:rect>
            <v:rect style="position:absolute;left:0;top:14201;width:564;height:165" filled="true" fillcolor="#00add9" stroked="false">
              <v:fill type="solid"/>
            </v:rect>
            <v:rect style="position:absolute;left:0;top:14426;width:564;height:165" filled="true" fillcolor="#fdb714" stroked="false">
              <v:fill type="solid"/>
            </v:rect>
            <v:rect style="position:absolute;left:0;top:14651;width:564;height:165" filled="true" fillcolor="#8e1636" stroked="false">
              <v:fill type="solid"/>
            </v:rect>
            <v:rect style="position:absolute;left:0;top:14876;width:564;height:165" filled="true" fillcolor="#f36e24" stroked="false">
              <v:fill type="solid"/>
            </v:rect>
            <v:rect style="position:absolute;left:0;top:15101;width:564;height:165" filled="true" fillcolor="#e01a83" stroked="false">
              <v:fill type="solid"/>
            </v:rect>
            <v:rect style="position:absolute;left:0;top:15326;width:564;height:165" filled="true" fillcolor="#f99d25" stroked="false">
              <v:fill type="solid"/>
            </v:rect>
            <v:rect style="position:absolute;left:0;top:15551;width:564;height:165" filled="true" fillcolor="#cc8a27" stroked="false">
              <v:fill type="solid"/>
            </v:rect>
            <v:rect style="position:absolute;left:0;top:15776;width:564;height:165" filled="true" fillcolor="#48773c" stroked="false">
              <v:fill type="solid"/>
            </v:rect>
            <v:rect style="position:absolute;left:0;top:16001;width:564;height:165" filled="true" fillcolor="#007dbb" stroked="false">
              <v:fill type="solid"/>
            </v:rect>
            <v:rect style="position:absolute;left:0;top:16226;width:564;height:165" filled="true" fillcolor="#3fae49" stroked="false">
              <v:fill type="solid"/>
            </v:rect>
            <v:rect style="position:absolute;left:0;top:16451;width:564;height:165" filled="true" fillcolor="#005488" stroked="false">
              <v:fill type="solid"/>
            </v:rect>
            <v:rect style="position:absolute;left:0;top:16677;width:564;height:163" filled="true" fillcolor="#1a3866" stroked="false">
              <v:fill type="solid"/>
            </v:rect>
            <v:line style="position:absolute" from="1275,13903" to="10689,13903" stroked="true" strokeweight="1pt" strokecolor="#231f20"/>
            <v:shape style="position:absolute;left:5400;top:821;width:1122;height:947" type="#_x0000_t75" stroked="false">
              <v:imagedata r:id="rId6" o:title=""/>
            </v:shape>
            <w10:wrap type="none"/>
          </v:group>
        </w:pict>
      </w:r>
    </w:p>
    <w:p>
      <w:pPr>
        <w:spacing w:before="57"/>
        <w:ind w:left="3009" w:right="2988" w:firstLine="0"/>
        <w:jc w:val="center"/>
        <w:rPr>
          <w:rFonts w:ascii="Myriad Pro"/>
          <w:sz w:val="25"/>
        </w:rPr>
      </w:pPr>
      <w:r>
        <w:rPr>
          <w:rFonts w:ascii="Myriad Pro"/>
          <w:color w:val="FFFFFF"/>
          <w:sz w:val="25"/>
        </w:rPr>
        <w:t>Nations Unies</w:t>
      </w:r>
    </w:p>
    <w:p>
      <w:pPr>
        <w:pStyle w:val="BodyText"/>
        <w:spacing w:before="6"/>
        <w:rPr>
          <w:rFonts w:ascii="Myriad Pro"/>
        </w:rPr>
      </w:pPr>
    </w:p>
    <w:p>
      <w:pPr>
        <w:pStyle w:val="Heading3"/>
        <w:spacing w:before="53"/>
        <w:ind w:left="1012" w:hanging="545"/>
        <w:rPr>
          <w:rFonts w:ascii="Myriad Pro" w:hAnsi="Myriad Pro"/>
        </w:rPr>
      </w:pPr>
      <w:r>
        <w:rPr>
          <w:rFonts w:ascii="Myriad Pro" w:hAnsi="Myriad Pro"/>
          <w:color w:val="FFFFFF"/>
        </w:rPr>
        <w:t>Division des politiques sociales et du développement social (DSPD) Département des affaires économiques et sociales (DAES)</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635" w:lineRule="exact" w:before="45"/>
        <w:ind w:left="3009" w:right="2996" w:firstLine="0"/>
        <w:jc w:val="center"/>
        <w:rPr>
          <w:rFonts w:ascii="Myriad Pro"/>
          <w:sz w:val="48"/>
        </w:rPr>
      </w:pPr>
      <w:r>
        <w:rPr>
          <w:rFonts w:ascii="Myriad Pro"/>
          <w:b/>
          <w:color w:val="7D4B26"/>
          <w:sz w:val="54"/>
        </w:rPr>
        <w:t>OUTILS </w:t>
      </w:r>
      <w:r>
        <w:rPr>
          <w:rFonts w:ascii="Myriad Pro"/>
          <w:color w:val="7D4B26"/>
          <w:sz w:val="48"/>
        </w:rPr>
        <w:t>sur</w:t>
      </w:r>
    </w:p>
    <w:p>
      <w:pPr>
        <w:spacing w:line="615" w:lineRule="exact" w:before="0"/>
        <w:ind w:left="1041" w:right="0" w:firstLine="0"/>
        <w:jc w:val="left"/>
        <w:rPr>
          <w:rFonts w:ascii="Myriad Pro"/>
          <w:b/>
          <w:sz w:val="54"/>
        </w:rPr>
      </w:pPr>
      <w:r>
        <w:rPr>
          <w:rFonts w:ascii="Myriad Pro"/>
          <w:color w:val="7D4B26"/>
          <w:spacing w:val="-8"/>
          <w:sz w:val="48"/>
        </w:rPr>
        <w:t>le </w:t>
      </w:r>
      <w:r>
        <w:rPr>
          <w:rFonts w:ascii="Myriad Pro"/>
          <w:b/>
          <w:color w:val="7D4B26"/>
          <w:spacing w:val="-14"/>
          <w:sz w:val="54"/>
        </w:rPr>
        <w:t>HANDICAP </w:t>
      </w:r>
      <w:r>
        <w:rPr>
          <w:rFonts w:ascii="Myriad Pro"/>
          <w:color w:val="7D4B26"/>
          <w:spacing w:val="-13"/>
          <w:sz w:val="54"/>
        </w:rPr>
        <w:t>pour</w:t>
      </w:r>
      <w:r>
        <w:rPr>
          <w:rFonts w:ascii="Myriad Pro"/>
          <w:color w:val="7D4B26"/>
          <w:spacing w:val="66"/>
          <w:sz w:val="54"/>
        </w:rPr>
        <w:t> </w:t>
      </w:r>
      <w:r>
        <w:rPr>
          <w:rFonts w:ascii="Myriad Pro"/>
          <w:color w:val="7D4B26"/>
          <w:spacing w:val="-17"/>
          <w:sz w:val="54"/>
        </w:rPr>
        <w:t>l'</w:t>
      </w:r>
      <w:r>
        <w:rPr>
          <w:rFonts w:ascii="Myriad Pro"/>
          <w:b/>
          <w:color w:val="7D4B26"/>
          <w:spacing w:val="-17"/>
          <w:sz w:val="54"/>
        </w:rPr>
        <w:t>AFRIQUE</w:t>
      </w:r>
    </w:p>
    <w:p>
      <w:pPr>
        <w:pStyle w:val="BodyText"/>
        <w:spacing w:before="3"/>
        <w:rPr>
          <w:rFonts w:ascii="Myriad Pro"/>
          <w:b/>
          <w:sz w:val="21"/>
        </w:rPr>
      </w:pPr>
    </w:p>
    <w:p>
      <w:pPr>
        <w:spacing w:line="492" w:lineRule="exact" w:before="75"/>
        <w:ind w:left="3061" w:right="919" w:hanging="2068"/>
        <w:jc w:val="left"/>
        <w:rPr>
          <w:rFonts w:ascii="Myriad Pro" w:hAnsi="Myriad Pro"/>
          <w:b/>
          <w:sz w:val="42"/>
        </w:rPr>
      </w:pPr>
      <w:r>
        <w:rPr>
          <w:rFonts w:ascii="Myriad Pro" w:hAnsi="Myriad Pro"/>
          <w:b/>
          <w:color w:val="231F20"/>
          <w:spacing w:val="-7"/>
          <w:sz w:val="42"/>
        </w:rPr>
        <w:t>PARTICIPATION </w:t>
      </w:r>
      <w:r>
        <w:rPr>
          <w:rFonts w:ascii="Myriad Pro" w:hAnsi="Myriad Pro"/>
          <w:b/>
          <w:color w:val="231F20"/>
          <w:sz w:val="42"/>
        </w:rPr>
        <w:t>À LA VIE POLITIQUE ET PUBLIQUE</w:t>
      </w:r>
    </w:p>
    <w:p>
      <w:pPr>
        <w:spacing w:after="0" w:line="492" w:lineRule="exact"/>
        <w:jc w:val="left"/>
        <w:rPr>
          <w:rFonts w:ascii="Myriad Pro" w:hAnsi="Myriad Pro"/>
          <w:sz w:val="42"/>
        </w:rPr>
        <w:sectPr>
          <w:type w:val="continuous"/>
          <w:pgSz w:w="11900" w:h="16840"/>
          <w:pgMar w:top="160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sz w:val="20"/>
        </w:rPr>
      </w:pPr>
      <w:r>
        <w:rPr/>
        <w:pict>
          <v:group style="position:absolute;margin-left:0pt;margin-top:-1.000002pt;width:595.3pt;height:843.9pt;mso-position-horizontal-relative:page;mso-position-vertical-relative:page;z-index:-47632" coordorigin="0,-20" coordsize="11906,16878">
            <v:shape style="position:absolute;left:0;top:0;width:11906;height:16838" type="#_x0000_t75" stroked="false">
              <v:imagedata r:id="rId7" o:title=""/>
            </v:shape>
            <v:line style="position:absolute" from="9638,7841" to="9638,16838" stroked="true" strokeweight="1.99pt" strokecolor="#f99d25"/>
            <v:line style="position:absolute" from="9638,0" to="9638,2391" stroked="true" strokeweight="2pt" strokecolor="#f99d25"/>
            <v:shape style="position:absolute;left:7892;top:3385;width:2453;height:2740" type="#_x0000_t75" stroked="false">
              <v:imagedata r:id="rId8" o:title=""/>
            </v:shape>
            <v:shape style="position:absolute;left:10087;top:5286;width:258;height:500" type="#_x0000_t75" stroked="false">
              <v:imagedata r:id="rId9" o:title=""/>
            </v:shape>
            <v:shape style="position:absolute;left:7892;top:3386;width:2396;height:2740" type="#_x0000_t75" stroked="false">
              <v:imagedata r:id="rId10" o:title=""/>
            </v:shape>
            <v:shape style="position:absolute;left:10087;top:5286;width:258;height:500" type="#_x0000_t75" stroked="false">
              <v:imagedata r:id="rId11" o:title=""/>
            </v:shape>
            <v:rect style="position:absolute;left:11509;top:0;width:397;height:16838" filled="true" fillcolor="#f99d25" stroked="false">
              <v:fill type="solid"/>
            </v:rect>
            <w10:wrap type="none"/>
          </v:group>
        </w:pict>
      </w: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20"/>
        <w:ind w:left="355" w:right="0" w:firstLine="0"/>
        <w:jc w:val="left"/>
        <w:rPr>
          <w:rFonts w:ascii="Myriad Pro" w:hAnsi="Myriad Pro"/>
          <w:sz w:val="50"/>
        </w:rPr>
      </w:pPr>
      <w:r>
        <w:rPr>
          <w:rFonts w:ascii="Myriad Pro" w:hAnsi="Myriad Pro"/>
          <w:color w:val="F99D25"/>
          <w:sz w:val="50"/>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529" w:lineRule="exact" w:before="23"/>
        <w:ind w:left="1554" w:right="0" w:firstLine="0"/>
        <w:jc w:val="left"/>
        <w:rPr>
          <w:b/>
          <w:sz w:val="44"/>
        </w:rPr>
      </w:pPr>
      <w:r>
        <w:rPr>
          <w:b/>
          <w:color w:val="231F20"/>
          <w:sz w:val="44"/>
        </w:rPr>
        <w:t>PARTICIPATION À LA VIE POLITIQUE</w:t>
      </w:r>
    </w:p>
    <w:p>
      <w:pPr>
        <w:spacing w:line="529" w:lineRule="exact" w:before="0"/>
        <w:ind w:left="5635" w:right="0" w:firstLine="0"/>
        <w:jc w:val="left"/>
        <w:rPr>
          <w:b/>
          <w:sz w:val="44"/>
        </w:rPr>
      </w:pPr>
      <w:r>
        <w:rPr>
          <w:b/>
          <w:color w:val="231F20"/>
          <w:sz w:val="44"/>
        </w:rPr>
        <w:t>ET PUBLIQUE</w:t>
      </w:r>
    </w:p>
    <w:p>
      <w:pPr>
        <w:spacing w:after="0" w:line="529" w:lineRule="exact"/>
        <w:jc w:val="left"/>
        <w:rPr>
          <w:sz w:val="44"/>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9"/>
        <w:rPr>
          <w:rFonts w:ascii="Times New Roman"/>
          <w:sz w:val="29"/>
        </w:rPr>
      </w:pPr>
      <w:r>
        <w:rPr/>
        <w:pict>
          <v:group style="position:absolute;margin-left:462.046997pt;margin-top:0pt;width:133.25pt;height:841.9pt;mso-position-horizontal-relative:page;mso-position-vertical-relative:page;z-index:1096" coordorigin="9241,0" coordsize="2665,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376;top:3057;width:658;height:658" coordorigin="9376,3057" coordsize="658,658" path="m9705,3057l9630,3066,9560,3091,9499,3129,9449,3180,9410,3241,9385,3311,9376,3386,9385,3461,9410,3531,9449,3592,9499,3642,9560,3681,9630,3706,9705,3715,9780,3706,9850,3681,9911,3642,9962,3592,10000,3531,10025,3461,10034,3386,10025,3311,10000,3241,9962,3180,9911,3129,9850,3091,9780,3066,9705,3057xe" filled="true" fillcolor="#f99d25" stroked="false">
              <v:path arrowok="t"/>
              <v:fill type="solid"/>
            </v:shape>
            <v:shape style="position:absolute;left:9450;top:3239;width:386;height:396" type="#_x0000_t75" stroked="false">
              <v:imagedata r:id="rId13" o:title=""/>
            </v:shape>
            <v:shape style="position:absolute;left:9492;top:3126;width:426;height:521" coordorigin="9492,3126" coordsize="426,521" path="m9622,3604l9590,3604,9544,3646,9855,3645,9863,3645,9878,3637,9892,3627,9899,3621,9904,3612,9909,3604,9834,3604,9622,3604xm9906,3163l9800,3163,9818,3164,9833,3165,9846,3168,9858,3175,9869,3187,9874,3201,9875,3216,9876,3496,9876,3533,9876,3553,9874,3567,9872,3576,9867,3584,9858,3593,9847,3601,9839,3602,9834,3604,9909,3604,9913,3597,9917,3581,9918,3564,9918,3204,9916,3186,9909,3169,9906,3163xm9584,3126l9569,3126,9557,3126,9545,3131,9524,3143,9508,3162,9497,3185,9492,3211,9492,3491,9499,3483,9528,3451,9535,3443,9535,3218,9538,3202,9544,3188,9554,3177,9565,3169,9575,3164,9906,3163,9901,3156,9891,3145,9879,3137,9864,3130,9847,3127,9834,3126,9785,3126,9584,3126xm9826,3126l9785,3126,9834,3126,9826,3126xe" filled="true" fillcolor="#ffffff" stroked="false">
              <v:path arrowok="t"/>
              <v:fill type="solid"/>
            </v:shape>
            <v:shape style="position:absolute;left:9376;top:3905;width:658;height:658" coordorigin="9376,3905" coordsize="658,658" path="m9705,3905l9630,3914,9560,3939,9499,3978,9449,4029,9410,4090,9385,4159,9376,4234,9385,4310,9410,4379,9449,4440,9499,4491,9560,4530,9630,4554,9705,4563,9780,4554,9850,4530,9911,4491,9962,4440,10000,4379,10025,4310,10034,4234,10025,4159,10000,4090,9962,4029,9911,3978,9850,3939,9780,3914,9705,3905xe" filled="true" fillcolor="#f99d25" stroked="false">
              <v:path arrowok="t"/>
              <v:fill type="solid"/>
            </v:shape>
            <v:shape style="position:absolute;left:9508;top:3980;width:395;height:510" coordorigin="9508,3980" coordsize="395,510" path="m9887,4455l9523,4455,9528,4461,9527,4461,9532,4467,9535,4469,9539,4472,9544,4475,9552,4481,9568,4487,9578,4487,9585,4490,9826,4490,9833,4487,9843,4487,9860,4480,9867,4476,9871,4472,9876,4469,9879,4467,9883,4461,9884,4460,9887,4455xm9843,4487l9833,4487,9843,4487,9843,4487xm9709,3980l9581,3980,9575,3984,9564,3984,9551,3990,9543,3995,9539,3999,9538,4000,9538,4000,9537,4001,9528,4010,9523,4017,9522,4017,9522,4018,9522,4018,9512,4038,9508,4065,9508,4079,9508,4100,9508,4111,9508,4352,9508,4377,9508,4406,9512,4432,9522,4452,9524,4456,9523,4455,9887,4455,9887,4454,9888,4454,9889,4452,9895,4441,9803,4441,9789,4441,9609,4441,9592,4440,9578,4439,9566,4434,9558,4425,9557,4161,9557,4057,9559,4050,9566,4039,9576,4028,9763,4028,9752,4017,9523,4017,9522,4017,9751,4017,9733,3999,9723,3989,9720,3986,9717,3985,9709,3980xm9888,4454l9887,4454,9887,4456,9888,4454xm9902,4192l9853,4192,9854,4224,9854,4258,9853,4292,9853,4400,9852,4413,9849,4424,9841,4433,9830,4439,9817,4441,9803,4441,9895,4441,9897,4436,9901,4417,9902,4400,9902,4192xm9763,4028l9576,4028,9584,4030,9679,4030,9679,4079,9679,4100,9679,4111,9681,4120,9686,4144,9699,4164,9715,4179,9735,4189,9760,4194,9792,4194,9824,4193,9853,4192,9902,4192,9902,4185,9901,4171,9895,4161,9881,4147,9763,4028xe" filled="true" fillcolor="#ffffff" stroked="false">
              <v:path arrowok="t"/>
              <v:fill type="solid"/>
            </v:shape>
            <v:shape style="position:absolute;left:9585;top:4224;width:243;height:180" type="#_x0000_t75" stroked="false">
              <v:imagedata r:id="rId14" o:title=""/>
            </v:shape>
            <v:shape style="position:absolute;left:9374;top:7172;width:673;height:673" coordorigin="9374,7172" coordsize="673,673" path="m9711,7172l9634,7181,9563,7206,9500,7246,9448,7298,9408,7360,9383,7431,9374,7508,9383,7585,9408,7656,9448,7718,9500,7771,9563,7810,9634,7836,9711,7844,9788,7836,9859,7810,9921,7771,9973,7718,10013,7656,10038,7585,10047,7508,10038,7431,10013,7360,9973,7298,9921,7246,9859,7206,9788,7181,9711,7172xe" filled="true" fillcolor="#f99d25" stroked="false">
              <v:path arrowok="t"/>
              <v:fill type="solid"/>
            </v:shape>
            <v:shape style="position:absolute;left:9480;top:7260;width:446;height:462" type="#_x0000_t75" stroked="false">
              <v:imagedata r:id="rId15" o:title=""/>
            </v:shape>
            <v:shape style="position:absolute;left:9372;top:8043;width:673;height:673" coordorigin="9372,8043" coordsize="673,673" path="m9708,8043l9631,8052,9560,8078,9498,8117,9446,8169,9406,8232,9381,8303,9372,8380,9381,8457,9406,8528,9446,8590,9498,8642,9560,8682,9631,8707,9708,8716,9785,8707,9856,8682,9919,8642,9971,8590,10010,8528,10036,8457,10045,8380,10036,8303,10010,8232,9971,8169,9919,8117,9856,8078,9785,8052,9708,8043xe" filled="true" fillcolor="#f99d25" stroked="false">
              <v:path arrowok="t"/>
              <v:fill type="solid"/>
            </v:shape>
            <v:shape style="position:absolute;left:9488;top:8110;width:446;height:512" coordorigin="9488,8110" coordsize="446,512" path="m9831,8176l9794,8190,9719,8223,9690,8235,9662,8248,9648,8253,9633,8260,9621,8270,9616,8284,9616,8581,9625,8601,9648,8614,9677,8620,9703,8622,9720,8619,9736,8614,9752,8607,9923,8533,9933,8529,9933,8396,9768,8396,9768,8341,9877,8299,9685,8299,9673,8298,9662,8296,9653,8292,9646,8286,9673,8276,9720,8256,9767,8235,9815,8215,9822,8213,9846,8213,9845,8185,9831,8176xm9702,8110l9684,8117,9647,8133,9529,8185,9514,8191,9501,8198,9491,8209,9488,8227,9488,8506,9498,8534,9523,8548,9555,8554,9585,8555,9597,8555,9593,8537,9593,8341,9592,8276,9592,8273,9598,8261,9607,8250,9618,8242,9631,8236,9633,8235,9570,8235,9556,8234,9542,8231,9529,8226,9521,8220,9538,8214,9569,8201,9659,8161,9682,8151,9695,8147,9721,8147,9721,8117,9711,8111,9702,8110xm9933,8298l9879,8298,9879,8354,9768,8396,9933,8396,9933,8298xm9929,8212l9920,8212,9896,8221,9847,8241,9762,8278,9737,8289,9722,8296,9708,8298,9685,8299,9877,8299,9879,8298,9933,8298,9933,8221,9929,8212xm9798,8145l9792,8145,9756,8159,9687,8190,9615,8221,9570,8235,9633,8235,9644,8230,9799,8163,9802,8163,9805,8158,9802,8148,9796,8146,9798,8145xm9846,8213l9822,8213,9829,8217,9846,8222,9846,8213xm9802,8163l9799,8163,9801,8164,9802,8163xm9721,8147l9695,8147,9701,8147,9710,8155,9721,8156,9721,8147xe" filled="true" fillcolor="#ffffff" stroked="false">
              <v:path arrowok="t"/>
              <v:fill type="solid"/>
            </v:shape>
            <v:shape style="position:absolute;left:9380;top:8926;width:658;height:658" coordorigin="9380,8926" coordsize="658,658" path="m9708,8926l9633,8934,9564,8959,9503,8998,9452,9049,9413,9110,9388,9179,9380,9254,9388,9330,9413,9399,9452,9460,9503,9511,9564,9550,9633,9574,9708,9583,9784,9574,9853,9550,9914,9511,9965,9460,10004,9399,10028,9330,10037,9254,10028,9179,10004,9110,9965,9049,9914,8998,9853,8959,9784,8934,9708,8926xe" filled="true" fillcolor="#f99d25" stroked="false">
              <v:path arrowok="t"/>
              <v:fill type="solid"/>
            </v:shape>
            <v:shape style="position:absolute;left:9473;top:9012;width:481;height:479" coordorigin="9473,9012" coordsize="481,479" path="m9536,9027l9527,9027,9512,9035,9499,9045,9492,9051,9487,9059,9478,9075,9474,9090,9473,9107,9473,9374,9473,9394,9473,9413,9476,9430,9482,9448,9490,9460,9500,9470,9512,9479,9526,9485,9544,9489,9564,9490,9605,9489,9865,9489,9874,9489,9887,9484,9907,9474,9923,9457,9930,9443,9578,9443,9562,9443,9549,9440,9537,9432,9526,9421,9521,9409,9520,9396,9519,9171,9519,9144,9519,9136,9519,9120,9521,9107,9523,9098,9528,9090,9537,9081,9548,9073,9556,9073,9560,9070,9753,9070,9757,9066,9769,9054,9789,9033,9791,9032,9794,9029,9796,9028,9796,9027,9538,9027,9536,9027xm9937,9165l9931,9171,9918,9184,9895,9207,9893,9209,9891,9210,9891,9212,9891,9396,9889,9409,9884,9421,9876,9431,9866,9438,9856,9443,9595,9443,9578,9443,9930,9443,9933,9436,9937,9413,9937,9409,9938,9394,9938,9225,9938,9207,9938,9184,9937,9165xm9610,9346l9609,9348,9609,9349,9607,9357,9612,9356,9613,9355,9608,9355,9609,9352,9610,9349,9610,9346xm9639,9244l9633,9264,9623,9298,9614,9331,9610,9346,9610,9349,9609,9352,9608,9355,9614,9354,9720,9324,9707,9311,9679,9284,9652,9257,9639,9244xm9614,9354l9608,9355,9613,9355,9614,9354xm9829,9056l9825,9058,9811,9073,9794,9090,9651,9232,9657,9239,9670,9252,9691,9272,9712,9294,9725,9306,9732,9312,9747,9298,9901,9144,9907,9140,9909,9136,9897,9123,9870,9096,9843,9069,9829,9056xm9894,9012l9871,9012,9865,9019,9856,9028,9843,9040,9842,9043,9922,9123,9928,9118,9935,9111,9945,9100,9954,9094,9954,9072,9946,9066,9916,9037,9911,9031,9899,9020,9894,9012xm9753,9070l9560,9070,9586,9071,9728,9071,9752,9071,9753,9070xm9538,9026l9538,9026,9538,9027,9796,9027,9796,9027,9543,9027,9538,9026xm9736,9025l9549,9026,9543,9027,9796,9027,9796,9026,9736,9025xe" filled="true" fillcolor="#ffffff" stroked="false">
              <v:path arrowok="t"/>
              <v:fill type="solid"/>
            </v:shape>
            <v:shapetype id="_x0000_t202" o:spt="202" coordsize="21600,21600" path="m,l,21600r21600,l21600,xe">
              <v:stroke joinstyle="miter"/>
              <v:path gradientshapeok="t" o:connecttype="rect"/>
            </v:shapety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99D25" w:color="auto" w:val="clear"/>
                      </w:rPr>
                      <w:t> </w:t>
                    </w:r>
                    <w:r>
                      <w:rPr>
                        <w:rFonts w:ascii="Myriad Pro"/>
                        <w:color w:val="FFFFFF"/>
                        <w:sz w:val="26"/>
                        <w:shd w:fill="F99D25" w:color="auto" w:val="clear"/>
                      </w:rPr>
                      <w:t>iii</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13" w:firstLine="0"/>
        <w:rPr>
          <w:b/>
        </w:rPr>
      </w:pPr>
      <w:r>
        <w:rPr>
          <w:b/>
          <w:color w:val="F99D25"/>
        </w:rPr>
        <w:t>TABLE DES MATIÈRES</w:t>
      </w:r>
    </w:p>
    <w:p>
      <w:pPr>
        <w:pStyle w:val="BodyText"/>
        <w:rPr>
          <w:b/>
          <w:sz w:val="42"/>
        </w:rPr>
      </w:pPr>
    </w:p>
    <w:p>
      <w:pPr>
        <w:pStyle w:val="BodyText"/>
        <w:rPr>
          <w:b/>
          <w:sz w:val="42"/>
        </w:rPr>
      </w:pPr>
    </w:p>
    <w:sdt>
      <w:sdtPr>
        <w:docPartObj>
          <w:docPartGallery w:val="Table of Contents"/>
          <w:docPartUnique/>
        </w:docPartObj>
      </w:sdtPr>
      <w:sdtEndPr/>
      <w:sdtContent>
        <w:p>
          <w:pPr>
            <w:pStyle w:val="TOC1"/>
            <w:numPr>
              <w:ilvl w:val="0"/>
              <w:numId w:val="1"/>
            </w:numPr>
            <w:tabs>
              <w:tab w:pos="511" w:val="left" w:leader="none"/>
              <w:tab w:pos="7953" w:val="right" w:leader="dot"/>
            </w:tabs>
            <w:spacing w:line="240" w:lineRule="auto" w:before="302" w:after="0"/>
            <w:ind w:left="510" w:right="0" w:hanging="397"/>
            <w:jc w:val="left"/>
            <w:rPr>
              <w:b/>
            </w:rPr>
          </w:pPr>
          <w:hyperlink w:history="true" w:anchor="_TOC_250011">
            <w:r>
              <w:rPr>
                <w:b/>
                <w:color w:val="F99D25"/>
                <w:spacing w:val="-4"/>
              </w:rPr>
              <w:t>PRÉSENTATION</w:t>
              <w:tab/>
            </w:r>
            <w:r>
              <w:rPr>
                <w:b/>
                <w:color w:val="F99D25"/>
              </w:rPr>
              <w:t>1</w:t>
            </w:r>
          </w:hyperlink>
        </w:p>
        <w:p>
          <w:pPr>
            <w:pStyle w:val="TOC1"/>
            <w:numPr>
              <w:ilvl w:val="0"/>
              <w:numId w:val="1"/>
            </w:numPr>
            <w:tabs>
              <w:tab w:pos="511" w:val="left" w:leader="none"/>
              <w:tab w:pos="7953" w:val="right" w:leader="dot"/>
            </w:tabs>
            <w:spacing w:line="240" w:lineRule="auto" w:before="570" w:after="0"/>
            <w:ind w:left="510" w:right="0" w:hanging="397"/>
            <w:jc w:val="left"/>
            <w:rPr>
              <w:b/>
            </w:rPr>
          </w:pPr>
          <w:hyperlink w:history="true" w:anchor="_TOC_250010">
            <w:r>
              <w:rPr>
                <w:b/>
                <w:color w:val="F99D25"/>
              </w:rPr>
              <w:t>CONTENU</w:t>
            </w:r>
            <w:r>
              <w:rPr>
                <w:b/>
                <w:color w:val="F99D25"/>
                <w:spacing w:val="-11"/>
              </w:rPr>
              <w:t> </w:t>
            </w:r>
            <w:r>
              <w:rPr>
                <w:b/>
                <w:color w:val="F99D25"/>
              </w:rPr>
              <w:t>TECHNIQUE</w:t>
              <w:tab/>
              <w:t>3</w:t>
            </w:r>
          </w:hyperlink>
        </w:p>
        <w:p>
          <w:pPr>
            <w:pStyle w:val="TOC2"/>
            <w:numPr>
              <w:ilvl w:val="1"/>
              <w:numId w:val="1"/>
            </w:numPr>
            <w:tabs>
              <w:tab w:pos="965" w:val="left" w:leader="none"/>
              <w:tab w:pos="7953" w:val="right" w:leader="dot"/>
            </w:tabs>
            <w:spacing w:line="240" w:lineRule="auto" w:before="218" w:after="0"/>
            <w:ind w:left="964" w:right="0" w:hanging="454"/>
            <w:jc w:val="left"/>
          </w:pPr>
          <w:hyperlink w:history="true" w:anchor="_TOC_250009">
            <w:r>
              <w:rPr>
                <w:color w:val="231F20"/>
              </w:rPr>
              <w:t>Contexte</w:t>
              <w:tab/>
              <w:t>3</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8">
            <w:r>
              <w:rPr>
                <w:color w:val="231F20"/>
              </w:rPr>
              <w:t>Cadre juridique</w:t>
              <w:tab/>
              <w:t>4</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7">
            <w:r>
              <w:rPr>
                <w:color w:val="231F20"/>
              </w:rPr>
              <w:t>Mesures pour garantir des processus politiques inclusifs</w:t>
              <w:tab/>
              <w:t>6</w:t>
            </w:r>
          </w:hyperlink>
        </w:p>
        <w:p>
          <w:pPr>
            <w:pStyle w:val="TOC2"/>
            <w:numPr>
              <w:ilvl w:val="1"/>
              <w:numId w:val="1"/>
            </w:numPr>
            <w:tabs>
              <w:tab w:pos="965" w:val="left" w:leader="none"/>
            </w:tabs>
            <w:spacing w:line="240" w:lineRule="auto" w:before="174" w:after="0"/>
            <w:ind w:left="964" w:right="0" w:hanging="454"/>
            <w:jc w:val="left"/>
          </w:pPr>
          <w:r>
            <w:rPr>
              <w:color w:val="231F20"/>
            </w:rPr>
            <w:t>Le droit de se présenter aux élections et d’occuper une fonction</w:t>
          </w:r>
        </w:p>
        <w:p>
          <w:pPr>
            <w:pStyle w:val="TOC3"/>
            <w:tabs>
              <w:tab w:pos="7953" w:val="right" w:leader="dot"/>
            </w:tabs>
          </w:pPr>
          <w:r>
            <w:rPr>
              <w:color w:val="231F20"/>
            </w:rPr>
            <w:t>publique</w:t>
            <w:tab/>
            <w:t>13</w:t>
          </w:r>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6">
            <w:r>
              <w:rPr>
                <w:color w:val="231F20"/>
              </w:rPr>
              <w:t>Le droit de former et de rejoindre des organisations</w:t>
              <w:tab/>
              <w:t>14</w:t>
            </w:r>
          </w:hyperlink>
        </w:p>
        <w:p>
          <w:pPr>
            <w:pStyle w:val="TOC1"/>
            <w:numPr>
              <w:ilvl w:val="0"/>
              <w:numId w:val="1"/>
            </w:numPr>
            <w:tabs>
              <w:tab w:pos="511" w:val="left" w:leader="none"/>
              <w:tab w:pos="7953" w:val="right" w:leader="dot"/>
            </w:tabs>
            <w:spacing w:line="240" w:lineRule="auto" w:before="523" w:after="0"/>
            <w:ind w:left="510" w:right="0" w:hanging="397"/>
            <w:jc w:val="left"/>
            <w:rPr>
              <w:rFonts w:ascii="Myriad Pro" w:hAnsi="Myriad Pro"/>
              <w:b/>
            </w:rPr>
          </w:pPr>
          <w:hyperlink w:history="true" w:anchor="_TOC_250005">
            <w:r>
              <w:rPr>
                <w:b/>
                <w:color w:val="F99D25"/>
              </w:rPr>
              <w:t>RÉSUMÉ ET </w:t>
            </w:r>
            <w:r>
              <w:rPr>
                <w:b/>
                <w:color w:val="F99D25"/>
                <w:spacing w:val="-3"/>
              </w:rPr>
              <w:t>PRINCIPAUX</w:t>
            </w:r>
            <w:r>
              <w:rPr>
                <w:b/>
                <w:color w:val="F99D25"/>
              </w:rPr>
              <w:t> ENSEIGNEMENTS</w:t>
            </w:r>
            <w:r>
              <w:rPr>
                <w:rFonts w:ascii="Myriad Pro" w:hAnsi="Myriad Pro"/>
                <w:b/>
                <w:color w:val="F99D25"/>
              </w:rPr>
              <w:tab/>
              <w:t>15</w:t>
            </w:r>
          </w:hyperlink>
        </w:p>
        <w:p>
          <w:pPr>
            <w:pStyle w:val="TOC1"/>
            <w:numPr>
              <w:ilvl w:val="0"/>
              <w:numId w:val="1"/>
            </w:numPr>
            <w:tabs>
              <w:tab w:pos="511" w:val="left" w:leader="none"/>
              <w:tab w:pos="7953" w:val="right" w:leader="dot"/>
            </w:tabs>
            <w:spacing w:line="240" w:lineRule="auto" w:before="566" w:after="0"/>
            <w:ind w:left="510" w:right="0" w:hanging="397"/>
            <w:jc w:val="left"/>
            <w:rPr>
              <w:rFonts w:ascii="Myriad Pro"/>
              <w:b/>
            </w:rPr>
          </w:pPr>
          <w:hyperlink w:history="true" w:anchor="_TOC_250004">
            <w:r>
              <w:rPr>
                <w:b/>
                <w:color w:val="F99D25"/>
              </w:rPr>
              <w:t>RESSOURCES UTILES</w:t>
            </w:r>
            <w:r>
              <w:rPr>
                <w:rFonts w:ascii="Myriad Pro"/>
                <w:b/>
                <w:color w:val="F99D25"/>
              </w:rPr>
              <w:tab/>
              <w:t>16</w:t>
            </w:r>
          </w:hyperlink>
        </w:p>
        <w:p>
          <w:pPr>
            <w:pStyle w:val="TOC1"/>
            <w:numPr>
              <w:ilvl w:val="0"/>
              <w:numId w:val="1"/>
            </w:numPr>
            <w:tabs>
              <w:tab w:pos="511" w:val="left" w:leader="none"/>
              <w:tab w:pos="7953" w:val="right" w:leader="dot"/>
            </w:tabs>
            <w:spacing w:line="240" w:lineRule="auto" w:before="566" w:after="0"/>
            <w:ind w:left="510" w:right="0" w:hanging="397"/>
            <w:jc w:val="left"/>
            <w:rPr>
              <w:rFonts w:ascii="Myriad Pro" w:hAnsi="Myriad Pro"/>
              <w:b/>
            </w:rPr>
          </w:pPr>
          <w:hyperlink w:history="true" w:anchor="_TOC_250003">
            <w:r>
              <w:rPr>
                <w:b/>
                <w:color w:val="F99D25"/>
              </w:rPr>
              <w:t>ACTIVITÉS</w:t>
            </w:r>
            <w:r>
              <w:rPr>
                <w:b/>
                <w:color w:val="F99D25"/>
                <w:spacing w:val="-1"/>
              </w:rPr>
              <w:t> </w:t>
            </w:r>
            <w:r>
              <w:rPr>
                <w:b/>
                <w:color w:val="F99D25"/>
              </w:rPr>
              <w:t>D’APPRENTISSAGE</w:t>
            </w:r>
            <w:r>
              <w:rPr>
                <w:rFonts w:ascii="Myriad Pro" w:hAnsi="Myriad Pro"/>
                <w:b/>
                <w:color w:val="F99D25"/>
              </w:rPr>
              <w:tab/>
              <w:t>17</w:t>
            </w:r>
          </w:hyperlink>
        </w:p>
        <w:p>
          <w:pPr>
            <w:pStyle w:val="TOC2"/>
            <w:tabs>
              <w:tab w:pos="7937" w:val="right" w:leader="dot"/>
            </w:tabs>
            <w:spacing w:line="244" w:lineRule="auto" w:before="218"/>
            <w:ind w:left="510" w:right="2929" w:firstLine="0"/>
          </w:pPr>
          <w:hyperlink w:history="true" w:anchor="_TOC_250002">
            <w:r>
              <w:rPr>
                <w:color w:val="231F20"/>
              </w:rPr>
              <w:t>Fiche de cours du formateur – Participation à la vie politique et publique, Session 1 </w:t>
              <w:tab/>
            </w:r>
            <w:r>
              <w:rPr>
                <w:color w:val="231F20"/>
                <w:w w:val="26"/>
              </w:rPr>
              <w:t> </w:t>
            </w:r>
            <w:r>
              <w:rPr>
                <w:color w:val="231F20"/>
              </w:rPr>
              <w:t>17</w:t>
            </w:r>
          </w:hyperlink>
        </w:p>
        <w:p>
          <w:pPr>
            <w:pStyle w:val="TOC3"/>
            <w:spacing w:before="113"/>
          </w:pPr>
          <w:r>
            <w:rPr>
              <w:color w:val="231F20"/>
            </w:rPr>
            <w:t>Activité d'apprentissage 2.A. : Barrières à la participation à la vie</w:t>
          </w:r>
        </w:p>
        <w:p>
          <w:pPr>
            <w:pStyle w:val="TOC3"/>
            <w:tabs>
              <w:tab w:pos="7951" w:val="right" w:leader="dot"/>
            </w:tabs>
          </w:pPr>
          <w:r>
            <w:rPr>
              <w:color w:val="231F20"/>
              <w:spacing w:val="-3"/>
            </w:rPr>
            <w:t>politique</w:t>
          </w:r>
          <w:r>
            <w:rPr>
              <w:color w:val="231F20"/>
              <w:spacing w:val="-5"/>
            </w:rPr>
            <w:t> </w:t>
          </w:r>
          <w:r>
            <w:rPr>
              <w:color w:val="231F20"/>
            </w:rPr>
            <w:t>et</w:t>
          </w:r>
          <w:r>
            <w:rPr>
              <w:color w:val="231F20"/>
              <w:spacing w:val="-5"/>
            </w:rPr>
            <w:t> </w:t>
          </w:r>
          <w:r>
            <w:rPr>
              <w:color w:val="231F20"/>
              <w:spacing w:val="-3"/>
            </w:rPr>
            <w:t>publique</w:t>
            <w:tab/>
            <w:t>18</w:t>
          </w:r>
        </w:p>
        <w:p>
          <w:pPr>
            <w:pStyle w:val="TOC2"/>
            <w:tabs>
              <w:tab w:pos="7937" w:val="right" w:leader="dot"/>
            </w:tabs>
            <w:spacing w:line="244" w:lineRule="auto"/>
            <w:ind w:left="510" w:right="2929" w:firstLine="0"/>
          </w:pPr>
          <w:hyperlink w:history="true" w:anchor="_TOC_250001">
            <w:r>
              <w:rPr>
                <w:color w:val="231F20"/>
              </w:rPr>
              <w:t>Fiche de cours du formateur – Participation à la vie politique et publique, Session 2 </w:t>
              <w:tab/>
            </w:r>
            <w:r>
              <w:rPr>
                <w:color w:val="231F20"/>
                <w:w w:val="26"/>
              </w:rPr>
              <w:t> </w:t>
            </w:r>
            <w:r>
              <w:rPr>
                <w:color w:val="231F20"/>
              </w:rPr>
              <w:t>20</w:t>
            </w:r>
          </w:hyperlink>
        </w:p>
        <w:p>
          <w:pPr>
            <w:pStyle w:val="TOC3"/>
            <w:tabs>
              <w:tab w:pos="7935" w:val="right" w:leader="dot"/>
            </w:tabs>
            <w:spacing w:line="244" w:lineRule="auto" w:before="113"/>
            <w:ind w:right="2931"/>
          </w:pPr>
          <w:hyperlink w:history="true" w:anchor="_TOC_250000">
            <w:r>
              <w:rPr>
                <w:color w:val="231F20"/>
                <w:spacing w:val="-3"/>
              </w:rPr>
              <w:t>Activité d'apprentissage 2.C. </w:t>
            </w:r>
            <w:r>
              <w:rPr>
                <w:color w:val="231F20"/>
              </w:rPr>
              <w:t>: </w:t>
            </w:r>
            <w:r>
              <w:rPr>
                <w:color w:val="231F20"/>
                <w:spacing w:val="-3"/>
              </w:rPr>
              <w:t>Mesures pour garantir </w:t>
            </w:r>
            <w:r>
              <w:rPr>
                <w:color w:val="231F20"/>
              </w:rPr>
              <w:t>des </w:t>
            </w:r>
            <w:r>
              <w:rPr>
                <w:color w:val="231F20"/>
                <w:spacing w:val="-3"/>
              </w:rPr>
              <w:t>processus politiques</w:t>
            </w:r>
            <w:r>
              <w:rPr>
                <w:color w:val="231F20"/>
                <w:spacing w:val="-2"/>
              </w:rPr>
              <w:t> </w:t>
            </w:r>
            <w:r>
              <w:rPr>
                <w:color w:val="231F20"/>
                <w:spacing w:val="-3"/>
              </w:rPr>
              <w:t>inclusifs</w:t>
            </w:r>
            <w:r>
              <w:rPr>
                <w:color w:val="231F20"/>
              </w:rPr>
              <w:t> </w:t>
              <w:tab/>
            </w:r>
            <w:r>
              <w:rPr>
                <w:color w:val="231F20"/>
                <w:w w:val="26"/>
              </w:rPr>
              <w:t> </w:t>
            </w:r>
            <w:r>
              <w:rPr>
                <w:color w:val="231F20"/>
                <w:spacing w:val="-3"/>
              </w:rPr>
              <w:t>21</w:t>
            </w:r>
          </w:hyperlink>
        </w:p>
      </w:sdtContent>
    </w:sdt>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spacing w:before="9"/>
        <w:rPr>
          <w:rFonts w:ascii="TradeGothic Light"/>
          <w:sz w:val="18"/>
        </w:rPr>
      </w:pPr>
    </w:p>
    <w:p>
      <w:pPr>
        <w:spacing w:before="0"/>
        <w:ind w:left="3917" w:right="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47512"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iv</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2891" w:right="374" w:firstLine="0"/>
        <w:rPr>
          <w:b/>
        </w:rPr>
      </w:pPr>
      <w:r>
        <w:rPr/>
        <w:pict>
          <v:line style="position:absolute;mso-position-horizontal-relative:page;mso-position-vertical-relative:paragraph;z-index:1120;mso-wrap-distance-left:0;mso-wrap-distance-right:0" from="144.566895pt,29.548626pt" to="538.582895pt,29.548626pt" stroked="true" strokeweight="1.5pt" strokecolor="#f99d25">
            <w10:wrap type="topAndBottom"/>
          </v:line>
        </w:pict>
      </w:r>
      <w:r>
        <w:rPr>
          <w:b/>
          <w:color w:val="F99D25"/>
        </w:rPr>
        <w:t>Remerciements</w:t>
      </w:r>
    </w:p>
    <w:p>
      <w:pPr>
        <w:pStyle w:val="BodyText"/>
        <w:spacing w:before="2"/>
        <w:rPr>
          <w:b/>
          <w:sz w:val="32"/>
        </w:rPr>
      </w:pPr>
    </w:p>
    <w:p>
      <w:pPr>
        <w:pStyle w:val="BodyText"/>
        <w:spacing w:line="266" w:lineRule="auto"/>
        <w:ind w:left="2891" w:right="374"/>
        <w:rPr>
          <w:b w:val="0"/>
        </w:rPr>
      </w:pPr>
      <w:r>
        <w:rPr>
          <w:b w:val="0"/>
          <w:color w:val="231F20"/>
        </w:rPr>
        <w:t>La Division des politiques sociales et du développement social (DSPD) souhaite remercier tous ceux qui ont contribué aux Outils sur le handicap pour l’Afrique, dont le Haut-Commissariat des Nations Unies aux droits de l’homme (HCDH), la Commission économique pour l’Afrique (CEA), le Bureau international du Travail (BIT), le Centre international de formation de l’OIT (CIF-OIT), l’Organisation mondiale de la Santé (OMS),</w:t>
      </w:r>
    </w:p>
    <w:p>
      <w:pPr>
        <w:pStyle w:val="BodyText"/>
        <w:spacing w:line="266" w:lineRule="auto"/>
        <w:ind w:left="2891" w:right="113"/>
        <w:rPr>
          <w:b w:val="0"/>
        </w:rPr>
      </w:pPr>
      <w:r>
        <w:rPr>
          <w:b w:val="0"/>
          <w:color w:val="231F20"/>
        </w:rPr>
        <w:t>l’Union africaine et les gouvernements du Kenya, d’Afrique du Sud et de Zambie. La DSPD souhaite également remercier le gouvernement italien pour son soutien financier et les nombreuses organisations de personnes handicapées africaines (OPH) qui ont apporté une contribution essentielle à ces Outils.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spacing w:before="117"/>
        <w:ind w:left="2891" w:right="374"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240" coordorigin="9241,0" coordsize="2665,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99D25" w:color="auto" w:val="clear"/>
                      </w:rPr>
                      <w:t> </w:t>
                    </w:r>
                    <w:r>
                      <w:rPr>
                        <w:rFonts w:ascii="Myriad Pro"/>
                        <w:color w:val="FFFFFF"/>
                        <w:sz w:val="26"/>
                        <w:shd w:fill="F99D25" w:color="auto" w:val="clear"/>
                      </w:rPr>
                      <w:t>v</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33" w:right="374" w:firstLine="0"/>
        <w:rPr>
          <w:b/>
        </w:rPr>
      </w:pPr>
      <w:r>
        <w:rPr/>
        <w:pict>
          <v:line style="position:absolute;mso-position-horizontal-relative:page;mso-position-vertical-relative:paragraph;z-index:1192;mso-wrap-distance-left:0;mso-wrap-distance-right:0" from="56.692902pt,29.548626pt" to="450.708902pt,29.548626pt" stroked="true" strokeweight="1.5pt" strokecolor="#f99d25">
            <w10:wrap type="topAndBottom"/>
          </v:line>
        </w:pict>
      </w:r>
      <w:r>
        <w:rPr>
          <w:b/>
          <w:color w:val="F99D25"/>
        </w:rPr>
        <w:t>Liste d’acronymes</w:t>
      </w:r>
    </w:p>
    <w:p>
      <w:pPr>
        <w:pStyle w:val="BodyText"/>
        <w:spacing w:before="3"/>
        <w:rPr>
          <w:b/>
          <w:sz w:val="31"/>
        </w:rPr>
      </w:pPr>
    </w:p>
    <w:p>
      <w:pPr>
        <w:pStyle w:val="BodyText"/>
        <w:tabs>
          <w:tab w:pos="1413" w:val="left" w:leader="none"/>
        </w:tabs>
        <w:ind w:left="133" w:right="374"/>
        <w:rPr>
          <w:b w:val="0"/>
        </w:rPr>
      </w:pPr>
      <w:r>
        <w:rPr>
          <w:rFonts w:ascii="Myriad Pro" w:hAnsi="Myriad Pro"/>
          <w:b/>
          <w:color w:val="231F20"/>
        </w:rPr>
        <w:t>ANVPT</w:t>
        <w:tab/>
      </w:r>
      <w:r>
        <w:rPr>
          <w:b w:val="0"/>
          <w:color w:val="231F20"/>
        </w:rPr>
        <w:t>Accès non visuel aux postes de</w:t>
      </w:r>
      <w:r>
        <w:rPr>
          <w:b w:val="0"/>
          <w:color w:val="231F20"/>
          <w:spacing w:val="-7"/>
        </w:rPr>
        <w:t> </w:t>
      </w:r>
      <w:r>
        <w:rPr>
          <w:b w:val="0"/>
          <w:color w:val="231F20"/>
        </w:rPr>
        <w:t>travail</w:t>
      </w:r>
    </w:p>
    <w:p>
      <w:pPr>
        <w:pStyle w:val="BodyText"/>
        <w:tabs>
          <w:tab w:pos="1413" w:val="left" w:leader="none"/>
        </w:tabs>
        <w:spacing w:before="131"/>
        <w:ind w:left="133" w:right="374"/>
        <w:rPr>
          <w:b w:val="0"/>
        </w:rPr>
      </w:pPr>
      <w:r>
        <w:rPr>
          <w:rFonts w:ascii="Myriad Pro"/>
          <w:b/>
          <w:color w:val="231F20"/>
          <w:spacing w:val="-10"/>
        </w:rPr>
        <w:t>AT</w:t>
        <w:tab/>
      </w:r>
      <w:r>
        <w:rPr>
          <w:b w:val="0"/>
          <w:color w:val="231F20"/>
        </w:rPr>
        <w:t>Aide</w:t>
      </w:r>
      <w:r>
        <w:rPr>
          <w:b w:val="0"/>
          <w:color w:val="231F20"/>
          <w:spacing w:val="-2"/>
        </w:rPr>
        <w:t> </w:t>
      </w:r>
      <w:r>
        <w:rPr>
          <w:b w:val="0"/>
          <w:color w:val="231F20"/>
        </w:rPr>
        <w:t>technique</w:t>
      </w:r>
    </w:p>
    <w:p>
      <w:pPr>
        <w:pStyle w:val="BodyText"/>
        <w:tabs>
          <w:tab w:pos="1413" w:val="left" w:leader="none"/>
        </w:tabs>
        <w:spacing w:before="131"/>
        <w:ind w:left="133" w:right="374"/>
        <w:rPr>
          <w:b w:val="0"/>
        </w:rPr>
      </w:pPr>
      <w:r>
        <w:rPr>
          <w:rFonts w:ascii="Myriad Pro" w:hAnsi="Myriad Pro"/>
          <w:b/>
          <w:color w:val="231F20"/>
        </w:rPr>
        <w:t>CDE</w:t>
        <w:tab/>
      </w:r>
      <w:r>
        <w:rPr>
          <w:b w:val="0"/>
          <w:color w:val="231F20"/>
        </w:rPr>
        <w:t>Comité des droits de</w:t>
      </w:r>
      <w:r>
        <w:rPr>
          <w:b w:val="0"/>
          <w:color w:val="231F20"/>
          <w:spacing w:val="-21"/>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Comité des droits des personnes</w:t>
      </w:r>
      <w:r>
        <w:rPr>
          <w:b w:val="0"/>
          <w:color w:val="231F20"/>
          <w:spacing w:val="-7"/>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Convention relative aux droits des personnes</w:t>
      </w:r>
      <w:r>
        <w:rPr>
          <w:b w:val="0"/>
          <w:color w:val="231F20"/>
          <w:spacing w:val="-15"/>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CE</w:t>
        <w:tab/>
      </w:r>
      <w:r>
        <w:rPr>
          <w:b w:val="0"/>
          <w:color w:val="231F20"/>
        </w:rPr>
        <w:t>Commission</w:t>
      </w:r>
      <w:r>
        <w:rPr>
          <w:b w:val="0"/>
          <w:color w:val="231F20"/>
          <w:spacing w:val="-5"/>
        </w:rPr>
        <w:t> </w:t>
      </w:r>
      <w:r>
        <w:rPr>
          <w:b w:val="0"/>
          <w:color w:val="231F20"/>
        </w:rPr>
        <w:t>européenne</w:t>
      </w:r>
    </w:p>
    <w:p>
      <w:pPr>
        <w:pStyle w:val="BodyText"/>
        <w:tabs>
          <w:tab w:pos="1413" w:val="left" w:leader="none"/>
        </w:tabs>
        <w:spacing w:before="131"/>
        <w:ind w:left="133" w:right="374"/>
        <w:rPr>
          <w:b w:val="0"/>
        </w:rPr>
      </w:pPr>
      <w:r>
        <w:rPr>
          <w:rFonts w:ascii="Myriad Pro" w:hAnsi="Myriad Pro"/>
          <w:b/>
          <w:color w:val="231F20"/>
          <w:spacing w:val="-4"/>
        </w:rPr>
        <w:t>CEDAW</w:t>
        <w:tab/>
      </w:r>
      <w:r>
        <w:rPr>
          <w:b w:val="0"/>
          <w:color w:val="231F20"/>
        </w:rPr>
        <w:t>Comité pour l’élimination de la discrimination à </w:t>
      </w:r>
      <w:r>
        <w:rPr>
          <w:b w:val="0"/>
          <w:color w:val="231F20"/>
          <w:spacing w:val="-3"/>
        </w:rPr>
        <w:t>l’égard </w:t>
      </w:r>
      <w:r>
        <w:rPr>
          <w:b w:val="0"/>
          <w:color w:val="231F20"/>
        </w:rPr>
        <w:t>des</w:t>
      </w:r>
      <w:r>
        <w:rPr>
          <w:b w:val="0"/>
          <w:color w:val="231F20"/>
          <w:spacing w:val="-14"/>
        </w:rPr>
        <w:t> </w:t>
      </w:r>
      <w:r>
        <w:rPr>
          <w:b w:val="0"/>
          <w:color w:val="231F20"/>
        </w:rPr>
        <w:t>femmes</w:t>
      </w:r>
    </w:p>
    <w:p>
      <w:pPr>
        <w:pStyle w:val="BodyText"/>
        <w:tabs>
          <w:tab w:pos="1413" w:val="left" w:leader="none"/>
        </w:tabs>
        <w:spacing w:line="266" w:lineRule="auto" w:before="131"/>
        <w:ind w:left="1413" w:right="3498" w:hanging="1280"/>
        <w:rPr>
          <w:b w:val="0"/>
        </w:rPr>
      </w:pPr>
      <w:r>
        <w:rPr>
          <w:rFonts w:ascii="Myriad Pro" w:hAnsi="Myriad Pro"/>
          <w:b/>
          <w:color w:val="231F20"/>
          <w:spacing w:val="-4"/>
        </w:rPr>
        <w:t>CEDAW</w:t>
        <w:tab/>
      </w:r>
      <w:r>
        <w:rPr>
          <w:b w:val="0"/>
          <w:color w:val="231F20"/>
        </w:rPr>
        <w:t>Convention sur l’élimination de toutes les formes de</w:t>
      </w:r>
      <w:r>
        <w:rPr>
          <w:b w:val="0"/>
          <w:color w:val="231F20"/>
          <w:spacing w:val="-24"/>
        </w:rPr>
        <w:t> </w:t>
      </w:r>
      <w:r>
        <w:rPr>
          <w:b w:val="0"/>
          <w:color w:val="231F20"/>
        </w:rPr>
        <w:t>discrimination</w:t>
      </w:r>
      <w:r>
        <w:rPr>
          <w:b w:val="0"/>
          <w:color w:val="231F20"/>
          <w:spacing w:val="-3"/>
        </w:rPr>
        <w:t> </w:t>
      </w:r>
      <w:r>
        <w:rPr>
          <w:b w:val="0"/>
          <w:color w:val="231F20"/>
        </w:rPr>
        <w:t>à </w:t>
      </w:r>
      <w:r>
        <w:rPr>
          <w:b w:val="0"/>
          <w:color w:val="231F20"/>
          <w:spacing w:val="-3"/>
        </w:rPr>
        <w:t>l’égard </w:t>
      </w:r>
      <w:r>
        <w:rPr>
          <w:b w:val="0"/>
          <w:color w:val="231F20"/>
        </w:rPr>
        <w:t>des</w:t>
      </w:r>
      <w:r>
        <w:rPr>
          <w:b w:val="0"/>
          <w:color w:val="231F20"/>
          <w:spacing w:val="3"/>
        </w:rPr>
        <w:t> </w:t>
      </w:r>
      <w:r>
        <w:rPr>
          <w:b w:val="0"/>
          <w:color w:val="231F20"/>
        </w:rPr>
        <w:t>femmes</w:t>
      </w:r>
    </w:p>
    <w:p>
      <w:pPr>
        <w:pStyle w:val="BodyText"/>
        <w:tabs>
          <w:tab w:pos="1413" w:val="left" w:leader="none"/>
        </w:tabs>
        <w:spacing w:before="102"/>
        <w:ind w:left="133" w:right="374"/>
        <w:rPr>
          <w:b w:val="0"/>
        </w:rPr>
      </w:pPr>
      <w:r>
        <w:rPr>
          <w:rFonts w:ascii="Myriad Pro" w:hAnsi="Myriad Pro"/>
          <w:b/>
          <w:color w:val="231F20"/>
        </w:rPr>
        <w:t>CESCR</w:t>
        <w:tab/>
      </w:r>
      <w:r>
        <w:rPr>
          <w:b w:val="0"/>
          <w:color w:val="231F20"/>
        </w:rPr>
        <w:t>Comité des droits économiques, sociaux et</w:t>
      </w:r>
      <w:r>
        <w:rPr>
          <w:b w:val="0"/>
          <w:color w:val="231F20"/>
          <w:spacing w:val="-13"/>
        </w:rPr>
        <w:t> </w:t>
      </w:r>
      <w:r>
        <w:rPr>
          <w:b w:val="0"/>
          <w:color w:val="231F20"/>
        </w:rPr>
        <w:t>culturels</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line="266" w:lineRule="auto" w:before="131"/>
        <w:ind w:left="1413" w:right="2945" w:hanging="1280"/>
        <w:rPr>
          <w:b w:val="0"/>
        </w:rPr>
      </w:pPr>
      <w:r>
        <w:rPr>
          <w:rFonts w:ascii="Myriad Pro" w:hAnsi="Myriad Pro"/>
          <w:b/>
          <w:color w:val="231F20"/>
        </w:rPr>
        <w:t>CIF</w:t>
        <w:tab/>
      </w:r>
      <w:r>
        <w:rPr>
          <w:b w:val="0"/>
          <w:color w:val="231F20"/>
        </w:rPr>
        <w:t>Classification internationale du fonctionnement, Organisation</w:t>
      </w:r>
      <w:r>
        <w:rPr>
          <w:b w:val="0"/>
          <w:color w:val="231F20"/>
          <w:spacing w:val="-2"/>
        </w:rPr>
        <w:t> </w:t>
      </w:r>
      <w:r>
        <w:rPr>
          <w:b w:val="0"/>
          <w:color w:val="231F20"/>
        </w:rPr>
        <w:t>mondiale</w:t>
      </w:r>
      <w:r>
        <w:rPr>
          <w:b w:val="0"/>
          <w:color w:val="231F20"/>
          <w:spacing w:val="-1"/>
        </w:rPr>
        <w:t> </w:t>
      </w:r>
      <w:r>
        <w:rPr>
          <w:b w:val="0"/>
          <w:color w:val="231F20"/>
        </w:rPr>
        <w:t>de la</w:t>
      </w:r>
      <w:r>
        <w:rPr>
          <w:b w:val="0"/>
          <w:color w:val="231F20"/>
          <w:spacing w:val="-2"/>
        </w:rPr>
        <w:t> </w:t>
      </w:r>
      <w:r>
        <w:rPr>
          <w:b w:val="0"/>
          <w:color w:val="231F20"/>
        </w:rPr>
        <w:t>santé</w:t>
      </w:r>
    </w:p>
    <w:p>
      <w:pPr>
        <w:pStyle w:val="BodyText"/>
        <w:tabs>
          <w:tab w:pos="1413" w:val="left" w:leader="none"/>
        </w:tabs>
        <w:spacing w:before="102"/>
        <w:ind w:left="133" w:right="374"/>
        <w:rPr>
          <w:b w:val="0"/>
        </w:rPr>
      </w:pPr>
      <w:r>
        <w:rPr>
          <w:rFonts w:ascii="Myriad Pro" w:hAnsi="Myriad Pro"/>
          <w:b/>
          <w:color w:val="231F20"/>
        </w:rPr>
        <w:t>CIF-OIT</w:t>
        <w:tab/>
      </w:r>
      <w:r>
        <w:rPr>
          <w:b w:val="0"/>
          <w:color w:val="231F20"/>
        </w:rPr>
        <w:t>Centre international de formation de</w:t>
      </w:r>
      <w:r>
        <w:rPr>
          <w:b w:val="0"/>
          <w:color w:val="231F20"/>
          <w:spacing w:val="-12"/>
        </w:rPr>
        <w:t> </w:t>
      </w:r>
      <w:r>
        <w:rPr>
          <w:b w:val="0"/>
          <w:color w:val="231F20"/>
        </w:rPr>
        <w:t>l’OIT</w:t>
      </w:r>
    </w:p>
    <w:p>
      <w:pPr>
        <w:pStyle w:val="BodyText"/>
        <w:tabs>
          <w:tab w:pos="1413" w:val="left" w:leader="none"/>
        </w:tabs>
        <w:spacing w:line="266" w:lineRule="auto" w:before="131"/>
        <w:ind w:left="1413" w:right="3373" w:hanging="1280"/>
        <w:rPr>
          <w:b w:val="0"/>
        </w:rPr>
      </w:pPr>
      <w:r>
        <w:rPr>
          <w:rFonts w:ascii="Myriad Pro" w:hAnsi="Myriad Pro"/>
          <w:b/>
          <w:color w:val="231F20"/>
        </w:rPr>
        <w:t>DSPD</w:t>
        <w:tab/>
      </w:r>
      <w:r>
        <w:rPr>
          <w:b w:val="0"/>
          <w:color w:val="231F20"/>
        </w:rPr>
        <w:t>Division des politiques sociales et du développement</w:t>
      </w:r>
      <w:r>
        <w:rPr>
          <w:b w:val="0"/>
          <w:color w:val="231F20"/>
          <w:spacing w:val="-5"/>
        </w:rPr>
        <w:t> </w:t>
      </w:r>
      <w:r>
        <w:rPr>
          <w:b w:val="0"/>
          <w:color w:val="231F20"/>
        </w:rPr>
        <w:t>social/DAES</w:t>
      </w:r>
      <w:r>
        <w:rPr>
          <w:b w:val="0"/>
          <w:color w:val="231F20"/>
          <w:spacing w:val="-1"/>
        </w:rPr>
        <w:t> </w:t>
      </w:r>
      <w:r>
        <w:rPr>
          <w:b w:val="0"/>
          <w:color w:val="231F20"/>
        </w:rPr>
        <w:t>des Nations Unies</w:t>
      </w:r>
    </w:p>
    <w:p>
      <w:pPr>
        <w:pStyle w:val="BodyText"/>
        <w:tabs>
          <w:tab w:pos="1413" w:val="left" w:leader="none"/>
        </w:tabs>
        <w:spacing w:before="102"/>
        <w:ind w:left="133" w:right="374"/>
        <w:rPr>
          <w:b w:val="0"/>
        </w:rPr>
      </w:pPr>
      <w:r>
        <w:rPr>
          <w:rFonts w:ascii="Myriad Pro" w:hAnsi="Myriad Pro"/>
          <w:b/>
          <w:color w:val="231F20"/>
        </w:rPr>
        <w:t>DUDH</w:t>
        <w:tab/>
      </w:r>
      <w:r>
        <w:rPr>
          <w:b w:val="0"/>
          <w:color w:val="231F20"/>
        </w:rPr>
        <w:t>Déclaration universelle des droits de</w:t>
      </w:r>
      <w:r>
        <w:rPr>
          <w:b w:val="0"/>
          <w:color w:val="231F20"/>
          <w:spacing w:val="-3"/>
        </w:rPr>
        <w:t> </w:t>
      </w:r>
      <w:r>
        <w:rPr>
          <w:b w:val="0"/>
          <w:color w:val="231F20"/>
        </w:rPr>
        <w:t>l’homme</w:t>
      </w:r>
    </w:p>
    <w:p>
      <w:pPr>
        <w:pStyle w:val="BodyText"/>
        <w:tabs>
          <w:tab w:pos="1413" w:val="left" w:leader="none"/>
        </w:tabs>
        <w:spacing w:before="131"/>
        <w:ind w:left="133" w:right="374"/>
        <w:rPr>
          <w:b w:val="0"/>
        </w:rPr>
      </w:pPr>
      <w:r>
        <w:rPr>
          <w:rFonts w:ascii="Myriad Pro"/>
          <w:b/>
          <w:color w:val="231F20"/>
        </w:rPr>
        <w:t>G3ICT</w:t>
        <w:tab/>
      </w:r>
      <w:r>
        <w:rPr>
          <w:b w:val="0"/>
          <w:color w:val="231F20"/>
        </w:rPr>
        <w:t>Initiative mondiale TIC pour</w:t>
      </w:r>
      <w:r>
        <w:rPr>
          <w:b w:val="0"/>
          <w:color w:val="231F20"/>
          <w:spacing w:val="-11"/>
        </w:rPr>
        <w:t> </w:t>
      </w:r>
      <w:r>
        <w:rPr>
          <w:b w:val="0"/>
          <w:color w:val="231F20"/>
        </w:rPr>
        <w:t>tous</w:t>
      </w:r>
    </w:p>
    <w:p>
      <w:pPr>
        <w:pStyle w:val="BodyText"/>
        <w:tabs>
          <w:tab w:pos="1413" w:val="left" w:leader="none"/>
        </w:tabs>
        <w:spacing w:before="131"/>
        <w:ind w:left="133" w:right="374"/>
        <w:rPr>
          <w:b w:val="0"/>
        </w:rPr>
      </w:pPr>
      <w:r>
        <w:rPr>
          <w:rFonts w:ascii="Myriad Pro"/>
          <w:b/>
          <w:color w:val="231F20"/>
        </w:rPr>
        <w:t>GCP</w:t>
        <w:tab/>
      </w:r>
      <w:r>
        <w:rPr>
          <w:b w:val="0"/>
          <w:color w:val="231F20"/>
        </w:rPr>
        <w:t>Gestion du cycle de projet</w:t>
      </w:r>
    </w:p>
    <w:p>
      <w:pPr>
        <w:pStyle w:val="BodyText"/>
        <w:tabs>
          <w:tab w:pos="1413" w:val="left" w:leader="none"/>
        </w:tabs>
        <w:spacing w:before="131"/>
        <w:ind w:left="133" w:right="374"/>
        <w:rPr>
          <w:b w:val="0"/>
        </w:rPr>
      </w:pPr>
      <w:r>
        <w:rPr>
          <w:rFonts w:ascii="Myriad Pro" w:hAnsi="Myriad Pro"/>
          <w:b/>
          <w:color w:val="231F20"/>
        </w:rPr>
        <w:t>HCDH</w:t>
        <w:tab/>
      </w:r>
      <w:r>
        <w:rPr>
          <w:b w:val="0"/>
          <w:color w:val="231F20"/>
        </w:rPr>
        <w:t>Haut-commissariat des Nations Unies aux droits de</w:t>
      </w:r>
      <w:r>
        <w:rPr>
          <w:b w:val="0"/>
          <w:color w:val="231F20"/>
          <w:spacing w:val="1"/>
        </w:rPr>
        <w:t> </w:t>
      </w:r>
      <w:r>
        <w:rPr>
          <w:b w:val="0"/>
          <w:color w:val="231F20"/>
        </w:rPr>
        <w:t>l’homme</w:t>
      </w:r>
    </w:p>
    <w:p>
      <w:pPr>
        <w:pStyle w:val="BodyText"/>
        <w:tabs>
          <w:tab w:pos="1413" w:val="left" w:leader="none"/>
        </w:tabs>
        <w:spacing w:before="131"/>
        <w:ind w:left="133" w:right="374"/>
        <w:rPr>
          <w:b w:val="0"/>
        </w:rPr>
      </w:pPr>
      <w:r>
        <w:rPr>
          <w:rFonts w:ascii="Myriad Pro" w:hAnsi="Myriad Pro"/>
          <w:b/>
          <w:color w:val="231F20"/>
        </w:rPr>
        <w:t>IFD</w:t>
        <w:tab/>
      </w:r>
      <w:r>
        <w:rPr>
          <w:b w:val="0"/>
          <w:color w:val="231F20"/>
        </w:rPr>
        <w:t>Institutions de financement du</w:t>
      </w:r>
      <w:r>
        <w:rPr>
          <w:b w:val="0"/>
          <w:color w:val="231F20"/>
          <w:spacing w:val="3"/>
        </w:rPr>
        <w:t> </w:t>
      </w:r>
      <w:r>
        <w:rPr>
          <w:b w:val="0"/>
          <w:color w:val="231F20"/>
        </w:rPr>
        <w:t>développement</w:t>
      </w:r>
    </w:p>
    <w:p>
      <w:pPr>
        <w:pStyle w:val="BodyText"/>
        <w:tabs>
          <w:tab w:pos="1413" w:val="left" w:leader="none"/>
        </w:tabs>
        <w:spacing w:before="131"/>
        <w:ind w:left="133" w:right="374"/>
        <w:rPr>
          <w:b w:val="0"/>
        </w:rPr>
      </w:pPr>
      <w:r>
        <w:rPr>
          <w:rFonts w:ascii="Myriad Pro"/>
          <w:b/>
          <w:color w:val="231F20"/>
        </w:rPr>
        <w:t>IMF</w:t>
        <w:tab/>
      </w:r>
      <w:r>
        <w:rPr>
          <w:b w:val="0"/>
          <w:color w:val="231F20"/>
        </w:rPr>
        <w:t>Institutions de</w:t>
      </w:r>
      <w:r>
        <w:rPr>
          <w:b w:val="0"/>
          <w:color w:val="231F20"/>
          <w:spacing w:val="2"/>
        </w:rPr>
        <w:t> </w:t>
      </w:r>
      <w:r>
        <w:rPr>
          <w:b w:val="0"/>
          <w:color w:val="231F20"/>
        </w:rPr>
        <w:t>microfinance</w:t>
      </w:r>
    </w:p>
    <w:p>
      <w:pPr>
        <w:pStyle w:val="BodyText"/>
        <w:tabs>
          <w:tab w:pos="1413" w:val="left" w:leader="none"/>
        </w:tabs>
        <w:spacing w:before="131"/>
        <w:ind w:left="133" w:right="374"/>
        <w:rPr>
          <w:b w:val="0"/>
        </w:rPr>
      </w:pPr>
      <w:r>
        <w:rPr>
          <w:rFonts w:ascii="Myriad Pro" w:hAnsi="Myriad Pro"/>
          <w:b/>
          <w:color w:val="231F20"/>
        </w:rPr>
        <w:t>ODD</w:t>
        <w:tab/>
      </w:r>
      <w:r>
        <w:rPr>
          <w:b w:val="0"/>
          <w:color w:val="231F20"/>
        </w:rPr>
        <w:t>Objectifs de développement</w:t>
      </w:r>
      <w:r>
        <w:rPr>
          <w:b w:val="0"/>
          <w:color w:val="231F20"/>
          <w:spacing w:val="-3"/>
        </w:rPr>
        <w:t> </w:t>
      </w:r>
      <w:r>
        <w:rPr>
          <w:b w:val="0"/>
          <w:color w:val="231F20"/>
        </w:rPr>
        <w:t>durable</w:t>
      </w:r>
    </w:p>
    <w:p>
      <w:pPr>
        <w:pStyle w:val="BodyText"/>
        <w:tabs>
          <w:tab w:pos="1413" w:val="left" w:leader="none"/>
        </w:tabs>
        <w:spacing w:before="131"/>
        <w:ind w:left="133" w:right="374"/>
        <w:rPr>
          <w:b w:val="0"/>
        </w:rPr>
      </w:pPr>
      <w:r>
        <w:rPr>
          <w:rFonts w:ascii="Myriad Pro"/>
          <w:b/>
          <w:color w:val="231F20"/>
        </w:rPr>
        <w:t>OIT</w:t>
        <w:tab/>
      </w:r>
      <w:r>
        <w:rPr>
          <w:b w:val="0"/>
          <w:color w:val="231F20"/>
        </w:rPr>
        <w:t>Organisation internationale du</w:t>
      </w:r>
      <w:r>
        <w:rPr>
          <w:b w:val="0"/>
          <w:color w:val="231F20"/>
          <w:spacing w:val="-5"/>
        </w:rPr>
        <w:t> </w:t>
      </w:r>
      <w:r>
        <w:rPr>
          <w:b w:val="0"/>
          <w:color w:val="231F20"/>
        </w:rPr>
        <w:t>travail</w:t>
      </w:r>
    </w:p>
    <w:p>
      <w:pPr>
        <w:pStyle w:val="BodyText"/>
        <w:tabs>
          <w:tab w:pos="1413" w:val="left" w:leader="none"/>
        </w:tabs>
        <w:spacing w:before="131"/>
        <w:ind w:left="133" w:right="374"/>
        <w:rPr>
          <w:b w:val="0"/>
        </w:rPr>
      </w:pPr>
      <w:r>
        <w:rPr>
          <w:rFonts w:ascii="Myriad Pro" w:hAnsi="Myriad Pro"/>
          <w:b/>
          <w:color w:val="231F20"/>
        </w:rPr>
        <w:t>OMD</w:t>
        <w:tab/>
      </w:r>
      <w:r>
        <w:rPr>
          <w:b w:val="0"/>
          <w:color w:val="231F20"/>
        </w:rPr>
        <w:t>Objectifs du millénaire pour le</w:t>
      </w:r>
      <w:r>
        <w:rPr>
          <w:b w:val="0"/>
          <w:color w:val="231F20"/>
          <w:spacing w:val="-6"/>
        </w:rPr>
        <w:t> </w:t>
      </w:r>
      <w:r>
        <w:rPr>
          <w:b w:val="0"/>
          <w:color w:val="231F20"/>
        </w:rPr>
        <w:t>développement</w:t>
      </w:r>
    </w:p>
    <w:p>
      <w:pPr>
        <w:pStyle w:val="BodyText"/>
        <w:tabs>
          <w:tab w:pos="1413" w:val="left" w:leader="none"/>
        </w:tabs>
        <w:spacing w:line="355" w:lineRule="auto" w:before="131"/>
        <w:ind w:left="133" w:right="6340"/>
        <w:rPr>
          <w:b w:val="0"/>
        </w:rPr>
      </w:pPr>
      <w:r>
        <w:rPr>
          <w:rFonts w:ascii="Myriad Pro" w:hAnsi="Myriad Pro"/>
          <w:b/>
          <w:color w:val="231F20"/>
        </w:rPr>
        <w:t>OMS</w:t>
        <w:tab/>
      </w:r>
      <w:r>
        <w:rPr>
          <w:b w:val="0"/>
          <w:color w:val="231F20"/>
        </w:rPr>
        <w:t>Organisation mondiale de</w:t>
      </w:r>
      <w:r>
        <w:rPr>
          <w:b w:val="0"/>
          <w:color w:val="231F20"/>
          <w:spacing w:val="-3"/>
        </w:rPr>
        <w:t> </w:t>
      </w:r>
      <w:r>
        <w:rPr>
          <w:b w:val="0"/>
          <w:color w:val="231F20"/>
        </w:rPr>
        <w:t>la</w:t>
      </w:r>
      <w:r>
        <w:rPr>
          <w:b w:val="0"/>
          <w:color w:val="231F20"/>
          <w:spacing w:val="-1"/>
        </w:rPr>
        <w:t> </w:t>
      </w:r>
      <w:r>
        <w:rPr>
          <w:b w:val="0"/>
          <w:color w:val="231F20"/>
        </w:rPr>
        <w:t>santé </w:t>
      </w:r>
      <w:r>
        <w:rPr>
          <w:rFonts w:ascii="Myriad Pro" w:hAnsi="Myriad Pro"/>
          <w:b/>
          <w:color w:val="231F20"/>
        </w:rPr>
        <w:t>ONG</w:t>
        <w:tab/>
      </w:r>
      <w:r>
        <w:rPr>
          <w:b w:val="0"/>
          <w:color w:val="231F20"/>
        </w:rPr>
        <w:t>Organisation</w:t>
      </w:r>
      <w:r>
        <w:rPr>
          <w:b w:val="0"/>
          <w:color w:val="231F20"/>
          <w:spacing w:val="-2"/>
        </w:rPr>
        <w:t> </w:t>
      </w:r>
      <w:r>
        <w:rPr>
          <w:b w:val="0"/>
          <w:color w:val="231F20"/>
        </w:rPr>
        <w:t>non</w:t>
      </w:r>
      <w:r>
        <w:rPr>
          <w:b w:val="0"/>
          <w:color w:val="231F20"/>
          <w:spacing w:val="-2"/>
        </w:rPr>
        <w:t> </w:t>
      </w:r>
      <w:r>
        <w:rPr>
          <w:b w:val="0"/>
          <w:color w:val="231F20"/>
        </w:rPr>
        <w:t>gouvernementale </w:t>
      </w:r>
      <w:r>
        <w:rPr>
          <w:rFonts w:ascii="Myriad Pro" w:hAnsi="Myriad Pro"/>
          <w:b/>
          <w:color w:val="231F20"/>
        </w:rPr>
        <w:t>ONU</w:t>
        <w:tab/>
      </w:r>
      <w:r>
        <w:rPr>
          <w:b w:val="0"/>
          <w:color w:val="231F20"/>
        </w:rPr>
        <w:t>Organisation des Nations</w:t>
      </w:r>
      <w:r>
        <w:rPr>
          <w:b w:val="0"/>
          <w:color w:val="231F20"/>
          <w:spacing w:val="-2"/>
        </w:rPr>
        <w:t> </w:t>
      </w:r>
      <w:r>
        <w:rPr>
          <w:b w:val="0"/>
          <w:color w:val="231F20"/>
        </w:rPr>
        <w:t>Unies</w:t>
      </w:r>
    </w:p>
    <w:p>
      <w:pPr>
        <w:pStyle w:val="BodyText"/>
        <w:tabs>
          <w:tab w:pos="1413" w:val="left" w:leader="none"/>
        </w:tabs>
        <w:ind w:left="133" w:right="374"/>
        <w:rPr>
          <w:b w:val="0"/>
        </w:rPr>
      </w:pPr>
      <w:r>
        <w:rPr>
          <w:rFonts w:ascii="Myriad Pro" w:hAnsi="Myriad Pro"/>
          <w:b/>
          <w:color w:val="231F20"/>
        </w:rPr>
        <w:t>ONU-DAES</w:t>
        <w:tab/>
      </w:r>
      <w:r>
        <w:rPr>
          <w:b w:val="0"/>
          <w:color w:val="231F20"/>
        </w:rPr>
        <w:t>Département des affaires économiques et sociales des Nations</w:t>
      </w:r>
      <w:r>
        <w:rPr>
          <w:b w:val="0"/>
          <w:color w:val="231F20"/>
          <w:spacing w:val="4"/>
        </w:rPr>
        <w:t> </w:t>
      </w:r>
      <w:r>
        <w:rPr>
          <w:b w:val="0"/>
          <w:color w:val="231F20"/>
        </w:rPr>
        <w:t>Unies</w:t>
      </w:r>
    </w:p>
    <w:p>
      <w:pPr>
        <w:pStyle w:val="BodyText"/>
        <w:tabs>
          <w:tab w:pos="1413" w:val="left" w:leader="none"/>
        </w:tabs>
        <w:spacing w:before="131"/>
        <w:ind w:left="133" w:right="374"/>
        <w:rPr>
          <w:b w:val="0"/>
        </w:rPr>
      </w:pPr>
      <w:r>
        <w:rPr>
          <w:rFonts w:ascii="Myriad Pro"/>
          <w:b/>
          <w:color w:val="231F20"/>
        </w:rPr>
        <w:t>ONUSIDA</w:t>
        <w:tab/>
      </w:r>
      <w:r>
        <w:rPr>
          <w:b w:val="0"/>
          <w:color w:val="231F20"/>
        </w:rPr>
        <w:t>Programme commun des Nations Unies sur le</w:t>
      </w:r>
      <w:r>
        <w:rPr>
          <w:b w:val="0"/>
          <w:color w:val="231F20"/>
          <w:spacing w:val="-21"/>
        </w:rPr>
        <w:t> </w:t>
      </w:r>
      <w:r>
        <w:rPr>
          <w:b w:val="0"/>
          <w:color w:val="231F20"/>
        </w:rPr>
        <w:t>VIH/SIDA</w:t>
      </w:r>
    </w:p>
    <w:p>
      <w:pPr>
        <w:pStyle w:val="BodyText"/>
        <w:tabs>
          <w:tab w:pos="1413" w:val="left" w:leader="none"/>
        </w:tabs>
        <w:spacing w:before="131"/>
        <w:ind w:left="133" w:right="374"/>
        <w:rPr>
          <w:b w:val="0"/>
        </w:rPr>
      </w:pPr>
      <w:r>
        <w:rPr>
          <w:rFonts w:ascii="Myriad Pro" w:hAnsi="Myriad Pro"/>
          <w:b/>
          <w:color w:val="231F20"/>
        </w:rPr>
        <w:t>OPH</w:t>
        <w:tab/>
      </w:r>
      <w:r>
        <w:rPr>
          <w:b w:val="0"/>
          <w:color w:val="231F20"/>
        </w:rPr>
        <w:t>Organisations de personnes</w:t>
      </w:r>
      <w:r>
        <w:rPr>
          <w:b w:val="0"/>
          <w:color w:val="231F20"/>
          <w:spacing w:val="-2"/>
        </w:rPr>
        <w:t> </w:t>
      </w:r>
      <w:r>
        <w:rPr>
          <w:b w:val="0"/>
          <w:color w:val="231F20"/>
        </w:rPr>
        <w:t>handicapées</w:t>
      </w:r>
    </w:p>
    <w:p>
      <w:pPr>
        <w:pStyle w:val="BodyText"/>
        <w:tabs>
          <w:tab w:pos="1413" w:val="left" w:leader="none"/>
        </w:tabs>
        <w:spacing w:before="131"/>
        <w:ind w:left="133" w:right="374"/>
        <w:rPr>
          <w:b w:val="0"/>
        </w:rPr>
      </w:pPr>
      <w:r>
        <w:rPr>
          <w:rFonts w:ascii="Myriad Pro"/>
          <w:b/>
          <w:color w:val="231F20"/>
        </w:rPr>
        <w:t>OSISA</w:t>
        <w:tab/>
      </w:r>
      <w:r>
        <w:rPr>
          <w:b w:val="0"/>
          <w:color w:val="231F20"/>
        </w:rPr>
        <w:t>Open Society Initiative for Southern</w:t>
      </w:r>
      <w:r>
        <w:rPr>
          <w:b w:val="0"/>
          <w:color w:val="231F20"/>
          <w:spacing w:val="2"/>
        </w:rPr>
        <w:t> </w:t>
      </w:r>
      <w:r>
        <w:rPr>
          <w:b w:val="0"/>
          <w:color w:val="231F20"/>
        </w:rPr>
        <w:t>Africa</w:t>
      </w:r>
    </w:p>
    <w:p>
      <w:pPr>
        <w:pStyle w:val="BodyText"/>
        <w:tabs>
          <w:tab w:pos="1413" w:val="left" w:leader="none"/>
        </w:tabs>
        <w:spacing w:before="131"/>
        <w:ind w:left="133" w:right="374"/>
        <w:rPr>
          <w:b w:val="0"/>
        </w:rPr>
      </w:pPr>
      <w:r>
        <w:rPr>
          <w:rFonts w:ascii="Myriad Pro"/>
          <w:b/>
          <w:color w:val="231F20"/>
        </w:rPr>
        <w:t>PIDCPP</w:t>
        <w:tab/>
      </w:r>
      <w:r>
        <w:rPr>
          <w:b w:val="0"/>
          <w:color w:val="231F20"/>
        </w:rPr>
        <w:t>Pacte international relatif aux droits civils et</w:t>
      </w:r>
      <w:r>
        <w:rPr>
          <w:b w:val="0"/>
          <w:color w:val="231F20"/>
          <w:spacing w:val="-14"/>
        </w:rPr>
        <w:t> </w:t>
      </w:r>
      <w:r>
        <w:rPr>
          <w:b w:val="0"/>
          <w:color w:val="231F20"/>
        </w:rPr>
        <w:t>politiques</w:t>
      </w:r>
    </w:p>
    <w:p>
      <w:pPr>
        <w:pStyle w:val="BodyText"/>
        <w:rPr>
          <w:b w:val="0"/>
          <w:sz w:val="20"/>
        </w:rPr>
      </w:pPr>
    </w:p>
    <w:p>
      <w:pPr>
        <w:pStyle w:val="BodyText"/>
        <w:spacing w:before="2"/>
        <w:rPr>
          <w:b w:val="0"/>
          <w:sz w:val="20"/>
        </w:rPr>
      </w:pPr>
    </w:p>
    <w:p>
      <w:pPr>
        <w:spacing w:before="101"/>
        <w:ind w:left="3937" w:right="374"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47392"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vi</w:t>
                      <w:tab/>
                    </w:r>
                  </w:p>
                </w:txbxContent>
              </v:textbox>
              <w10:wrap type="none"/>
            </v:shape>
            <w10:wrap type="none"/>
          </v:group>
        </w:pict>
      </w:r>
    </w:p>
    <w:p>
      <w:pPr>
        <w:spacing w:before="75"/>
        <w:ind w:left="2892" w:right="11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tabs>
          <w:tab w:pos="4171" w:val="left" w:leader="none"/>
        </w:tabs>
        <w:spacing w:before="58"/>
        <w:ind w:left="2891"/>
        <w:jc w:val="both"/>
        <w:rPr>
          <w:b w:val="0"/>
        </w:rPr>
      </w:pPr>
      <w:r>
        <w:rPr>
          <w:rFonts w:ascii="Myriad Pro" w:hAnsi="Myriad Pro"/>
          <w:b/>
          <w:color w:val="231F20"/>
        </w:rPr>
        <w:t>PIDESC</w:t>
        <w:tab/>
      </w:r>
      <w:r>
        <w:rPr>
          <w:b w:val="0"/>
          <w:color w:val="231F20"/>
        </w:rPr>
        <w:t>Pacte international relatif aux droits économiques, sociaux et</w:t>
      </w:r>
      <w:r>
        <w:rPr>
          <w:b w:val="0"/>
          <w:color w:val="231F20"/>
          <w:spacing w:val="-20"/>
        </w:rPr>
        <w:t> </w:t>
      </w:r>
      <w:r>
        <w:rPr>
          <w:b w:val="0"/>
          <w:color w:val="231F20"/>
        </w:rPr>
        <w:t>culturels</w:t>
      </w:r>
    </w:p>
    <w:p>
      <w:pPr>
        <w:pStyle w:val="BodyText"/>
        <w:tabs>
          <w:tab w:pos="4171" w:val="left" w:leader="none"/>
        </w:tabs>
        <w:spacing w:before="131"/>
        <w:ind w:left="2891"/>
        <w:jc w:val="both"/>
        <w:rPr>
          <w:b w:val="0"/>
        </w:rPr>
      </w:pPr>
      <w:r>
        <w:rPr>
          <w:rFonts w:ascii="Myriad Pro" w:hAnsi="Myriad Pro"/>
          <w:b/>
          <w:color w:val="231F20"/>
        </w:rPr>
        <w:t>PIP</w:t>
        <w:tab/>
      </w:r>
      <w:r>
        <w:rPr>
          <w:b w:val="0"/>
          <w:color w:val="231F20"/>
        </w:rPr>
        <w:t>Programme d’intervention</w:t>
      </w:r>
      <w:r>
        <w:rPr>
          <w:b w:val="0"/>
          <w:color w:val="231F20"/>
          <w:spacing w:val="-17"/>
        </w:rPr>
        <w:t> </w:t>
      </w:r>
      <w:r>
        <w:rPr>
          <w:b w:val="0"/>
          <w:color w:val="231F20"/>
        </w:rPr>
        <w:t>prolongée</w:t>
      </w:r>
    </w:p>
    <w:p>
      <w:pPr>
        <w:pStyle w:val="BodyText"/>
        <w:tabs>
          <w:tab w:pos="4171" w:val="left" w:leader="none"/>
        </w:tabs>
        <w:spacing w:before="131"/>
        <w:ind w:left="2891"/>
        <w:jc w:val="both"/>
        <w:rPr>
          <w:b w:val="0"/>
        </w:rPr>
      </w:pPr>
      <w:r>
        <w:rPr>
          <w:rFonts w:ascii="Myriad Pro"/>
          <w:b/>
          <w:color w:val="231F20"/>
        </w:rPr>
        <w:t>PMP</w:t>
        <w:tab/>
      </w:r>
      <w:r>
        <w:rPr>
          <w:b w:val="0"/>
          <w:color w:val="231F20"/>
        </w:rPr>
        <w:t>Partenariats multipartites</w:t>
      </w:r>
    </w:p>
    <w:p>
      <w:pPr>
        <w:pStyle w:val="BodyText"/>
        <w:tabs>
          <w:tab w:pos="4171" w:val="left" w:leader="none"/>
        </w:tabs>
        <w:spacing w:before="131"/>
        <w:ind w:left="2891"/>
        <w:jc w:val="both"/>
        <w:rPr>
          <w:b w:val="0"/>
        </w:rPr>
      </w:pPr>
      <w:r>
        <w:rPr>
          <w:rFonts w:ascii="Myriad Pro" w:hAnsi="Myriad Pro"/>
          <w:b/>
          <w:color w:val="231F20"/>
        </w:rPr>
        <w:t>PNA</w:t>
        <w:tab/>
      </w:r>
      <w:r>
        <w:rPr>
          <w:b w:val="0"/>
          <w:color w:val="231F20"/>
        </w:rPr>
        <w:t>Plans nationaux</w:t>
      </w:r>
      <w:r>
        <w:rPr>
          <w:b w:val="0"/>
          <w:color w:val="231F20"/>
          <w:spacing w:val="-1"/>
        </w:rPr>
        <w:t> </w:t>
      </w:r>
      <w:r>
        <w:rPr>
          <w:b w:val="0"/>
          <w:color w:val="231F20"/>
        </w:rPr>
        <w:t>d’action</w:t>
      </w:r>
    </w:p>
    <w:p>
      <w:pPr>
        <w:pStyle w:val="BodyText"/>
        <w:tabs>
          <w:tab w:pos="4171" w:val="left" w:leader="none"/>
        </w:tabs>
        <w:spacing w:before="131"/>
        <w:ind w:left="2891"/>
        <w:jc w:val="both"/>
        <w:rPr>
          <w:b w:val="0"/>
        </w:rPr>
      </w:pPr>
      <w:r>
        <w:rPr>
          <w:rFonts w:ascii="Myriad Pro" w:hAnsi="Myriad Pro"/>
          <w:b/>
          <w:color w:val="231F20"/>
        </w:rPr>
        <w:t>PNUD</w:t>
        <w:tab/>
      </w:r>
      <w:r>
        <w:rPr>
          <w:b w:val="0"/>
          <w:color w:val="231F20"/>
        </w:rPr>
        <w:t>Programme des Nations Unies pour le</w:t>
      </w:r>
      <w:r>
        <w:rPr>
          <w:b w:val="0"/>
          <w:color w:val="231F20"/>
          <w:spacing w:val="-12"/>
        </w:rPr>
        <w:t> </w:t>
      </w:r>
      <w:r>
        <w:rPr>
          <w:b w:val="0"/>
          <w:color w:val="231F20"/>
        </w:rPr>
        <w:t>développement</w:t>
      </w:r>
    </w:p>
    <w:p>
      <w:pPr>
        <w:pStyle w:val="BodyText"/>
        <w:tabs>
          <w:tab w:pos="4171" w:val="left" w:leader="none"/>
        </w:tabs>
        <w:spacing w:before="131"/>
        <w:ind w:left="2891"/>
        <w:jc w:val="both"/>
        <w:rPr>
          <w:b w:val="0"/>
        </w:rPr>
      </w:pPr>
      <w:r>
        <w:rPr>
          <w:rFonts w:ascii="Myriad Pro"/>
          <w:b/>
          <w:color w:val="231F20"/>
        </w:rPr>
        <w:t>SABE</w:t>
        <w:tab/>
      </w:r>
      <w:r>
        <w:rPr>
          <w:b w:val="0"/>
          <w:color w:val="231F20"/>
        </w:rPr>
        <w:t>Self-Advocates Becoming</w:t>
      </w:r>
      <w:r>
        <w:rPr>
          <w:b w:val="0"/>
          <w:color w:val="231F20"/>
          <w:spacing w:val="-14"/>
        </w:rPr>
        <w:t> </w:t>
      </w:r>
      <w:r>
        <w:rPr>
          <w:b w:val="0"/>
          <w:color w:val="231F20"/>
        </w:rPr>
        <w:t>Empowered</w:t>
      </w:r>
    </w:p>
    <w:p>
      <w:pPr>
        <w:pStyle w:val="BodyText"/>
        <w:tabs>
          <w:tab w:pos="4171" w:val="left" w:leader="none"/>
        </w:tabs>
        <w:spacing w:line="355" w:lineRule="auto" w:before="131"/>
        <w:ind w:left="2891" w:right="1633"/>
        <w:jc w:val="both"/>
        <w:rPr>
          <w:b w:val="0"/>
        </w:rPr>
      </w:pP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UIP</w:t>
        <w:tab/>
      </w:r>
      <w:r>
        <w:rPr>
          <w:b w:val="0"/>
          <w:color w:val="231F20"/>
        </w:rPr>
        <w:t>Union</w:t>
      </w:r>
      <w:r>
        <w:rPr>
          <w:b w:val="0"/>
          <w:color w:val="231F20"/>
          <w:spacing w:val="-3"/>
        </w:rPr>
        <w:t> </w:t>
      </w:r>
      <w:r>
        <w:rPr>
          <w:b w:val="0"/>
          <w:color w:val="231F20"/>
        </w:rPr>
        <w:t>interparlementaire</w:t>
      </w:r>
    </w:p>
    <w:p>
      <w:pPr>
        <w:pStyle w:val="BodyText"/>
        <w:tabs>
          <w:tab w:pos="4171" w:val="left" w:leader="none"/>
        </w:tabs>
        <w:ind w:left="2891"/>
        <w:jc w:val="both"/>
        <w:rPr>
          <w:b w:val="0"/>
        </w:rPr>
      </w:pPr>
      <w:r>
        <w:rPr>
          <w:rFonts w:ascii="Myriad Pro" w:hAnsi="Myriad Pro"/>
          <w:b/>
          <w:color w:val="231F20"/>
        </w:rPr>
        <w:t>UIT</w:t>
        <w:tab/>
      </w:r>
      <w:r>
        <w:rPr>
          <w:b w:val="0"/>
          <w:color w:val="231F20"/>
        </w:rPr>
        <w:t>Union internationale des</w:t>
      </w:r>
      <w:r>
        <w:rPr>
          <w:b w:val="0"/>
          <w:color w:val="231F20"/>
          <w:spacing w:val="-3"/>
        </w:rPr>
        <w:t> </w:t>
      </w:r>
      <w:r>
        <w:rPr>
          <w:b w:val="0"/>
          <w:color w:val="231F20"/>
        </w:rPr>
        <w:t>télécommunications</w:t>
      </w:r>
    </w:p>
    <w:p>
      <w:pPr>
        <w:pStyle w:val="BodyText"/>
        <w:spacing w:before="131"/>
        <w:ind w:left="2891"/>
        <w:jc w:val="both"/>
        <w:rPr>
          <w:b w:val="0"/>
        </w:rPr>
      </w:pPr>
      <w:r>
        <w:rPr>
          <w:rFonts w:ascii="Myriad Pro" w:hAnsi="Myriad Pro"/>
          <w:b/>
          <w:color w:val="231F20"/>
        </w:rPr>
        <w:t>UNESCO          </w:t>
      </w:r>
      <w:r>
        <w:rPr>
          <w:b w:val="0"/>
          <w:color w:val="231F20"/>
        </w:rPr>
        <w:t>Organisation des Nations Unies pour l’éducation, la science et la culture</w:t>
      </w:r>
    </w:p>
    <w:p>
      <w:pPr>
        <w:pStyle w:val="BodyText"/>
        <w:tabs>
          <w:tab w:pos="4171" w:val="left" w:leader="none"/>
        </w:tabs>
        <w:spacing w:before="131"/>
        <w:ind w:left="2891"/>
        <w:jc w:val="both"/>
        <w:rPr>
          <w:b w:val="0"/>
        </w:rPr>
      </w:pPr>
      <w:r>
        <w:rPr>
          <w:rFonts w:ascii="Myriad Pro" w:hAnsi="Myriad Pro"/>
          <w:b/>
          <w:color w:val="231F20"/>
        </w:rPr>
        <w:t>UNICEF</w:t>
        <w:tab/>
      </w:r>
      <w:r>
        <w:rPr>
          <w:b w:val="0"/>
          <w:color w:val="231F20"/>
        </w:rPr>
        <w:t>Fonds des Nations Unies pour</w:t>
      </w:r>
      <w:r>
        <w:rPr>
          <w:b w:val="0"/>
          <w:color w:val="231F20"/>
          <w:spacing w:val="-22"/>
        </w:rPr>
        <w:t> </w:t>
      </w:r>
      <w:r>
        <w:rPr>
          <w:b w:val="0"/>
          <w:color w:val="231F20"/>
        </w:rPr>
        <w:t>l’enfance</w:t>
      </w:r>
    </w:p>
    <w:p>
      <w:pPr>
        <w:pStyle w:val="BodyText"/>
        <w:tabs>
          <w:tab w:pos="4171" w:val="left" w:leader="none"/>
        </w:tabs>
        <w:spacing w:before="131"/>
        <w:ind w:left="2891"/>
        <w:jc w:val="both"/>
        <w:rPr>
          <w:b w:val="0"/>
        </w:rPr>
      </w:pPr>
      <w:r>
        <w:rPr>
          <w:rFonts w:ascii="Myriad Pro" w:hAnsi="Myriad Pro"/>
          <w:b/>
          <w:color w:val="231F20"/>
        </w:rPr>
        <w:t>USAID</w:t>
        <w:tab/>
      </w:r>
      <w:r>
        <w:rPr>
          <w:b w:val="0"/>
          <w:color w:val="231F20"/>
        </w:rPr>
        <w:t>Agence des États-Unis pour le développement</w:t>
      </w:r>
      <w:r>
        <w:rPr>
          <w:b w:val="0"/>
          <w:color w:val="231F20"/>
          <w:spacing w:val="-6"/>
        </w:rPr>
        <w:t> </w:t>
      </w:r>
      <w:r>
        <w:rPr>
          <w:b w:val="0"/>
          <w:color w:val="231F20"/>
        </w:rPr>
        <w:t>international</w:t>
      </w:r>
    </w:p>
    <w:p>
      <w:pPr>
        <w:pStyle w:val="BodyText"/>
        <w:tabs>
          <w:tab w:pos="4171" w:val="left" w:leader="none"/>
        </w:tabs>
        <w:spacing w:line="266" w:lineRule="auto" w:before="131"/>
        <w:ind w:left="4171" w:right="110" w:hanging="1280"/>
        <w:rPr>
          <w:b w:val="0"/>
        </w:rPr>
      </w:pPr>
      <w:r>
        <w:rPr>
          <w:rFonts w:ascii="Myriad Pro" w:hAnsi="Myriad Pro"/>
          <w:b/>
          <w:color w:val="231F20"/>
        </w:rPr>
        <w:t>VIH/SIDA</w:t>
        <w:tab/>
      </w:r>
      <w:r>
        <w:rPr>
          <w:b w:val="0"/>
          <w:color w:val="231F20"/>
        </w:rPr>
        <w:t>Virus de l’immunodéficience humaine /</w:t>
      </w:r>
      <w:r>
        <w:rPr>
          <w:b w:val="0"/>
          <w:color w:val="231F20"/>
          <w:spacing w:val="-11"/>
        </w:rPr>
        <w:t> </w:t>
      </w:r>
      <w:r>
        <w:rPr>
          <w:b w:val="0"/>
          <w:color w:val="231F20"/>
        </w:rPr>
        <w:t>Syndrome</w:t>
      </w:r>
      <w:r>
        <w:rPr>
          <w:b w:val="0"/>
          <w:color w:val="231F20"/>
          <w:spacing w:val="-3"/>
        </w:rPr>
        <w:t> </w:t>
      </w:r>
      <w:r>
        <w:rPr>
          <w:b w:val="0"/>
          <w:color w:val="231F20"/>
        </w:rPr>
        <w:t>d’immunodéficience</w:t>
      </w:r>
      <w:r>
        <w:rPr>
          <w:b w:val="0"/>
          <w:color w:val="231F20"/>
          <w:w w:val="100"/>
        </w:rPr>
        <w:t> </w:t>
      </w:r>
      <w:r>
        <w:rPr>
          <w:b w:val="0"/>
          <w:color w:val="231F20"/>
        </w:rPr>
        <w:t>acquise</w:t>
      </w:r>
    </w:p>
    <w:p>
      <w:pPr>
        <w:pStyle w:val="BodyText"/>
        <w:tabs>
          <w:tab w:pos="4171" w:val="left" w:leader="none"/>
        </w:tabs>
        <w:spacing w:before="102"/>
        <w:ind w:left="2891"/>
        <w:jc w:val="both"/>
        <w:rPr>
          <w:b w:val="0"/>
        </w:rPr>
      </w:pPr>
      <w:r>
        <w:rPr>
          <w:rFonts w:ascii="Myriad Pro"/>
          <w:b/>
          <w:color w:val="231F20"/>
        </w:rPr>
        <w:t>VOCA</w:t>
        <w:tab/>
      </w:r>
      <w:r>
        <w:rPr>
          <w:b w:val="0"/>
          <w:color w:val="231F20"/>
        </w:rPr>
        <w:t>Dispositif de communication avec sortie</w:t>
      </w:r>
      <w:r>
        <w:rPr>
          <w:b w:val="0"/>
          <w:color w:val="231F20"/>
          <w:spacing w:val="-1"/>
        </w:rPr>
        <w:t> </w:t>
      </w:r>
      <w:r>
        <w:rPr>
          <w:b w:val="0"/>
          <w:color w:val="231F20"/>
        </w:rPr>
        <w:t>vocale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3"/>
        </w:rPr>
      </w:pPr>
    </w:p>
    <w:p>
      <w:pPr>
        <w:spacing w:before="1"/>
        <w:ind w:left="2891" w:right="11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1360"/>
        </w:sectPr>
      </w:pPr>
    </w:p>
    <w:p>
      <w:pPr>
        <w:spacing w:before="57"/>
        <w:ind w:left="5054" w:right="1263" w:firstLine="0"/>
        <w:jc w:val="left"/>
        <w:rPr>
          <w:rFonts w:ascii="Myriad Pro" w:hAnsi="Myriad Pro"/>
          <w:sz w:val="16"/>
        </w:rPr>
      </w:pPr>
      <w:r>
        <w:rPr/>
        <w:pict>
          <v:group style="position:absolute;margin-left:56.693001pt;margin-top:0pt;width:538.6pt;height:841.9pt;mso-position-horizontal-relative:page;mso-position-vertical-relative:page;z-index:-47344" coordorigin="1134,0" coordsize="10772,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690;top:1278;width:1370;height:1370" coordorigin="9690,1278" coordsize="1370,1370" path="m10374,1278l10300,1282,10227,1294,10158,1313,10092,1339,10029,1371,9970,1410,9916,1454,9866,1504,9822,1558,9783,1617,9751,1680,9724,1746,9705,1816,9694,1888,9690,1963,9694,2037,9705,2110,9724,2179,9751,2246,9783,2308,9822,2367,9866,2422,9916,2471,9970,2515,10029,2554,10092,2587,10158,2613,10227,2632,10300,2644,10374,2648,10449,2644,10521,2632,10591,2613,10657,2587,10720,2554,10779,2515,10833,2471,10883,2422,10927,2367,10966,2308,10998,2246,11024,2179,11043,2110,11055,2037,11059,1963,11055,1888,11043,1816,11024,1746,10998,1680,10966,1617,10927,1558,10883,1504,10833,1454,10779,1410,10720,1371,10657,1339,10591,1313,10521,1294,10449,1282,10374,1278xe" filled="true" fillcolor="#f99d25" stroked="false">
              <v:path arrowok="t"/>
              <v:fill type="solid"/>
            </v:shape>
            <v:shape style="position:absolute;left:9860;top:1674;width:773;height:793" coordorigin="9860,1674" coordsize="773,793" path="m10062,2179l9860,2390,9877,2408,9895,2428,9914,2447,9934,2466,10140,2249,10123,2234,10161,2194,10081,2194,10062,2179xm10504,2159l10238,2159,10243,2162,10255,2169,10297,2185,10342,2194,10390,2195,10438,2187,10465,2179,10491,2167,10504,2159xm10365,1674l10330,1677,10296,1684,10265,1696,10254,1701,10243,1707,10232,1714,10221,1721,10206,1732,10191,1745,10178,1759,10165,1774,10150,1795,10137,1818,10127,1842,10119,1867,10111,1910,10111,1954,10117,1996,10131,2037,10135,2047,10139,2055,10144,2064,10147,2074,10144,2081,10140,2092,10140,2113,10141,2119,10143,2125,10143,2130,10127,2146,10093,2182,10081,2194,10161,2194,10183,2171,10185,2169,10186,2166,10221,2166,10227,2163,10234,2160,10238,2159,10504,2159,10515,2153,10526,2145,10380,2145,10328,2141,10280,2124,10237,2097,10202,2060,10195,2050,10188,2038,10182,2027,10165,1975,10161,1921,10171,1869,10195,1820,10206,1805,10218,1790,10232,1777,10246,1766,10272,1749,10300,1737,10330,1728,10363,1725,10526,1725,10515,1716,10493,1703,10471,1693,10449,1685,10426,1679,10401,1675,10365,1674xm10221,2166l10186,2166,10203,2169,10217,2169,10221,2166xm10526,1725l10363,1725,10386,1725,10410,1728,10432,1733,10452,1740,10470,1749,10486,1758,10501,1769,10516,1782,10525,1789,10533,1799,10549,1821,10553,1828,10560,1842,10568,1861,10575,1881,10579,1903,10581,1926,10573,1994,10545,2053,10501,2100,10445,2132,10380,2145,10526,2145,10537,2137,10551,2124,10564,2110,10577,2095,10589,2079,10614,2031,10627,1990,10631,1960,10633,1945,10633,1922,10631,1919,10631,1908,10630,1898,10629,1892,10628,1887,10621,1859,10611,1832,10599,1806,10583,1782,10579,1777,10575,1771,10570,1765,10552,1747,10534,1731,10526,1725xe" filled="true" fillcolor="#ffffff" stroked="false">
              <v:path arrowok="t"/>
              <v:fill type="solid"/>
            </v:shape>
            <v:shape style="position:absolute;left:-503;top:16787;width:773;height:793" coordorigin="-503,16787" coordsize="773,793" path="m10363,1725l10386,1725,10410,1728,10432,1733,10452,1740,10470,1749,10486,1758,10501,1769,10516,1782,10525,1789,10533,1799,10540,1810,10549,1821,10553,1828,10560,1842,10568,1861,10575,1881,10579,1903,10581,1926,10573,1994,10545,2053,10501,2100,10445,2132,10380,2145,10328,2141,10280,2124,10237,2097,10202,2060,10195,2050,10188,2038,10182,2027,10165,1975,10161,1921,10171,1869,10195,1820,10206,1805,10218,1790,10232,1777,10246,1766,10272,1749,10300,1737,10330,1728,10363,1725xm10633,1945l10633,1922,10631,1919,10631,1908,10631,1904,10630,1898,10629,1892,10628,1887,10621,1859,10611,1832,10599,1806,10583,1782,10579,1777,10575,1771,10570,1765,10552,1747,10534,1731,10515,1716,10493,1703,10471,1693,10449,1685,10426,1679,10401,1675,10365,1674,10330,1677,10296,1684,10265,1696,10254,1701,10243,1707,10232,1714,10221,1721,10206,1732,10191,1745,10178,1759,10165,1774,10150,1795,10137,1818,10127,1842,10119,1867,10111,1910,10111,1954,10117,1996,10131,2037,10135,2047,10139,2055,10144,2064,10147,2074,10144,2081,10140,2092,10140,2113,10141,2119,10143,2125,10143,2130,10127,2146,10093,2182,10081,2194,10067,2183,10062,2179,9860,2390,9877,2408,9895,2428,9914,2447,9934,2466,10140,2249,10123,2234,10150,2206,10183,2171,10185,2169,10186,2166,10191,2167,10203,2169,10217,2169,10227,2163,10234,2160,10238,2159,10243,2162,10255,2169,10297,2185,10342,2194,10390,2195,10438,2187,10465,2179,10491,2167,10515,2153,10537,2137,10551,2124,10564,2110,10577,2095,10589,2079,10614,2031,10627,1990,10631,1960,10633,1945xe" filled="false" stroked="true" strokeweight="1.611pt" strokecolor="#ffffff">
              <v:path arrowok="t"/>
            </v:shape>
            <v:shape style="position:absolute;left:9931;top:1420;width:888;height:1084" coordorigin="9931,1420" coordsize="888,1084" path="m10244,2417l10166,2417,10134,2417,10039,2504,10686,2503,10701,2499,10719,2493,10735,2485,10747,2478,10759,2468,10771,2458,10781,2447,10790,2435,10799,2418,10594,2418,10244,2417xm10793,1499l10572,1499,10609,1500,10640,1502,10667,1508,10694,1524,10715,1549,10726,1578,10729,1609,10730,1641,10730,2191,10731,2268,10730,2311,10727,2340,10722,2354,10716,2366,10708,2377,10700,2386,10692,2393,10680,2402,10666,2409,10639,2415,10616,2417,10594,2418,10799,2418,10808,2401,10816,2369,10818,2333,10818,1666,10819,1623,10818,1583,10813,1546,10800,1510,10793,1499xm10122,1420l10100,1421,10079,1422,10060,1425,10040,1431,9998,1456,9963,1496,9940,1545,9931,1598,9931,2181,9945,2165,10006,2098,10020,2082,10020,1613,10026,1579,10040,1550,10059,1527,10082,1511,10097,1505,10111,1502,10126,1500,10793,1499,10784,1484,10762,1462,10736,1443,10706,1430,10670,1423,10643,1422,10540,1422,10122,1420xm10626,1421l10540,1422,10643,1422,10626,1421xe" filled="true" fillcolor="#ffffff" stroked="false">
              <v:path arrowok="t"/>
              <v:fill type="solid"/>
            </v:shape>
            <v:shape style="position:absolute;left:1134;top:10592;width:8107;height:5111" type="#_x0000_t75" stroked="false">
              <v:imagedata r:id="rId17" o:title=""/>
            </v:shape>
            <w10:wrap type="none"/>
          </v:group>
        </w:pict>
      </w: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312;mso-wrap-distance-left:0;mso-wrap-distance-right:0" from="56.692902pt,29.548626pt" to="450.708902pt,29.548626pt" stroked="true" strokeweight="1.5pt" strokecolor="#f99d25">
            <w10:wrap type="topAndBottom"/>
          </v:line>
        </w:pict>
      </w:r>
      <w:bookmarkStart w:name="_TOC_250011" w:id="1"/>
      <w:bookmarkEnd w:id="1"/>
      <w:r>
        <w:rPr>
          <w:b/>
          <w:color w:val="F99D25"/>
          <w:spacing w:val="-6"/>
        </w:rPr>
        <w:t>PRÉSENTATION</w:t>
      </w:r>
    </w:p>
    <w:p>
      <w:pPr>
        <w:pStyle w:val="Heading2"/>
        <w:ind w:left="133" w:right="1263"/>
        <w:rPr>
          <w:b/>
        </w:rPr>
      </w:pPr>
      <w:r>
        <w:rPr>
          <w:b/>
          <w:color w:val="231F20"/>
        </w:rPr>
        <w:t>Objectifs du module</w:t>
      </w:r>
    </w:p>
    <w:p>
      <w:pPr>
        <w:pStyle w:val="BodyText"/>
        <w:spacing w:line="264" w:lineRule="auto" w:before="23"/>
        <w:ind w:left="813" w:right="1263" w:hanging="341"/>
        <w:rPr>
          <w:b w:val="0"/>
        </w:rPr>
      </w:pPr>
      <w:r>
        <w:rPr>
          <w:rFonts w:ascii="Arial" w:hAnsi="Arial"/>
          <w:color w:val="F99D25"/>
          <w:sz w:val="26"/>
        </w:rPr>
        <w:t>► </w:t>
      </w:r>
      <w:r>
        <w:rPr>
          <w:b w:val="0"/>
          <w:color w:val="231F20"/>
        </w:rPr>
        <w:t>Étudier les barrières à la participation à la vie politique et publique pour les personnes handicapées et les stratégies pratiques pour les éliminer.</w:t>
      </w:r>
    </w:p>
    <w:p>
      <w:pPr>
        <w:pStyle w:val="Heading2"/>
        <w:spacing w:before="61"/>
        <w:ind w:left="133" w:right="1263"/>
        <w:rPr>
          <w:b/>
        </w:rPr>
      </w:pPr>
      <w:r>
        <w:rPr>
          <w:b/>
          <w:color w:val="231F20"/>
        </w:rPr>
        <w:t>À qui est destiné ce module ?</w:t>
      </w:r>
    </w:p>
    <w:p>
      <w:pPr>
        <w:pStyle w:val="BodyText"/>
        <w:spacing w:line="266" w:lineRule="auto" w:before="117"/>
        <w:ind w:left="133" w:right="1263"/>
        <w:rPr>
          <w:b w:val="0"/>
        </w:rPr>
      </w:pPr>
      <w:r>
        <w:rPr>
          <w:b w:val="0"/>
          <w:color w:val="231F20"/>
        </w:rPr>
        <w:t>Ce module s’adresse à toute personne intéressée par le handicap ou chargée de traiter des questions relatives à la participation à la vie publique pour les personnes handicapées eu égard à ses fonctions professionnelles, y compris les personnes handicapées ou non qui sont actives dans la société civile, dans les forces de l’ordre, dans le service public et civil ou dans les institutions de défense des droits de l’homme. Il s’adresse également aux parlements, aux agences de développement, aux universités et au secteur privé.</w:t>
      </w:r>
    </w:p>
    <w:p>
      <w:pPr>
        <w:pStyle w:val="Heading2"/>
        <w:spacing w:before="59"/>
        <w:ind w:left="133" w:right="1263"/>
        <w:rPr>
          <w:b/>
        </w:rPr>
      </w:pPr>
      <w:r>
        <w:rPr>
          <w:b/>
          <w:color w:val="231F20"/>
        </w:rPr>
        <w:t>De quoi traite ce module ?</w:t>
      </w:r>
    </w:p>
    <w:p>
      <w:pPr>
        <w:pStyle w:val="BodyText"/>
        <w:spacing w:before="117"/>
        <w:ind w:left="133" w:right="1263"/>
        <w:rPr>
          <w:b w:val="0"/>
        </w:rPr>
      </w:pPr>
      <w:r>
        <w:rPr>
          <w:b w:val="0"/>
          <w:color w:val="231F20"/>
        </w:rPr>
        <w:t>Le contenu de ce module :</w:t>
      </w:r>
    </w:p>
    <w:p>
      <w:pPr>
        <w:pStyle w:val="BodyText"/>
        <w:spacing w:line="264" w:lineRule="auto" w:before="48"/>
        <w:ind w:left="813" w:right="1631" w:hanging="341"/>
        <w:rPr>
          <w:b w:val="0"/>
        </w:rPr>
      </w:pPr>
      <w:r>
        <w:rPr>
          <w:rFonts w:ascii="Arial" w:hAnsi="Arial"/>
          <w:color w:val="F99D25"/>
          <w:sz w:val="26"/>
        </w:rPr>
        <w:t>► </w:t>
      </w:r>
      <w:r>
        <w:rPr>
          <w:b w:val="0"/>
          <w:color w:val="231F20"/>
        </w:rPr>
        <w:t>introduit les concepts de base relatifs à l’inclusion des personnes handicapées dans la vie politique et publique ;</w:t>
      </w:r>
    </w:p>
    <w:p>
      <w:pPr>
        <w:pStyle w:val="BodyText"/>
        <w:spacing w:line="264" w:lineRule="auto" w:before="21"/>
        <w:ind w:left="813" w:right="1518" w:hanging="341"/>
        <w:rPr>
          <w:b w:val="0"/>
        </w:rPr>
      </w:pPr>
      <w:r>
        <w:rPr>
          <w:rFonts w:ascii="Arial" w:hAnsi="Arial"/>
          <w:color w:val="F99D25"/>
          <w:sz w:val="26"/>
        </w:rPr>
        <w:t>► </w:t>
      </w:r>
      <w:r>
        <w:rPr>
          <w:b w:val="0"/>
          <w:color w:val="231F20"/>
        </w:rPr>
        <w:t>examine les obligations juridiques prévues par la Convention relative aux droits des personnes handicapées (CDPH), notamment l’article 29 ;</w:t>
      </w:r>
    </w:p>
    <w:p>
      <w:pPr>
        <w:pStyle w:val="BodyText"/>
        <w:spacing w:line="264" w:lineRule="auto" w:before="21"/>
        <w:ind w:left="813" w:right="1484" w:hanging="341"/>
        <w:rPr>
          <w:b w:val="0"/>
        </w:rPr>
      </w:pPr>
      <w:r>
        <w:rPr>
          <w:rFonts w:ascii="Arial" w:hAnsi="Arial"/>
          <w:color w:val="F99D25"/>
          <w:sz w:val="26"/>
        </w:rPr>
        <w:t>► </w:t>
      </w:r>
      <w:r>
        <w:rPr>
          <w:b w:val="0"/>
          <w:color w:val="231F20"/>
        </w:rPr>
        <w:t>explique les mesure qui peuvent être prises par les gouvernements africains, les partis politiques et les organismes de gestion des élections, afin de garantir la participation des personnes handicapées à la vie politique et publique ;</w:t>
      </w:r>
    </w:p>
    <w:p>
      <w:pPr>
        <w:pStyle w:val="BodyText"/>
        <w:spacing w:before="22"/>
        <w:ind w:left="473" w:right="1263"/>
        <w:rPr>
          <w:b w:val="0"/>
        </w:rPr>
      </w:pPr>
      <w:r>
        <w:rPr>
          <w:rFonts w:ascii="Arial" w:hAnsi="Arial"/>
          <w:color w:val="F99D25"/>
          <w:sz w:val="26"/>
        </w:rPr>
        <w:t>► </w:t>
      </w:r>
      <w:r>
        <w:rPr>
          <w:b w:val="0"/>
          <w:color w:val="231F20"/>
        </w:rPr>
        <w:t>propose des recommandations clés destinées à guider les pratiques inclusives ;</w:t>
      </w:r>
    </w:p>
    <w:p>
      <w:pPr>
        <w:pStyle w:val="BodyText"/>
        <w:spacing w:before="47"/>
        <w:ind w:left="473" w:right="1263"/>
        <w:rPr>
          <w:b w:val="0"/>
        </w:rPr>
      </w:pPr>
      <w:r>
        <w:rPr>
          <w:rFonts w:ascii="Arial" w:hAnsi="Arial"/>
          <w:color w:val="F99D25"/>
          <w:sz w:val="26"/>
        </w:rPr>
        <w:t>► </w:t>
      </w:r>
      <w:r>
        <w:rPr>
          <w:b w:val="0"/>
          <w:color w:val="231F20"/>
        </w:rPr>
        <w:t>fournit une liste de ressources utiles pour référence ;</w:t>
      </w:r>
    </w:p>
    <w:p>
      <w:pPr>
        <w:pStyle w:val="BodyText"/>
        <w:spacing w:before="47"/>
        <w:ind w:left="473" w:right="1263"/>
        <w:rPr>
          <w:b w:val="0"/>
        </w:rPr>
      </w:pPr>
      <w:r>
        <w:rPr>
          <w:rFonts w:ascii="Arial" w:hAnsi="Arial"/>
          <w:color w:val="F99D25"/>
          <w:sz w:val="26"/>
        </w:rPr>
        <w:t>► </w:t>
      </w:r>
      <w:r>
        <w:rPr>
          <w:b w:val="0"/>
          <w:color w:val="231F20"/>
        </w:rPr>
        <w:t>inclut des exercices d’apprentissage pour accompagner les supports ;</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6"/>
        </w:rPr>
      </w:pPr>
    </w:p>
    <w:p>
      <w:pPr>
        <w:tabs>
          <w:tab w:pos="8240" w:val="left" w:leader="none"/>
          <w:tab w:pos="9147" w:val="left" w:leader="none"/>
        </w:tabs>
        <w:spacing w:before="56"/>
        <w:ind w:left="3937" w:right="0" w:firstLine="0"/>
        <w:jc w:val="left"/>
        <w:rPr>
          <w:rFonts w:ascii="Myriad Pro" w:hAnsi="Myriad Pro"/>
          <w:sz w:val="26"/>
        </w:rPr>
      </w:pPr>
      <w:r>
        <w:rPr/>
        <w:pict>
          <v:shape style="position:absolute;margin-left:452.049622pt;margin-top:-69.537613pt;width:8pt;height:47.45pt;mso-position-horizontal-relative:page;mso-position-vertical-relative:paragraph;z-index:1360" type="#_x0000_t202" filled="false" stroked="false">
            <v:textbox inset="0,0,0,0" style="layout-flow:vertical;mso-layout-flow-alt:bottom-to-top">
              <w:txbxContent>
                <w:p>
                  <w:pPr>
                    <w:spacing w:before="4"/>
                    <w:ind w:left="20" w:right="-667" w:firstLine="0"/>
                    <w:jc w:val="left"/>
                    <w:rPr>
                      <w:rFonts w:ascii="Arial" w:hAnsi="Arial"/>
                      <w:sz w:val="12"/>
                    </w:rPr>
                  </w:pPr>
                  <w:r>
                    <w:rPr>
                      <w:rFonts w:ascii="Arial" w:hAnsi="Arial"/>
                      <w:color w:val="FFFFFF"/>
                      <w:sz w:val="12"/>
                    </w:rPr>
                    <w:t>© OIT/A.Fiorente</w:t>
                  </w:r>
                </w:p>
              </w:txbxContent>
            </v:textbox>
            <w10:wrap type="none"/>
          </v:shape>
        </w:pict>
      </w:r>
      <w:r>
        <w:rPr>
          <w:rFonts w:ascii="Myriad Pro" w:hAnsi="Myriad Pro"/>
          <w:color w:val="6D6E71"/>
          <w:sz w:val="16"/>
        </w:rPr>
        <w:t>Module 11 - </w:t>
      </w:r>
      <w:r>
        <w:rPr>
          <w:rFonts w:ascii="Myriad Pro" w:hAnsi="Myriad Pro"/>
          <w:color w:val="6D6E71"/>
          <w:spacing w:val="-4"/>
          <w:sz w:val="16"/>
        </w:rPr>
        <w:t>PARTICIPATION </w:t>
      </w:r>
      <w:r>
        <w:rPr>
          <w:rFonts w:ascii="Myriad Pro" w:hAnsi="Myriad Pro"/>
          <w:color w:val="6D6E71"/>
          <w:sz w:val="16"/>
        </w:rPr>
        <w:t>À LA VIE POLITIQUE</w:t>
      </w:r>
      <w:r>
        <w:rPr>
          <w:rFonts w:ascii="Myriad Pro" w:hAnsi="Myriad Pro"/>
          <w:color w:val="6D6E71"/>
          <w:spacing w:val="4"/>
          <w:sz w:val="16"/>
        </w:rPr>
        <w:t> </w:t>
      </w:r>
      <w:r>
        <w:rPr>
          <w:rFonts w:ascii="Myriad Pro" w:hAnsi="Myriad Pro"/>
          <w:color w:val="6D6E71"/>
          <w:sz w:val="16"/>
        </w:rPr>
        <w:t>ET PUBLIQUE</w:t>
        <w:tab/>
      </w:r>
      <w:r>
        <w:rPr>
          <w:rFonts w:ascii="Myriad Pro" w:hAnsi="Myriad Pro"/>
          <w:color w:val="FFFFFF"/>
          <w:position w:val="-4"/>
          <w:sz w:val="26"/>
          <w:shd w:fill="F99D25" w:color="auto" w:val="clear"/>
        </w:rPr>
        <w:t>1</w:t>
        <w:tab/>
      </w:r>
    </w:p>
    <w:p>
      <w:pPr>
        <w:spacing w:after="0"/>
        <w:jc w:val="left"/>
        <w:rPr>
          <w:rFonts w:ascii="Myriad Pro" w:hAnsi="Myriad Pro"/>
          <w:sz w:val="26"/>
        </w:rPr>
        <w:sectPr>
          <w:pgSz w:w="11910" w:h="16840"/>
          <w:pgMar w:top="360" w:bottom="280" w:left="1000" w:right="1640"/>
        </w:sectPr>
      </w:pPr>
    </w:p>
    <w:p>
      <w:pPr>
        <w:pStyle w:val="BodyText"/>
        <w:spacing w:before="6"/>
        <w:rPr>
          <w:rFonts w:ascii="Myriad Pro"/>
          <w:sz w:val="28"/>
        </w:rPr>
      </w:pPr>
      <w:r>
        <w:rPr/>
        <w:pict>
          <v:group style="position:absolute;margin-left:0pt;margin-top:0pt;width:133.25pt;height:841.9pt;mso-position-horizontal-relative:page;mso-position-vertical-relative:page;z-index:-47008"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2</w:t>
                      <w:tab/>
                    </w:r>
                  </w:p>
                </w:txbxContent>
              </v:textbox>
              <w10:wrap type="none"/>
            </v:shape>
            <w10:wrap type="none"/>
          </v:group>
        </w:pict>
      </w:r>
    </w:p>
    <w:p>
      <w:pPr>
        <w:spacing w:before="75"/>
        <w:ind w:left="2892" w:right="32"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spacing w:before="44"/>
        <w:ind w:left="2891" w:right="32"/>
        <w:rPr>
          <w:b/>
        </w:rPr>
      </w:pPr>
      <w:r>
        <w:rPr>
          <w:b/>
          <w:color w:val="231F20"/>
        </w:rPr>
        <w:t>Objectifs d’apprentissage</w:t>
      </w:r>
    </w:p>
    <w:p>
      <w:pPr>
        <w:pStyle w:val="BodyText"/>
        <w:spacing w:line="264" w:lineRule="auto" w:before="23"/>
        <w:ind w:left="3571" w:right="32" w:hanging="341"/>
        <w:rPr>
          <w:b w:val="0"/>
        </w:rPr>
      </w:pPr>
      <w:r>
        <w:rPr>
          <w:rFonts w:ascii="Arial" w:hAnsi="Arial"/>
          <w:color w:val="F99D25"/>
          <w:sz w:val="26"/>
        </w:rPr>
        <w:t>► </w:t>
      </w:r>
      <w:r>
        <w:rPr>
          <w:b w:val="0"/>
          <w:color w:val="231F20"/>
        </w:rPr>
        <w:t>identifier les obstacles à la participation des personnes handicapées à la vie politique et publique ;</w:t>
      </w:r>
    </w:p>
    <w:p>
      <w:pPr>
        <w:pStyle w:val="BodyText"/>
        <w:spacing w:before="21"/>
        <w:ind w:left="3231" w:right="32"/>
        <w:rPr>
          <w:b w:val="0"/>
        </w:rPr>
      </w:pPr>
      <w:r>
        <w:rPr>
          <w:rFonts w:ascii="Arial" w:hAnsi="Arial"/>
          <w:color w:val="F99D25"/>
          <w:sz w:val="26"/>
        </w:rPr>
        <w:t>► </w:t>
      </w:r>
      <w:r>
        <w:rPr>
          <w:b w:val="0"/>
          <w:color w:val="231F20"/>
        </w:rPr>
        <w:t>appliquer cet enseignement au contexte local</w:t>
      </w:r>
    </w:p>
    <w:p>
      <w:pPr>
        <w:pStyle w:val="BodyText"/>
        <w:rPr>
          <w:b w:val="0"/>
          <w:sz w:val="26"/>
        </w:rPr>
      </w:pPr>
    </w:p>
    <w:p>
      <w:pPr>
        <w:pStyle w:val="Heading2"/>
        <w:spacing w:before="182"/>
        <w:ind w:left="2891" w:right="32"/>
        <w:rPr>
          <w:b/>
        </w:rPr>
      </w:pPr>
      <w:r>
        <w:rPr>
          <w:b/>
          <w:color w:val="231F20"/>
        </w:rPr>
        <w:t>Plan du module</w:t>
      </w:r>
    </w:p>
    <w:p>
      <w:pPr>
        <w:pStyle w:val="BodyText"/>
        <w:rPr>
          <w:b/>
          <w:sz w:val="10"/>
        </w:rPr>
      </w:pPr>
      <w:r>
        <w:rPr/>
        <w:pict>
          <v:group style="position:absolute;margin-left:141.528pt;margin-top:8.090092pt;width:399.25pt;height:376.5pt;mso-position-horizontal-relative:page;mso-position-vertical-relative:paragraph;z-index:1624;mso-wrap-distance-left:0;mso-wrap-distance-right:0" coordorigin="2831,162" coordsize="7985,7530">
            <v:line style="position:absolute" from="5127,855" to="5630,855" stroked="true" strokeweight="2pt" strokecolor="#231f20"/>
            <v:shape style="position:absolute;left:5534;top:777;width:215;height:157" coordorigin="5534,777" coordsize="215,157" path="m5534,777l5534,933,5748,855,5534,777xe" filled="true" fillcolor="#231f20" stroked="false">
              <v:path arrowok="t"/>
              <v:fill type="solid"/>
            </v:shape>
            <v:rect style="position:absolute;left:2845;top:162;width:2282;height:1498" filled="true" fillcolor="#231f20" stroked="false">
              <v:fill opacity="22937f" type="solid"/>
            </v:rect>
            <v:shape style="position:absolute;left:2918;top:235;width:2026;height:1241" coordorigin="2918,235" coordsize="2026,1241" path="m4773,235l3088,235,2990,238,2939,256,2921,307,2918,405,2918,1305,2921,1404,2939,1454,2990,1473,3088,1475,4773,1475,4871,1473,4922,1454,4940,1404,4943,1305,4943,405,4940,307,4922,256,4871,238,4773,235xe" filled="true" fillcolor="#d9eaf0" stroked="false">
              <v:path arrowok="t"/>
              <v:fill type="solid"/>
            </v:shape>
            <v:shape style="position:absolute;left:2918;top:235;width:2026;height:1241" coordorigin="2918,235" coordsize="2026,1241" path="m3088,235l2990,238,2939,256,2921,307,2918,405,2918,1305,2921,1404,2939,1454,2990,1473,3088,1475,4773,1475,4871,1473,4922,1454,4940,1404,4943,1305,4943,405,4940,307,4922,256,4871,238,4773,235,3088,235xe" filled="false" stroked="true" strokeweight="2pt" strokecolor="#231f20">
              <v:path arrowok="t"/>
            </v:shape>
            <v:line style="position:absolute" from="7986,855" to="8457,855" stroked="true" strokeweight="2pt" strokecolor="#f99d25"/>
            <v:shape style="position:absolute;left:8361;top:777;width:215;height:157" coordorigin="8361,777" coordsize="215,157" path="m8361,777l8362,933,8576,855,8361,777xe" filled="true" fillcolor="#f99d25" stroked="false">
              <v:path arrowok="t"/>
              <v:fill type="solid"/>
            </v:shape>
            <v:rect style="position:absolute;left:5704;top:165;width:2282;height:1498" filled="true" fillcolor="#231f20" stroked="false">
              <v:fill opacity="22937f" type="solid"/>
            </v:rect>
            <v:shape style="position:absolute;left:5777;top:239;width:2026;height:1241" coordorigin="5777,239" coordsize="2026,1241" path="m7632,239l5947,239,5849,241,5798,260,5780,310,5777,409,5777,1309,5780,1407,5798,1458,5849,1476,5947,1479,7632,1479,7730,1476,7781,1458,7799,1407,7802,1309,7802,409,7799,310,7781,260,7730,241,7632,239xe" filled="true" fillcolor="#fff2e3" stroked="false">
              <v:path arrowok="t"/>
              <v:fill type="solid"/>
            </v:shape>
            <v:line style="position:absolute" from="9619,1660" to="9619,2101" stroked="true" strokeweight="2pt" strokecolor="#f99d25"/>
            <v:shape style="position:absolute;left:9541;top:2025;width:157;height:215" coordorigin="9541,2025" coordsize="157,215" path="m9697,2025l9541,2025,9619,2239,9697,2025xe" filled="true" fillcolor="#f99d25" stroked="false">
              <v:path arrowok="t"/>
              <v:fill type="solid"/>
            </v:shape>
            <v:rect style="position:absolute;left:8533;top:162;width:2282;height:1498" filled="true" fillcolor="#231f20" stroked="false">
              <v:fill opacity="22937f" type="solid"/>
            </v:rect>
            <v:shape style="position:absolute;left:8606;top:236;width:2026;height:1241" coordorigin="8606,236" coordsize="2026,1241" path="m10461,236l8776,236,8678,238,8627,257,8609,307,8606,406,8606,1306,8609,1404,8627,1455,8678,1473,8776,1476,10461,1476,10559,1473,10610,1455,10628,1404,10631,1306,10631,406,10628,307,10610,257,10559,238,10461,236xe" filled="true" fillcolor="#fff2e3" stroked="false">
              <v:path arrowok="t"/>
              <v:fill type="solid"/>
            </v:shape>
            <v:line style="position:absolute" from="5122,2884" to="5704,2884" stroked="true" strokeweight="2pt" strokecolor="#f99d25"/>
            <v:shape style="position:absolute;left:4983;top:2806;width:215;height:157" coordorigin="4983,2806" coordsize="215,157" path="m5198,2806l4983,2884,5198,2962,5198,2806xe" filled="true" fillcolor="#f99d25" stroked="false">
              <v:path arrowok="t"/>
              <v:fill type="solid"/>
            </v:shape>
            <v:line style="position:absolute" from="3931,3688" to="3931,4133" stroked="true" strokeweight="2pt" strokecolor="#f99d25"/>
            <v:shape style="position:absolute;left:3853;top:4057;width:157;height:215" coordorigin="3853,4057" coordsize="157,215" path="m4009,4057l3853,4057,3931,4272,4009,4057xe" filled="true" fillcolor="#f99d25" stroked="false">
              <v:path arrowok="t"/>
              <v:fill type="solid"/>
            </v:shape>
            <v:rect style="position:absolute;left:2845;top:2190;width:2282;height:1498" filled="true" fillcolor="#231f20" stroked="false">
              <v:fill opacity="22937f" type="solid"/>
            </v:rect>
            <v:shape style="position:absolute;left:2918;top:2264;width:2026;height:1241" coordorigin="2918,2264" coordsize="2026,1241" path="m4773,2264l3088,2264,2990,2266,2939,2285,2921,2335,2918,2434,2918,3334,2921,3432,2939,3482,2990,3501,3088,3504,4773,3504,4871,3501,4922,3482,4940,3432,4943,3334,4943,2434,4940,2335,4922,2285,4871,2266,4773,2264xe" filled="true" fillcolor="#fff2e3" stroked="false">
              <v:path arrowok="t"/>
              <v:fill type="solid"/>
            </v:shape>
            <v:line style="position:absolute" from="7986,2884" to="8533,2884" stroked="true" strokeweight="2pt" strokecolor="#f99d25"/>
            <v:shape style="position:absolute;left:7812;top:2806;width:215;height:157" coordorigin="7812,2806" coordsize="215,157" path="m8027,2806l7812,2884,8027,2962,8027,2806xe" filled="true" fillcolor="#f99d25" stroked="false">
              <v:path arrowok="t"/>
              <v:fill type="solid"/>
            </v:shape>
            <v:rect style="position:absolute;left:5704;top:2190;width:2282;height:1498" filled="true" fillcolor="#231f20" stroked="false">
              <v:fill opacity="22937f" type="solid"/>
            </v:rect>
            <v:shape style="position:absolute;left:5777;top:2264;width:2026;height:1241" coordorigin="5777,2264" coordsize="2026,1241" path="m7632,2264l5947,2264,5849,2266,5798,2285,5780,2335,5777,2434,5777,3334,5780,3432,5798,3482,5849,3501,5947,3504,7632,3504,7730,3501,7781,3482,7799,3432,7802,3334,7802,2434,7799,2335,7781,2285,7730,2266,7632,2264xe" filled="true" fillcolor="#fff2e3" stroked="false">
              <v:path arrowok="t"/>
              <v:fill type="solid"/>
            </v:shape>
            <v:rect style="position:absolute;left:8533;top:2190;width:2282;height:1498" filled="true" fillcolor="#231f20" stroked="false">
              <v:fill opacity="22937f" type="solid"/>
            </v:rect>
            <v:shape style="position:absolute;left:8606;top:2264;width:2026;height:1241" coordorigin="8606,2264" coordsize="2026,1241" path="m10461,2264l8776,2264,8678,2266,8627,2285,8609,2335,8606,2434,8606,3334,8609,3432,8627,3482,8678,3501,8776,3504,10461,3504,10559,3501,10610,3482,10628,3432,10631,3334,10631,2434,10628,2335,10610,2285,10559,2266,10461,2264xe" filled="true" fillcolor="#fff2e3" stroked="false">
              <v:path arrowok="t"/>
              <v:fill type="solid"/>
            </v:shape>
            <v:line style="position:absolute" from="5113,4896" to="5628,4896" stroked="true" strokeweight="2pt" strokecolor="#f99d25"/>
            <v:shape style="position:absolute;left:5532;top:4818;width:215;height:157" coordorigin="5532,4818" coordsize="215,157" path="m5533,4818l5532,4974,5747,4897,5533,4818xe" filled="true" fillcolor="#f99d25" stroked="false">
              <v:path arrowok="t"/>
              <v:fill type="solid"/>
            </v:shape>
            <v:line style="position:absolute" from="7986,4901" to="8457,4901" stroked="true" strokeweight="2pt" strokecolor="#8a9221"/>
            <v:shape style="position:absolute;left:8361;top:4823;width:215;height:157" coordorigin="8361,4823" coordsize="215,157" path="m8362,4823l8361,4979,8576,4901,8362,4823xe" filled="true" fillcolor="#8a9221" stroked="false">
              <v:path arrowok="t"/>
              <v:fill type="solid"/>
            </v:shape>
            <v:rect style="position:absolute;left:5704;top:4203;width:2282;height:1498" filled="true" fillcolor="#231f20" stroked="false">
              <v:fill opacity="22937f" type="solid"/>
            </v:rect>
            <v:shape style="position:absolute;left:5777;top:4276;width:2026;height:1241" coordorigin="5777,4276" coordsize="2026,1241" path="m7632,4276l5947,4276,5849,4279,5798,4297,5780,4348,5777,4446,5777,5346,5780,5445,5798,5495,5849,5514,5947,5516,7632,5516,7730,5514,7781,5495,7799,5445,7802,5346,7802,4446,7799,4348,7781,4297,7730,4279,7632,4276xe" filled="true" fillcolor="#e0e0c6" stroked="false">
              <v:path arrowok="t"/>
              <v:fill type="solid"/>
            </v:shape>
            <v:rect style="position:absolute;left:2831;top:4203;width:2282;height:1498" filled="true" fillcolor="#231f20" stroked="false">
              <v:fill opacity="22937f" type="solid"/>
            </v:rect>
            <v:shape style="position:absolute;left:2904;top:4276;width:2026;height:1241" coordorigin="2904,4276" coordsize="2026,1241" path="m4759,4276l3074,4276,2976,4279,2925,4297,2907,4348,2904,4446,2904,5346,2907,5445,2925,5495,2976,5514,3074,5516,4759,5516,4857,5514,4908,5495,4926,5445,4929,5346,4929,4446,4926,4348,4908,4297,4857,4279,4759,4276xe" filled="true" fillcolor="#fff2e3" stroked="false">
              <v:path arrowok="t"/>
              <v:fill type="solid"/>
            </v:shape>
            <v:line style="position:absolute" from="9619,5700" to="9619,6147" stroked="true" strokeweight="2pt" strokecolor="#55479d"/>
            <v:shape style="position:absolute;left:9541;top:6071;width:157;height:215" coordorigin="9541,6071" coordsize="157,215" path="m9697,6071l9541,6071,9619,6286,9697,6071xe" filled="true" fillcolor="#55479d" stroked="false">
              <v:path arrowok="t"/>
              <v:fill type="solid"/>
            </v:shape>
            <v:rect style="position:absolute;left:8533;top:4203;width:2282;height:1498" filled="true" fillcolor="#231f20" stroked="false">
              <v:fill opacity="22937f" type="solid"/>
            </v:rect>
            <v:shape style="position:absolute;left:8606;top:4276;width:2026;height:1241" coordorigin="8606,4276" coordsize="2026,1241" path="m10461,4276l8776,4276,8678,4279,8627,4297,8609,4348,8606,4446,8606,5346,8609,5445,8627,5495,8678,5514,8776,5516,10461,5516,10559,5514,10610,5495,10628,5445,10631,5346,10631,4446,10628,4348,10610,4297,10559,4279,10461,4276xe" filled="true" fillcolor="#dbd8ec" stroked="false">
              <v:path arrowok="t"/>
              <v:fill type="solid"/>
            </v:shape>
            <v:rect style="position:absolute;left:8524;top:6194;width:2282;height:1498" filled="true" fillcolor="#231f20" stroked="false">
              <v:fill opacity="22937f" type="solid"/>
            </v:rect>
            <v:shape style="position:absolute;left:8597;top:6267;width:2026;height:1241" coordorigin="8597,6267" coordsize="2026,1241" path="m10453,6267l8768,6267,8669,6270,8619,6289,8600,6339,8597,6438,8597,7338,8600,7436,8619,7486,8669,7505,8768,7508,10453,7508,10551,7505,10601,7486,10620,7436,10623,7338,10623,6438,10620,6339,10601,6289,10551,6270,10453,6267xe" filled="true" fillcolor="#cee5ec" stroked="false">
              <v:path arrowok="t"/>
              <v:fill type="solid"/>
            </v:shape>
            <v:shape style="position:absolute;left:8612;top:236;width:2014;height:1241" type="#_x0000_t202" filled="true" fillcolor="#fff2e3" stroked="false">
              <v:textbox inset="0,0,0,0">
                <w:txbxContent>
                  <w:p>
                    <w:pPr>
                      <w:spacing w:line="240" w:lineRule="auto" w:before="0"/>
                      <w:rPr>
                        <w:b/>
                        <w:sz w:val="18"/>
                      </w:rPr>
                    </w:pPr>
                  </w:p>
                  <w:p>
                    <w:pPr>
                      <w:spacing w:line="240" w:lineRule="auto" w:before="0"/>
                      <w:rPr>
                        <w:b/>
                        <w:sz w:val="14"/>
                      </w:rPr>
                    </w:pPr>
                  </w:p>
                  <w:p>
                    <w:pPr>
                      <w:spacing w:before="0"/>
                      <w:ind w:left="136" w:right="274" w:firstLine="0"/>
                      <w:jc w:val="left"/>
                      <w:rPr>
                        <w:b w:val="0"/>
                        <w:sz w:val="18"/>
                      </w:rPr>
                    </w:pPr>
                    <w:r>
                      <w:rPr>
                        <w:b w:val="0"/>
                        <w:color w:val="231F20"/>
                        <w:sz w:val="18"/>
                      </w:rPr>
                      <w:t>2.A.  Contexte</w:t>
                    </w:r>
                  </w:p>
                </w:txbxContent>
              </v:textbox>
              <v:fill type="solid"/>
              <w10:wrap type="none"/>
            </v:shape>
            <v:shape style="position:absolute;left:5783;top:239;width:2014;height:1241" type="#_x0000_t202" filled="true" fillcolor="#fff2e3" stroked="false">
              <v:textbox inset="0,0,0,0">
                <w:txbxContent>
                  <w:p>
                    <w:pPr>
                      <w:spacing w:line="240" w:lineRule="auto" w:before="0"/>
                      <w:rPr>
                        <w:b/>
                        <w:sz w:val="18"/>
                      </w:rPr>
                    </w:pPr>
                  </w:p>
                  <w:p>
                    <w:pPr>
                      <w:tabs>
                        <w:tab w:pos="485" w:val="left" w:leader="none"/>
                      </w:tabs>
                      <w:spacing w:before="161"/>
                      <w:ind w:left="145" w:right="274" w:firstLine="0"/>
                      <w:jc w:val="left"/>
                      <w:rPr>
                        <w:b/>
                        <w:sz w:val="18"/>
                      </w:rPr>
                    </w:pPr>
                    <w:r>
                      <w:rPr>
                        <w:b/>
                        <w:color w:val="231F20"/>
                        <w:sz w:val="18"/>
                      </w:rPr>
                      <w:t>2.</w:t>
                      <w:tab/>
                      <w:t>CONTENU</w:t>
                    </w:r>
                  </w:p>
                  <w:p>
                    <w:pPr>
                      <w:spacing w:before="0"/>
                      <w:ind w:left="485" w:right="274" w:firstLine="0"/>
                      <w:jc w:val="left"/>
                      <w:rPr>
                        <w:b/>
                        <w:sz w:val="18"/>
                      </w:rPr>
                    </w:pPr>
                    <w:r>
                      <w:rPr>
                        <w:b/>
                        <w:color w:val="231F20"/>
                        <w:sz w:val="18"/>
                      </w:rPr>
                      <w:t>TECHNIQUE</w:t>
                    </w:r>
                  </w:p>
                </w:txbxContent>
              </v:textbox>
              <v:fill type="solid"/>
              <w10:wrap type="none"/>
            </v:shape>
            <v:shape style="position:absolute;left:2924;top:2264;width:2014;height:1241" type="#_x0000_t202" filled="true" fillcolor="#fff2e3" stroked="false">
              <v:textbox inset="0,0,0,0">
                <w:txbxContent>
                  <w:p>
                    <w:pPr>
                      <w:spacing w:line="247" w:lineRule="auto" w:before="78"/>
                      <w:ind w:left="424" w:right="274" w:hanging="341"/>
                      <w:jc w:val="left"/>
                      <w:rPr>
                        <w:b w:val="0"/>
                        <w:sz w:val="18"/>
                      </w:rPr>
                    </w:pPr>
                    <w:r>
                      <w:rPr>
                        <w:b w:val="0"/>
                        <w:color w:val="231F20"/>
                        <w:sz w:val="18"/>
                      </w:rPr>
                      <w:t>2.D. Le droit de se présenter aux élections et d’occuper une fonction publique</w:t>
                    </w:r>
                  </w:p>
                </w:txbxContent>
              </v:textbox>
              <v:fill type="solid"/>
              <w10:wrap type="none"/>
            </v:shape>
            <v:shape style="position:absolute;left:5783;top:2264;width:2014;height:1241" type="#_x0000_t202" filled="true" fillcolor="#fff2e3" stroked="false">
              <v:textbox inset="0,0,0,0">
                <w:txbxContent>
                  <w:p>
                    <w:pPr>
                      <w:spacing w:line="247" w:lineRule="auto" w:before="78"/>
                      <w:ind w:left="485" w:right="45" w:hanging="340"/>
                      <w:jc w:val="left"/>
                      <w:rPr>
                        <w:b w:val="0"/>
                        <w:sz w:val="18"/>
                      </w:rPr>
                    </w:pPr>
                    <w:r>
                      <w:rPr>
                        <w:b w:val="0"/>
                        <w:color w:val="231F20"/>
                        <w:sz w:val="18"/>
                      </w:rPr>
                      <w:t>2.C. Mesures pour garantir des processus politiques inclusifs</w:t>
                    </w:r>
                  </w:p>
                </w:txbxContent>
              </v:textbox>
              <v:fill type="solid"/>
              <w10:wrap type="none"/>
            </v:shape>
            <v:shape style="position:absolute;left:8612;top:2264;width:2014;height:1241" type="#_x0000_t202" filled="true" fillcolor="#fff2e3" stroked="false">
              <v:textbox inset="0,0,0,0">
                <w:txbxContent>
                  <w:p>
                    <w:pPr>
                      <w:spacing w:before="78"/>
                      <w:ind w:left="179" w:right="274" w:firstLine="0"/>
                      <w:jc w:val="left"/>
                      <w:rPr>
                        <w:b w:val="0"/>
                        <w:sz w:val="18"/>
                      </w:rPr>
                    </w:pPr>
                    <w:r>
                      <w:rPr>
                        <w:b w:val="0"/>
                        <w:color w:val="231F20"/>
                        <w:sz w:val="18"/>
                      </w:rPr>
                      <w:t>2.B.  Cadre juridique</w:t>
                    </w:r>
                  </w:p>
                </w:txbxContent>
              </v:textbox>
              <v:fill type="solid"/>
              <w10:wrap type="none"/>
            </v:shape>
            <v:shape style="position:absolute;left:8612;top:4276;width:2014;height:1241" type="#_x0000_t202" filled="true" fillcolor="#dbd8ec" stroked="false">
              <v:textbox inset="0,0,0,0">
                <w:txbxContent>
                  <w:p>
                    <w:pPr>
                      <w:spacing w:line="240" w:lineRule="auto" w:before="1"/>
                      <w:rPr>
                        <w:b/>
                        <w:sz w:val="22"/>
                      </w:rPr>
                    </w:pPr>
                  </w:p>
                  <w:p>
                    <w:pPr>
                      <w:spacing w:line="220" w:lineRule="exact" w:before="1"/>
                      <w:ind w:left="505" w:right="274" w:hanging="340"/>
                      <w:jc w:val="left"/>
                      <w:rPr>
                        <w:b/>
                        <w:sz w:val="22"/>
                      </w:rPr>
                    </w:pPr>
                    <w:r>
                      <w:rPr>
                        <w:b/>
                        <w:color w:val="231F20"/>
                        <w:sz w:val="22"/>
                      </w:rPr>
                      <w:t>4. RESSOURCES UTILES</w:t>
                    </w:r>
                  </w:p>
                </w:txbxContent>
              </v:textbox>
              <v:fill type="solid"/>
              <w10:wrap type="none"/>
            </v:shape>
            <v:shape style="position:absolute;left:8603;top:6267;width:2014;height:1241" type="#_x0000_t202" filled="true" fillcolor="#cee5ec" stroked="false">
              <v:textbox inset="0,0,0,0">
                <w:txbxContent>
                  <w:p>
                    <w:pPr>
                      <w:spacing w:line="240" w:lineRule="auto" w:before="0"/>
                      <w:rPr>
                        <w:b/>
                        <w:sz w:val="18"/>
                      </w:rPr>
                    </w:pPr>
                  </w:p>
                  <w:p>
                    <w:pPr>
                      <w:tabs>
                        <w:tab w:pos="485" w:val="left" w:leader="none"/>
                      </w:tabs>
                      <w:spacing w:before="142"/>
                      <w:ind w:left="485" w:right="91" w:hanging="340"/>
                      <w:jc w:val="left"/>
                      <w:rPr>
                        <w:b/>
                        <w:sz w:val="18"/>
                      </w:rPr>
                    </w:pPr>
                    <w:r>
                      <w:rPr>
                        <w:b/>
                        <w:color w:val="231F20"/>
                        <w:sz w:val="18"/>
                      </w:rPr>
                      <w:t>5.</w:t>
                      <w:tab/>
                      <w:t>ACTIVITÉS </w:t>
                    </w:r>
                    <w:r>
                      <w:rPr>
                        <w:b/>
                        <w:color w:val="231F20"/>
                        <w:spacing w:val="-1"/>
                        <w:sz w:val="18"/>
                      </w:rPr>
                      <w:t>D'APPRENTISSAGE</w:t>
                    </w:r>
                  </w:p>
                </w:txbxContent>
              </v:textbox>
              <v:fill type="solid"/>
              <w10:wrap type="none"/>
            </v:shape>
            <v:shape style="position:absolute;left:2910;top:4276;width:2014;height:1241" type="#_x0000_t202" filled="true" fillcolor="#fff2e3" stroked="false">
              <v:textbox inset="0,0,0,0">
                <w:txbxContent>
                  <w:p>
                    <w:pPr>
                      <w:spacing w:line="240" w:lineRule="auto" w:before="3"/>
                      <w:rPr>
                        <w:b/>
                        <w:sz w:val="20"/>
                      </w:rPr>
                    </w:pPr>
                  </w:p>
                  <w:p>
                    <w:pPr>
                      <w:spacing w:line="247" w:lineRule="auto" w:before="1"/>
                      <w:ind w:left="453" w:right="216" w:hanging="341"/>
                      <w:jc w:val="both"/>
                      <w:rPr>
                        <w:b w:val="0"/>
                        <w:sz w:val="18"/>
                      </w:rPr>
                    </w:pPr>
                    <w:r>
                      <w:rPr>
                        <w:b w:val="0"/>
                        <w:color w:val="231F20"/>
                        <w:sz w:val="18"/>
                      </w:rPr>
                      <w:t>2.E. Le droit de former et de rejoindre</w:t>
                    </w:r>
                    <w:r>
                      <w:rPr>
                        <w:b w:val="0"/>
                        <w:color w:val="231F20"/>
                        <w:spacing w:val="-4"/>
                        <w:sz w:val="18"/>
                      </w:rPr>
                      <w:t> </w:t>
                    </w:r>
                    <w:r>
                      <w:rPr>
                        <w:b w:val="0"/>
                        <w:color w:val="231F20"/>
                        <w:sz w:val="18"/>
                      </w:rPr>
                      <w:t>des organisations</w:t>
                    </w:r>
                  </w:p>
                </w:txbxContent>
              </v:textbox>
              <v:fill type="solid"/>
              <w10:wrap type="none"/>
            </v:shape>
            <v:shape style="position:absolute;left:5783;top:4276;width:2014;height:1241" type="#_x0000_t202" filled="true" fillcolor="#e0e0c6" stroked="false">
              <v:textbox inset="0,0,0,0">
                <w:txbxContent>
                  <w:p>
                    <w:pPr>
                      <w:spacing w:line="240" w:lineRule="auto" w:before="1"/>
                      <w:rPr>
                        <w:b/>
                        <w:sz w:val="22"/>
                      </w:rPr>
                    </w:pPr>
                  </w:p>
                  <w:p>
                    <w:pPr>
                      <w:spacing w:line="220" w:lineRule="exact" w:before="1"/>
                      <w:ind w:left="339" w:right="25" w:hanging="284"/>
                      <w:jc w:val="left"/>
                      <w:rPr>
                        <w:b/>
                        <w:sz w:val="22"/>
                      </w:rPr>
                    </w:pPr>
                    <w:r>
                      <w:rPr>
                        <w:b/>
                        <w:color w:val="231F20"/>
                        <w:sz w:val="22"/>
                      </w:rPr>
                      <w:t>3. RÉSUMÉ ET PRINCIPAUX ENSEIGNEMENTS</w:t>
                    </w:r>
                  </w:p>
                </w:txbxContent>
              </v:textbox>
              <v:fill type="solid"/>
              <w10:wrap type="none"/>
            </v:shape>
            <v:shape style="position:absolute;left:2845;top:162;width:2283;height:1498" type="#_x0000_t202" filled="false" stroked="false">
              <v:textbox inset="0,0,0,0">
                <w:txbxContent>
                  <w:p>
                    <w:pPr>
                      <w:spacing w:line="240" w:lineRule="auto" w:before="0"/>
                      <w:rPr>
                        <w:b/>
                        <w:sz w:val="18"/>
                      </w:rPr>
                    </w:pPr>
                  </w:p>
                  <w:p>
                    <w:pPr>
                      <w:spacing w:line="240" w:lineRule="auto" w:before="6"/>
                      <w:rPr>
                        <w:b/>
                        <w:sz w:val="19"/>
                      </w:rPr>
                    </w:pPr>
                  </w:p>
                  <w:p>
                    <w:pPr>
                      <w:tabs>
                        <w:tab w:pos="546" w:val="left" w:leader="none"/>
                      </w:tabs>
                      <w:spacing w:before="0"/>
                      <w:ind w:left="206" w:right="0" w:firstLine="0"/>
                      <w:jc w:val="left"/>
                      <w:rPr>
                        <w:b/>
                        <w:sz w:val="18"/>
                      </w:rPr>
                    </w:pPr>
                    <w:r>
                      <w:rPr>
                        <w:b/>
                        <w:color w:val="231F20"/>
                        <w:sz w:val="18"/>
                      </w:rPr>
                      <w:t>1.</w:t>
                      <w:tab/>
                    </w:r>
                    <w:r>
                      <w:rPr>
                        <w:b/>
                        <w:color w:val="231F20"/>
                        <w:spacing w:val="-3"/>
                        <w:sz w:val="18"/>
                      </w:rPr>
                      <w:t>PRÉSENTATION</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7"/>
        </w:rPr>
      </w:pPr>
    </w:p>
    <w:p>
      <w:pPr>
        <w:spacing w:before="117"/>
        <w:ind w:left="2891" w:right="32"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9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792" coordorigin="9241,0" coordsize="2665,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673;top:1248;width:1402;height:1402" coordorigin="9673,1248" coordsize="1402,1402" path="m10374,1248l10298,1252,10224,1264,10153,1283,10085,1310,10021,1343,9960,1383,9905,1428,9854,1479,9809,1534,9769,1595,9736,1659,9709,1727,9690,1798,9678,1872,9673,1948,9678,2025,9690,2099,9709,2170,9736,2238,9769,2302,9809,2362,9854,2418,9905,2468,9960,2514,10021,2553,10085,2587,10153,2613,10224,2633,10298,2645,10374,2649,10451,2645,10525,2633,10596,2613,10664,2587,10728,2553,10788,2514,10844,2468,10894,2418,10940,2362,10979,2302,11013,2238,11039,2170,11059,2099,11071,2025,11075,1948,11071,1872,11059,1798,11039,1727,11013,1659,10979,1595,10940,1534,10894,1479,10844,1428,10788,1383,10728,1343,10664,1310,10596,1283,10525,1264,10451,1252,10374,1248xe" filled="true" fillcolor="#f99d25" stroked="false">
              <v:path arrowok="t"/>
              <v:fill type="solid"/>
            </v:shape>
            <v:shape style="position:absolute;left:9954;top:1407;width:842;height:1086" coordorigin="9954,1407" coordsize="842,1086" path="m10763,2418l9987,2418,9996,2431,9995,2432,10006,2445,10011,2449,10020,2454,10029,2461,10040,2468,10052,2474,10064,2480,10078,2484,10092,2487,10106,2490,10118,2493,10631,2493,10644,2490,10658,2487,10672,2484,10687,2479,10699,2473,10710,2467,10720,2461,10729,2454,10739,2449,10744,2445,10755,2431,10755,2429,10763,2418xm9985,1485l9984,1487,9983,1488,9963,1531,9955,1587,9954,1649,9954,1704,9954,2198,9954,2253,9955,2314,9963,2370,9983,2412,9988,2421,9987,2418,10763,2418,10763,2418,10763,2418,10766,2412,10778,2389,10583,2389,10553,2388,10169,2388,10134,2388,10104,2384,10079,2375,10060,2355,10059,1592,10060,1577,10062,1564,10066,1552,10072,1541,10079,1533,10090,1523,10103,1515,10115,1513,10500,1513,10473,1486,9985,1486,9985,1485xm10763,2418l10763,2418,10762,2420,10763,2418xm10795,1859l10690,1859,10691,1926,10691,1999,10691,2072,10690,2139,10690,2301,10688,2329,10681,2353,10665,2372,10641,2384,10614,2389,10583,2389,10778,2389,10784,2379,10792,2339,10795,2298,10795,1859xm10500,1513l10115,1513,10319,1514,10319,1618,10318,1639,10318,1663,10318,1686,10323,1705,10335,1755,10360,1798,10396,1830,10437,1852,10492,1862,10559,1863,10629,1860,10690,1859,10795,1859,10795,1843,10792,1814,10779,1792,10750,1763,10500,1513xm10383,1407l10110,1407,10098,1412,10085,1415,10072,1418,10060,1422,10049,1427,10038,1433,10028,1439,10020,1446,10020,1446,10019,1447,10019,1448,10018,1449,10017,1450,10016,1451,10016,1451,10003,1465,9993,1476,9987,1483,9985,1486,10473,1486,10434,1447,10413,1426,10405,1420,10399,1417,10383,1407xe" filled="true" fillcolor="#ffffff" stroked="false">
              <v:path arrowok="t"/>
              <v:fill type="solid"/>
            </v:shape>
            <v:shape style="position:absolute;left:10262;top:1925;width:375;height:94" coordorigin="10262,1925" coordsize="375,94" path="m10600,1925l10298,1925,10284,1928,10273,1936,10265,1948,10262,1962,10262,1982,10265,1997,10273,2008,10284,2016,10298,2019,10600,2019,10615,2016,10626,2008,10634,1997,10637,1982,10637,1962,10634,1948,10626,1936,10615,1928,10600,1925xe" filled="true" fillcolor="#ffffff" stroked="false">
              <v:path arrowok="t"/>
              <v:fill type="solid"/>
            </v:shape>
            <v:shape style="position:absolute;left:10119;top:1925;width:94;height:94" coordorigin="10119,1925" coordsize="94,94" path="m10166,1925l10148,1929,10133,1939,10123,1954,10119,1972,10123,1990,10133,2005,10148,2015,10166,2019,10184,2015,10199,2005,10209,1990,10213,1972,10209,1954,10199,1939,10184,1929,10166,1925xe" filled="true" fillcolor="#ffffff" stroked="false">
              <v:path arrowok="t"/>
              <v:fill type="solid"/>
            </v:shape>
            <v:shape style="position:absolute;left:10262;top:2071;width:375;height:94" coordorigin="10262,2071" coordsize="375,94" path="m10600,2071l10298,2071,10284,2074,10273,2081,10265,2093,10262,2107,10262,2128,10265,2142,10273,2153,10284,2161,10298,2164,10600,2164,10615,2161,10626,2153,10634,2142,10637,2128,10637,2107,10634,2093,10626,2081,10615,2074,10600,2071xe" filled="true" fillcolor="#ffffff" stroked="false">
              <v:path arrowok="t"/>
              <v:fill type="solid"/>
            </v:shape>
            <v:shape style="position:absolute;left:10119;top:2071;width:94;height:94" coordorigin="10119,2071" coordsize="94,94" path="m10166,2071l10148,2074,10133,2084,10123,2099,10119,2117,10123,2136,10133,2151,10148,2161,10166,2164,10184,2161,10199,2151,10209,2136,10213,2117,10209,2099,10199,2084,10184,2074,10166,2071xe" filled="true" fillcolor="#ffffff" stroked="false">
              <v:path arrowok="t"/>
              <v:fill type="solid"/>
            </v:shape>
            <v:shape style="position:absolute;left:10262;top:2216;width:375;height:94" coordorigin="10262,2216" coordsize="375,94" path="m10600,2216l10298,2216,10284,2219,10273,2227,10265,2238,10262,2252,10262,2273,10265,2287,10273,2299,10284,2307,10298,2309,10600,2309,10615,2307,10626,2299,10634,2287,10637,2273,10637,2252,10634,2238,10626,2227,10615,2219,10600,2216xe" filled="true" fillcolor="#ffffff" stroked="false">
              <v:path arrowok="t"/>
              <v:fill type="solid"/>
            </v:shape>
            <v:shape style="position:absolute;left:10119;top:2216;width:94;height:94" coordorigin="10119,2216" coordsize="94,94" path="m10166,2216l10148,2220,10133,2230,10123,2245,10119,2263,10123,2281,10133,2296,10148,2306,10166,2309,10184,2306,10199,2296,10209,2281,10213,2263,10209,2245,10199,2230,10184,2220,10166,2216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99D25" w:color="auto" w:val="clear"/>
                      </w:rPr>
                      <w:t> </w:t>
                    </w:r>
                    <w:r>
                      <w:rPr>
                        <w:rFonts w:ascii="Myriad Pro"/>
                        <w:color w:val="FFFFFF"/>
                        <w:sz w:val="26"/>
                        <w:shd w:fill="F99D25" w:color="auto" w:val="clear"/>
                      </w:rPr>
                      <w:t>3</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696;mso-wrap-distance-left:0;mso-wrap-distance-right:0" from="56.692902pt,29.548626pt" to="450.708902pt,29.548626pt" stroked="true" strokeweight="1.5pt" strokecolor="#f99d25">
            <w10:wrap type="topAndBottom"/>
          </v:line>
        </w:pict>
      </w:r>
      <w:bookmarkStart w:name="_TOC_250010" w:id="2"/>
      <w:r>
        <w:rPr>
          <w:b/>
          <w:color w:val="F99D25"/>
        </w:rPr>
        <w:t>CONTENU</w:t>
      </w:r>
      <w:r>
        <w:rPr>
          <w:b/>
          <w:color w:val="F99D25"/>
          <w:spacing w:val="-28"/>
        </w:rPr>
        <w:t> </w:t>
      </w:r>
      <w:bookmarkEnd w:id="2"/>
      <w:r>
        <w:rPr>
          <w:b/>
          <w:color w:val="F99D25"/>
        </w:rPr>
        <w:t>TECHNIQUE</w:t>
      </w:r>
    </w:p>
    <w:p>
      <w:pPr>
        <w:pStyle w:val="Heading2"/>
        <w:numPr>
          <w:ilvl w:val="1"/>
          <w:numId w:val="2"/>
        </w:numPr>
        <w:tabs>
          <w:tab w:pos="854" w:val="left" w:leader="none"/>
        </w:tabs>
        <w:spacing w:line="240" w:lineRule="auto" w:before="338" w:after="0"/>
        <w:ind w:left="3611" w:right="0" w:hanging="3478"/>
        <w:jc w:val="left"/>
        <w:rPr>
          <w:b/>
        </w:rPr>
      </w:pPr>
      <w:bookmarkStart w:name="_TOC_250009" w:id="3"/>
      <w:bookmarkEnd w:id="3"/>
      <w:r>
        <w:rPr>
          <w:b/>
          <w:color w:val="231F20"/>
        </w:rPr>
        <w:t>Contexte</w:t>
      </w:r>
    </w:p>
    <w:p>
      <w:pPr>
        <w:pStyle w:val="BodyText"/>
        <w:spacing w:line="266" w:lineRule="auto" w:before="117"/>
        <w:ind w:left="133" w:right="3682"/>
        <w:rPr>
          <w:b w:val="0"/>
        </w:rPr>
      </w:pPr>
      <w:r>
        <w:rPr>
          <w:b w:val="0"/>
          <w:color w:val="231F20"/>
        </w:rPr>
        <w:t>La participation à la vie politique et publique est un élément fondamental du développement socialement inclusif, au même titre que la réalisation des droits de l’homme. La participation à la vie politique et publique permet aux personnes</w:t>
      </w:r>
    </w:p>
    <w:p>
      <w:pPr>
        <w:pStyle w:val="BodyText"/>
        <w:spacing w:line="266" w:lineRule="auto"/>
        <w:ind w:left="133" w:right="2902"/>
        <w:rPr>
          <w:b w:val="0"/>
        </w:rPr>
      </w:pPr>
      <w:r>
        <w:rPr>
          <w:b w:val="0"/>
          <w:color w:val="231F20"/>
        </w:rPr>
        <w:t>handicapées de prendre part aux décisions qui les touchent elles-mêmes, ainsi que leur communauté et leur pays, et d’avoir voix au chapitre en la matière. Une telle participation est un important moyen permettant de surmonter l’exclusion et la discrimination, mais aussi de démanteler les autres barrières fréquemment rencontrées par les personnes handicapées.</w:t>
      </w:r>
    </w:p>
    <w:p>
      <w:pPr>
        <w:pStyle w:val="BodyText"/>
        <w:spacing w:line="266" w:lineRule="auto" w:before="114"/>
        <w:ind w:left="133" w:right="3278"/>
        <w:rPr>
          <w:b w:val="0"/>
        </w:rPr>
      </w:pPr>
      <w:r>
        <w:rPr>
          <w:b w:val="0"/>
          <w:color w:val="231F20"/>
        </w:rPr>
        <w:t>Tandis que le droit de participer à la vie politique et publique est bien établi dans le droit des droits de l’homme, on refuse souvent aux personnes handicapées leur droit à la participation politique, de multiples façons et pour de multiples raisons, souvent en résultat d’une discrimination directe ou indirecte. Par exemple, les stéréotypes</w:t>
      </w:r>
    </w:p>
    <w:p>
      <w:pPr>
        <w:pStyle w:val="BodyText"/>
        <w:spacing w:line="266" w:lineRule="auto"/>
        <w:ind w:left="133" w:right="2902"/>
        <w:rPr>
          <w:b w:val="0"/>
        </w:rPr>
      </w:pPr>
      <w:r>
        <w:rPr>
          <w:b w:val="0"/>
          <w:color w:val="231F20"/>
        </w:rPr>
        <w:t>concernant le handicap conduisent souvent à une discrimination envers les personnes handicapées au cours du processus de prise de décision en général, et au cours des processus spécifiques du vote, de la candidature aux élections ou de la participation à des initiatives d’information du public par les partis politiques. Les obstacles rencontrés par</w:t>
      </w:r>
    </w:p>
    <w:p>
      <w:pPr>
        <w:pStyle w:val="BodyText"/>
        <w:spacing w:line="266" w:lineRule="auto"/>
        <w:ind w:left="133" w:right="3127"/>
        <w:rPr>
          <w:b w:val="0"/>
        </w:rPr>
      </w:pPr>
      <w:r>
        <w:rPr>
          <w:b w:val="0"/>
          <w:color w:val="231F20"/>
        </w:rPr>
        <w:t>les personnes handicapées sont souvent constitués de différentes barrières combinées, qu’elles soient physiques, liées aux transports ou à l’information, entre autres.</w:t>
      </w:r>
    </w:p>
    <w:p>
      <w:pPr>
        <w:pStyle w:val="BodyText"/>
        <w:spacing w:line="266" w:lineRule="auto" w:before="114"/>
        <w:ind w:left="133" w:right="2931"/>
        <w:rPr>
          <w:b w:val="0"/>
        </w:rPr>
      </w:pPr>
      <w:r>
        <w:rPr>
          <w:b w:val="0"/>
          <w:color w:val="231F20"/>
        </w:rPr>
        <w:t>Les gouvernements ont un rôle important, qui consiste à garantir que les personnes handicapées peuvent participer aux processus de prise de décision de toutes sortes et qui </w:t>
      </w:r>
      <w:r>
        <w:rPr>
          <w:b w:val="0"/>
          <w:color w:val="231F20"/>
          <w:spacing w:val="-4"/>
        </w:rPr>
        <w:t>s’étend </w:t>
      </w:r>
      <w:r>
        <w:rPr>
          <w:b w:val="0"/>
          <w:color w:val="231F20"/>
        </w:rPr>
        <w:t>non seulement aux organismes de gestion des élections, mais aussi à toutes les entités décisionnaires au sein du gouvernement. Le présent module explorera les responsabilités des États parties énoncées dans la CDPH en matière de garantie des droits des personnes handicapées à participer à la vie politique et publique, et présentera aussi des approches pour réaliser ce</w:t>
      </w:r>
      <w:r>
        <w:rPr>
          <w:b w:val="0"/>
          <w:color w:val="231F20"/>
          <w:spacing w:val="-9"/>
        </w:rPr>
        <w:t> </w:t>
      </w:r>
      <w:r>
        <w:rPr>
          <w:b w:val="0"/>
          <w:color w:val="231F20"/>
        </w:rPr>
        <w:t>droit.</w:t>
      </w:r>
    </w:p>
    <w:p>
      <w:pPr>
        <w:pStyle w:val="BodyText"/>
        <w:spacing w:before="7"/>
        <w:rPr>
          <w:b w:val="0"/>
          <w:sz w:val="13"/>
        </w:rPr>
      </w:pPr>
      <w:r>
        <w:rPr/>
        <w:pict>
          <v:group style="position:absolute;margin-left:56.192902pt;margin-top:10.024038pt;width:395.05pt;height:233.9pt;mso-position-horizontal-relative:page;mso-position-vertical-relative:paragraph;z-index:1744;mso-wrap-distance-left:0;mso-wrap-distance-right:0" coordorigin="1124,200" coordsize="7901,4678">
            <v:rect style="position:absolute;left:1134;top:200;width:7880;height:363" filled="true" fillcolor="#f99d25" stroked="false">
              <v:fill type="solid"/>
            </v:rect>
            <v:rect style="position:absolute;left:1134;top:564;width:7880;height:4304" filled="true" fillcolor="#fff2e3" stroked="false">
              <v:fill type="solid"/>
            </v:rect>
            <v:line style="position:absolute" from="1134,4868" to="9014,4868" stroked="true" strokeweight="1pt" strokecolor="#f99d25"/>
            <v:shape style="position:absolute;left:1124;top:200;width:7901;height:4678" type="#_x0000_t202" filled="false" stroked="false">
              <v:textbox inset="0,0,0,0">
                <w:txbxContent>
                  <w:p>
                    <w:pPr>
                      <w:spacing w:before="32"/>
                      <w:ind w:left="195" w:right="-6" w:firstLine="0"/>
                      <w:jc w:val="left"/>
                      <w:rPr>
                        <w:rFonts w:ascii="Myriad Pro" w:hAnsi="Myriad Pro"/>
                        <w:b/>
                        <w:sz w:val="22"/>
                      </w:rPr>
                    </w:pPr>
                    <w:r>
                      <w:rPr>
                        <w:rFonts w:ascii="Myriad Pro" w:hAnsi="Myriad Pro"/>
                        <w:b/>
                        <w:color w:val="FFFFFF"/>
                        <w:sz w:val="22"/>
                      </w:rPr>
                      <w:t>Exemples : Barrières à la participation politique en matière de prise de décision</w:t>
                    </w:r>
                  </w:p>
                  <w:p>
                    <w:pPr>
                      <w:spacing w:before="188"/>
                      <w:ind w:left="803" w:right="295" w:hanging="284"/>
                      <w:jc w:val="left"/>
                      <w:rPr>
                        <w:rFonts w:ascii="Myriad Pro" w:hAnsi="Myriad Pro"/>
                        <w:sz w:val="20"/>
                      </w:rPr>
                    </w:pPr>
                    <w:r>
                      <w:rPr>
                        <w:rFonts w:ascii="Arial" w:hAnsi="Arial"/>
                        <w:color w:val="231F20"/>
                        <w:w w:val="120"/>
                        <w:sz w:val="20"/>
                      </w:rPr>
                      <w:t>z</w:t>
                    </w:r>
                    <w:r>
                      <w:rPr>
                        <w:rFonts w:ascii="Arial" w:hAnsi="Arial"/>
                        <w:color w:val="231F20"/>
                        <w:spacing w:val="-6"/>
                        <w:w w:val="120"/>
                        <w:sz w:val="20"/>
                      </w:rPr>
                      <w:t> </w:t>
                    </w:r>
                    <w:r>
                      <w:rPr>
                        <w:rFonts w:ascii="Myriad Pro" w:hAnsi="Myriad Pro"/>
                        <w:color w:val="231F20"/>
                        <w:w w:val="105"/>
                        <w:sz w:val="20"/>
                      </w:rPr>
                      <w:t>Attitudes</w:t>
                    </w:r>
                    <w:r>
                      <w:rPr>
                        <w:rFonts w:ascii="Myriad Pro" w:hAnsi="Myriad Pro"/>
                        <w:color w:val="231F20"/>
                        <w:spacing w:val="-25"/>
                        <w:w w:val="105"/>
                        <w:sz w:val="20"/>
                      </w:rPr>
                      <w:t> </w:t>
                    </w:r>
                    <w:r>
                      <w:rPr>
                        <w:rFonts w:ascii="Myriad Pro" w:hAnsi="Myriad Pro"/>
                        <w:color w:val="231F20"/>
                        <w:w w:val="105"/>
                        <w:sz w:val="20"/>
                      </w:rPr>
                      <w:t>vis-à-vis</w:t>
                    </w:r>
                    <w:r>
                      <w:rPr>
                        <w:rFonts w:ascii="Myriad Pro" w:hAnsi="Myriad Pro"/>
                        <w:color w:val="231F20"/>
                        <w:spacing w:val="-25"/>
                        <w:w w:val="105"/>
                        <w:sz w:val="20"/>
                      </w:rPr>
                      <w:t> </w:t>
                    </w:r>
                    <w:r>
                      <w:rPr>
                        <w:rFonts w:ascii="Myriad Pro" w:hAnsi="Myriad Pro"/>
                        <w:color w:val="231F20"/>
                        <w:w w:val="105"/>
                        <w:sz w:val="20"/>
                      </w:rPr>
                      <w:t>de</w:t>
                    </w:r>
                    <w:r>
                      <w:rPr>
                        <w:rFonts w:ascii="Myriad Pro" w:hAnsi="Myriad Pro"/>
                        <w:color w:val="231F20"/>
                        <w:spacing w:val="-25"/>
                        <w:w w:val="105"/>
                        <w:sz w:val="20"/>
                      </w:rPr>
                      <w:t> </w:t>
                    </w:r>
                    <w:r>
                      <w:rPr>
                        <w:rFonts w:ascii="Myriad Pro" w:hAnsi="Myriad Pro"/>
                        <w:color w:val="231F20"/>
                        <w:w w:val="105"/>
                        <w:sz w:val="20"/>
                      </w:rPr>
                      <w:t>l’inclusion</w:t>
                    </w:r>
                    <w:r>
                      <w:rPr>
                        <w:rFonts w:ascii="Myriad Pro" w:hAnsi="Myriad Pro"/>
                        <w:color w:val="231F20"/>
                        <w:spacing w:val="-25"/>
                        <w:w w:val="105"/>
                        <w:sz w:val="20"/>
                      </w:rPr>
                      <w:t> </w:t>
                    </w:r>
                    <w:r>
                      <w:rPr>
                        <w:rFonts w:ascii="Myriad Pro" w:hAnsi="Myriad Pro"/>
                        <w:color w:val="231F20"/>
                        <w:w w:val="105"/>
                        <w:sz w:val="20"/>
                      </w:rPr>
                      <w:t>des</w:t>
                    </w:r>
                    <w:r>
                      <w:rPr>
                        <w:rFonts w:ascii="Myriad Pro" w:hAnsi="Myriad Pro"/>
                        <w:color w:val="231F20"/>
                        <w:spacing w:val="-25"/>
                        <w:w w:val="105"/>
                        <w:sz w:val="20"/>
                      </w:rPr>
                      <w:t> </w:t>
                    </w:r>
                    <w:r>
                      <w:rPr>
                        <w:rFonts w:ascii="Myriad Pro" w:hAnsi="Myriad Pro"/>
                        <w:color w:val="231F20"/>
                        <w:w w:val="105"/>
                        <w:sz w:val="20"/>
                      </w:rPr>
                      <w:t>personnes</w:t>
                    </w:r>
                    <w:r>
                      <w:rPr>
                        <w:rFonts w:ascii="Myriad Pro" w:hAnsi="Myriad Pro"/>
                        <w:color w:val="231F20"/>
                        <w:spacing w:val="-25"/>
                        <w:w w:val="105"/>
                        <w:sz w:val="20"/>
                      </w:rPr>
                      <w:t> </w:t>
                    </w:r>
                    <w:r>
                      <w:rPr>
                        <w:rFonts w:ascii="Myriad Pro" w:hAnsi="Myriad Pro"/>
                        <w:color w:val="231F20"/>
                        <w:w w:val="105"/>
                        <w:sz w:val="20"/>
                      </w:rPr>
                      <w:t>handicapées</w:t>
                    </w:r>
                    <w:r>
                      <w:rPr>
                        <w:rFonts w:ascii="Myriad Pro" w:hAnsi="Myriad Pro"/>
                        <w:color w:val="231F20"/>
                        <w:spacing w:val="-25"/>
                        <w:w w:val="105"/>
                        <w:sz w:val="20"/>
                      </w:rPr>
                      <w:t> </w:t>
                    </w:r>
                    <w:r>
                      <w:rPr>
                        <w:rFonts w:ascii="Myriad Pro" w:hAnsi="Myriad Pro"/>
                        <w:color w:val="231F20"/>
                        <w:w w:val="105"/>
                        <w:sz w:val="20"/>
                      </w:rPr>
                      <w:t>dans</w:t>
                    </w:r>
                    <w:r>
                      <w:rPr>
                        <w:rFonts w:ascii="Myriad Pro" w:hAnsi="Myriad Pro"/>
                        <w:color w:val="231F20"/>
                        <w:spacing w:val="-25"/>
                        <w:w w:val="105"/>
                        <w:sz w:val="20"/>
                      </w:rPr>
                      <w:t> </w:t>
                    </w:r>
                    <w:r>
                      <w:rPr>
                        <w:rFonts w:ascii="Myriad Pro" w:hAnsi="Myriad Pro"/>
                        <w:color w:val="231F20"/>
                        <w:w w:val="105"/>
                        <w:sz w:val="20"/>
                      </w:rPr>
                      <w:t>les</w:t>
                    </w:r>
                    <w:r>
                      <w:rPr>
                        <w:rFonts w:ascii="Myriad Pro" w:hAnsi="Myriad Pro"/>
                        <w:color w:val="231F20"/>
                        <w:spacing w:val="-25"/>
                        <w:w w:val="105"/>
                        <w:sz w:val="20"/>
                      </w:rPr>
                      <w:t> </w:t>
                    </w:r>
                    <w:r>
                      <w:rPr>
                        <w:rFonts w:ascii="Myriad Pro" w:hAnsi="Myriad Pro"/>
                        <w:color w:val="231F20"/>
                        <w:w w:val="105"/>
                        <w:sz w:val="20"/>
                      </w:rPr>
                      <w:t>processus</w:t>
                    </w:r>
                    <w:r>
                      <w:rPr>
                        <w:rFonts w:ascii="Myriad Pro" w:hAnsi="Myriad Pro"/>
                        <w:color w:val="231F20"/>
                        <w:spacing w:val="-25"/>
                        <w:w w:val="105"/>
                        <w:sz w:val="20"/>
                      </w:rPr>
                      <w:t> </w:t>
                    </w:r>
                    <w:r>
                      <w:rPr>
                        <w:rFonts w:ascii="Myriad Pro" w:hAnsi="Myriad Pro"/>
                        <w:color w:val="231F20"/>
                        <w:w w:val="105"/>
                        <w:sz w:val="20"/>
                      </w:rPr>
                      <w:t>de </w:t>
                    </w:r>
                    <w:r>
                      <w:rPr>
                        <w:rFonts w:ascii="Myriad Pro" w:hAnsi="Myriad Pro"/>
                        <w:color w:val="231F20"/>
                        <w:sz w:val="20"/>
                      </w:rPr>
                      <w:t>prise de décision</w:t>
                    </w:r>
                  </w:p>
                  <w:p>
                    <w:pPr>
                      <w:spacing w:before="56"/>
                      <w:ind w:left="803" w:right="-6"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d’informations accessibles sur les réunions et consultations publiques, les partis politiques, le vote et l’inscription sur les listes électorales</w:t>
                    </w:r>
                  </w:p>
                  <w:p>
                    <w:pPr>
                      <w:spacing w:before="56"/>
                      <w:ind w:left="803" w:right="295"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de transports vers les réunions publiques, l’inscription sur les listes électorales et les bureaux de vote</w:t>
                    </w:r>
                  </w:p>
                  <w:p>
                    <w:pPr>
                      <w:spacing w:before="56"/>
                      <w:ind w:left="802" w:right="295" w:hanging="284"/>
                      <w:jc w:val="left"/>
                      <w:rPr>
                        <w:rFonts w:ascii="Myriad Pro" w:hAnsi="Myriad Pro"/>
                        <w:sz w:val="20"/>
                      </w:rPr>
                    </w:pPr>
                    <w:r>
                      <w:rPr>
                        <w:rFonts w:ascii="Arial" w:hAnsi="Arial"/>
                        <w:color w:val="231F20"/>
                        <w:w w:val="120"/>
                        <w:sz w:val="20"/>
                      </w:rPr>
                      <w:t>z </w:t>
                    </w:r>
                    <w:r>
                      <w:rPr>
                        <w:rFonts w:ascii="Myriad Pro" w:hAnsi="Myriad Pro"/>
                        <w:color w:val="231F20"/>
                        <w:sz w:val="20"/>
                      </w:rPr>
                      <w:t>Barrières physiques pour accéder aux bâtiments publics, y compris aux tribunaux, aux centres d’inscription sur les listes électorales et aux bureaux de vote</w:t>
                    </w:r>
                  </w:p>
                  <w:p>
                    <w:pPr>
                      <w:spacing w:before="56"/>
                      <w:ind w:left="802" w:right="295" w:hanging="284"/>
                      <w:jc w:val="left"/>
                      <w:rPr>
                        <w:rFonts w:ascii="Myriad Pro" w:hAnsi="Myriad Pro"/>
                        <w:sz w:val="20"/>
                      </w:rPr>
                    </w:pPr>
                    <w:r>
                      <w:rPr>
                        <w:rFonts w:ascii="Arial" w:hAnsi="Arial"/>
                        <w:color w:val="231F20"/>
                        <w:w w:val="120"/>
                        <w:sz w:val="20"/>
                      </w:rPr>
                      <w:t>z </w:t>
                    </w:r>
                    <w:r>
                      <w:rPr>
                        <w:rFonts w:ascii="Myriad Pro" w:hAnsi="Myriad Pro"/>
                        <w:color w:val="231F20"/>
                        <w:sz w:val="20"/>
                      </w:rPr>
                      <w:t>Des bureaux de vote situés dans des salles trop petites pour accueillir des personnes en fauteuil roulant et des urnes placées sur des tables hautes</w:t>
                    </w:r>
                  </w:p>
                  <w:p>
                    <w:pPr>
                      <w:spacing w:before="56"/>
                      <w:ind w:left="802" w:right="427" w:hanging="284"/>
                      <w:jc w:val="left"/>
                      <w:rPr>
                        <w:rFonts w:ascii="Myriad Pro" w:hAnsi="Myriad Pro"/>
                        <w:sz w:val="20"/>
                      </w:rPr>
                    </w:pPr>
                    <w:r>
                      <w:rPr>
                        <w:rFonts w:ascii="Arial" w:hAnsi="Arial"/>
                        <w:color w:val="231F20"/>
                        <w:w w:val="120"/>
                        <w:sz w:val="20"/>
                      </w:rPr>
                      <w:t>z</w:t>
                    </w:r>
                    <w:r>
                      <w:rPr>
                        <w:rFonts w:ascii="Arial" w:hAnsi="Arial"/>
                        <w:color w:val="231F20"/>
                        <w:spacing w:val="-7"/>
                        <w:w w:val="120"/>
                        <w:sz w:val="20"/>
                      </w:rPr>
                      <w:t> </w:t>
                    </w:r>
                    <w:r>
                      <w:rPr>
                        <w:rFonts w:ascii="Myriad Pro" w:hAnsi="Myriad Pro"/>
                        <w:color w:val="231F20"/>
                        <w:w w:val="105"/>
                        <w:sz w:val="20"/>
                      </w:rPr>
                      <w:t>Absence</w:t>
                    </w:r>
                    <w:r>
                      <w:rPr>
                        <w:rFonts w:ascii="Myriad Pro" w:hAnsi="Myriad Pro"/>
                        <w:color w:val="231F20"/>
                        <w:spacing w:val="-26"/>
                        <w:w w:val="105"/>
                        <w:sz w:val="20"/>
                      </w:rPr>
                      <w:t> </w:t>
                    </w:r>
                    <w:r>
                      <w:rPr>
                        <w:rFonts w:ascii="Myriad Pro" w:hAnsi="Myriad Pro"/>
                        <w:color w:val="231F20"/>
                        <w:w w:val="105"/>
                        <w:sz w:val="20"/>
                      </w:rPr>
                      <w:t>d’informations</w:t>
                    </w:r>
                    <w:r>
                      <w:rPr>
                        <w:rFonts w:ascii="Myriad Pro" w:hAnsi="Myriad Pro"/>
                        <w:color w:val="231F20"/>
                        <w:spacing w:val="-26"/>
                        <w:w w:val="105"/>
                        <w:sz w:val="20"/>
                      </w:rPr>
                      <w:t> </w:t>
                    </w:r>
                    <w:r>
                      <w:rPr>
                        <w:rFonts w:ascii="Myriad Pro" w:hAnsi="Myriad Pro"/>
                        <w:color w:val="231F20"/>
                        <w:w w:val="105"/>
                        <w:sz w:val="20"/>
                      </w:rPr>
                      <w:t>accessibles</w:t>
                    </w:r>
                    <w:r>
                      <w:rPr>
                        <w:rFonts w:ascii="Myriad Pro" w:hAnsi="Myriad Pro"/>
                        <w:color w:val="231F20"/>
                        <w:spacing w:val="-26"/>
                        <w:w w:val="105"/>
                        <w:sz w:val="20"/>
                      </w:rPr>
                      <w:t> </w:t>
                    </w:r>
                    <w:r>
                      <w:rPr>
                        <w:rFonts w:ascii="Myriad Pro" w:hAnsi="Myriad Pro"/>
                        <w:color w:val="231F20"/>
                        <w:w w:val="105"/>
                        <w:sz w:val="20"/>
                      </w:rPr>
                      <w:t>sur</w:t>
                    </w:r>
                    <w:r>
                      <w:rPr>
                        <w:rFonts w:ascii="Myriad Pro" w:hAnsi="Myriad Pro"/>
                        <w:color w:val="231F20"/>
                        <w:spacing w:val="-26"/>
                        <w:w w:val="105"/>
                        <w:sz w:val="20"/>
                      </w:rPr>
                      <w:t> </w:t>
                    </w:r>
                    <w:r>
                      <w:rPr>
                        <w:rFonts w:ascii="Myriad Pro" w:hAnsi="Myriad Pro"/>
                        <w:color w:val="231F20"/>
                        <w:w w:val="105"/>
                        <w:sz w:val="20"/>
                      </w:rPr>
                      <w:t>les</w:t>
                    </w:r>
                    <w:r>
                      <w:rPr>
                        <w:rFonts w:ascii="Myriad Pro" w:hAnsi="Myriad Pro"/>
                        <w:color w:val="231F20"/>
                        <w:spacing w:val="-26"/>
                        <w:w w:val="105"/>
                        <w:sz w:val="20"/>
                      </w:rPr>
                      <w:t> </w:t>
                    </w:r>
                    <w:r>
                      <w:rPr>
                        <w:rFonts w:ascii="Myriad Pro" w:hAnsi="Myriad Pro"/>
                        <w:color w:val="231F20"/>
                        <w:w w:val="105"/>
                        <w:sz w:val="20"/>
                      </w:rPr>
                      <w:t>procédures</w:t>
                    </w:r>
                    <w:r>
                      <w:rPr>
                        <w:rFonts w:ascii="Myriad Pro" w:hAnsi="Myriad Pro"/>
                        <w:color w:val="231F20"/>
                        <w:spacing w:val="-26"/>
                        <w:w w:val="105"/>
                        <w:sz w:val="20"/>
                      </w:rPr>
                      <w:t> </w:t>
                    </w:r>
                    <w:r>
                      <w:rPr>
                        <w:rFonts w:ascii="Myriad Pro" w:hAnsi="Myriad Pro"/>
                        <w:color w:val="231F20"/>
                        <w:w w:val="105"/>
                        <w:sz w:val="20"/>
                      </w:rPr>
                      <w:t>de</w:t>
                    </w:r>
                    <w:r>
                      <w:rPr>
                        <w:rFonts w:ascii="Myriad Pro" w:hAnsi="Myriad Pro"/>
                        <w:color w:val="231F20"/>
                        <w:spacing w:val="-26"/>
                        <w:w w:val="105"/>
                        <w:sz w:val="20"/>
                      </w:rPr>
                      <w:t> </w:t>
                    </w:r>
                    <w:r>
                      <w:rPr>
                        <w:rFonts w:ascii="Myriad Pro" w:hAnsi="Myriad Pro"/>
                        <w:color w:val="231F20"/>
                        <w:w w:val="105"/>
                        <w:sz w:val="20"/>
                      </w:rPr>
                      <w:t>vote</w:t>
                    </w:r>
                    <w:r>
                      <w:rPr>
                        <w:rFonts w:ascii="Myriad Pro" w:hAnsi="Myriad Pro"/>
                        <w:color w:val="231F20"/>
                        <w:spacing w:val="-26"/>
                        <w:w w:val="105"/>
                        <w:sz w:val="20"/>
                      </w:rPr>
                      <w:t> </w:t>
                    </w:r>
                    <w:r>
                      <w:rPr>
                        <w:rFonts w:ascii="Myriad Pro" w:hAnsi="Myriad Pro"/>
                        <w:color w:val="231F20"/>
                        <w:w w:val="105"/>
                        <w:sz w:val="20"/>
                      </w:rPr>
                      <w:t>pour</w:t>
                    </w:r>
                    <w:r>
                      <w:rPr>
                        <w:rFonts w:ascii="Myriad Pro" w:hAnsi="Myriad Pro"/>
                        <w:color w:val="231F20"/>
                        <w:spacing w:val="-26"/>
                        <w:w w:val="105"/>
                        <w:sz w:val="20"/>
                      </w:rPr>
                      <w:t> </w:t>
                    </w:r>
                    <w:r>
                      <w:rPr>
                        <w:rFonts w:ascii="Myriad Pro" w:hAnsi="Myriad Pro"/>
                        <w:color w:val="231F20"/>
                        <w:w w:val="105"/>
                        <w:sz w:val="20"/>
                      </w:rPr>
                      <w:t>les</w:t>
                    </w:r>
                    <w:r>
                      <w:rPr>
                        <w:rFonts w:ascii="Myriad Pro" w:hAnsi="Myriad Pro"/>
                        <w:color w:val="231F20"/>
                        <w:spacing w:val="-26"/>
                        <w:w w:val="105"/>
                        <w:sz w:val="20"/>
                      </w:rPr>
                      <w:t> </w:t>
                    </w:r>
                    <w:r>
                      <w:rPr>
                        <w:rFonts w:ascii="Myriad Pro" w:hAnsi="Myriad Pro"/>
                        <w:color w:val="231F20"/>
                        <w:w w:val="105"/>
                        <w:sz w:val="20"/>
                      </w:rPr>
                      <w:t>électeurs </w:t>
                    </w:r>
                    <w:r>
                      <w:rPr>
                        <w:rFonts w:ascii="Myriad Pro" w:hAnsi="Myriad Pro"/>
                        <w:color w:val="231F20"/>
                        <w:sz w:val="20"/>
                      </w:rPr>
                      <w:t>présentant des handicaps</w:t>
                    </w:r>
                    <w:r>
                      <w:rPr>
                        <w:rFonts w:ascii="Myriad Pro" w:hAnsi="Myriad Pro"/>
                        <w:color w:val="231F20"/>
                        <w:spacing w:val="-4"/>
                        <w:sz w:val="20"/>
                      </w:rPr>
                      <w:t> </w:t>
                    </w:r>
                    <w:r>
                      <w:rPr>
                        <w:rFonts w:ascii="Myriad Pro" w:hAnsi="Myriad Pro"/>
                        <w:color w:val="231F20"/>
                        <w:sz w:val="20"/>
                      </w:rPr>
                      <w:t>sensoriels</w:t>
                    </w:r>
                  </w:p>
                  <w:p>
                    <w:pPr>
                      <w:spacing w:before="56"/>
                      <w:ind w:left="518" w:right="-6" w:firstLine="0"/>
                      <w:jc w:val="left"/>
                      <w:rPr>
                        <w:rFonts w:ascii="Myriad Pro" w:hAnsi="Myriad Pro"/>
                        <w:sz w:val="20"/>
                      </w:rPr>
                    </w:pPr>
                    <w:r>
                      <w:rPr>
                        <w:rFonts w:ascii="Arial" w:hAnsi="Arial"/>
                        <w:color w:val="231F20"/>
                        <w:w w:val="105"/>
                        <w:sz w:val="20"/>
                      </w:rPr>
                      <w:t>z </w:t>
                    </w:r>
                    <w:r>
                      <w:rPr>
                        <w:rFonts w:ascii="Myriad Pro" w:hAnsi="Myriad Pro"/>
                        <w:color w:val="231F20"/>
                        <w:w w:val="105"/>
                        <w:sz w:val="20"/>
                      </w:rPr>
                      <w:t>Personnel électoral peu formé</w:t>
                    </w:r>
                  </w:p>
                  <w:p>
                    <w:pPr>
                      <w:spacing w:before="56"/>
                      <w:ind w:left="802" w:right="295" w:hanging="284"/>
                      <w:jc w:val="left"/>
                      <w:rPr>
                        <w:rFonts w:ascii="Myriad Pro" w:hAnsi="Myriad Pro"/>
                        <w:sz w:val="20"/>
                      </w:rPr>
                    </w:pPr>
                    <w:r>
                      <w:rPr>
                        <w:rFonts w:ascii="Arial" w:hAnsi="Arial"/>
                        <w:color w:val="231F20"/>
                        <w:w w:val="120"/>
                        <w:sz w:val="20"/>
                      </w:rPr>
                      <w:t>z </w:t>
                    </w:r>
                    <w:r>
                      <w:rPr>
                        <w:rFonts w:ascii="Myriad Pro" w:hAnsi="Myriad Pro"/>
                        <w:color w:val="231F20"/>
                        <w:sz w:val="20"/>
                      </w:rPr>
                      <w:t>Hostilité envers les personnes présentant un handicap psychosocial ou intellectuel au cours des processus de prise de décision et/ou leur exclusion de ces processus</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spacing w:before="5"/>
        <w:rPr>
          <w:b w:val="0"/>
        </w:rPr>
      </w:pPr>
    </w:p>
    <w:p>
      <w:pPr>
        <w:spacing w:before="0"/>
        <w:ind w:left="3937" w:right="374"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46744"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1000;top:3916;width:1107;height:1310" coordorigin="1000,3916" coordsize="1107,1310" path="m1382,5226l1382,5034,1328,5034,1280,5031,1188,4993,1134,4934,1110,4873,1107,4842,1107,4724,1044,4724,1030,4724,1021,4720,1013,4713,1000,4701,1000,4693,1000,4677,1014,4635,1047,4553,1080,4471,1096,4430,1103,4410,1107,4395,1110,4380,1112,4358,1117,4317,1136,4241,1166,4176,1200,4124,1240,4077,1300,4024,1366,3981,1435,3948,1509,3926,1585,3916,1630,3916,1703,3925,1771,3944,1857,3982,1918,4025,1975,4077,1979,4082,1982,4086,1985,4089,1987,4090,1989,4093,2028,4146,2060,4204,2086,4270,2101,4331,2106,4399,2107,4439,2104,4474,2089,4554,2052,4644,1993,4735,1951,4779,1942,4789,1930,4800,1920,4811,1916,4818,1916,5216e" filled="false" stroked="true" strokeweight="3.457pt" strokecolor="#f99d25">
              <v:path arrowok="t"/>
            </v:shape>
            <v:shape style="position:absolute;left:1220;top:4018;width:722;height:526" coordorigin="1220,4018" coordsize="722,526" path="m1380,4502l1320,4502,1323,4506,1325,4512,1327,4524,1329,4536,1332,4544,1369,4544,1371,4534,1372,4524,1373,4514,1376,4506,1380,4502xm1271,4310l1253,4328,1246,4338,1247,4342,1255,4352,1259,4358,1263,4364,1268,4370,1264,4376,1264,4380,1259,4390,1254,4390,1251,4392,1239,4394,1220,4398,1221,4436,1231,4436,1241,4438,1254,4440,1255,4440,1261,4442,1261,4446,1266,4458,1266,4464,1261,4472,1246,4492,1247,4498,1256,4506,1272,4520,1279,4514,1290,4506,1305,4496,1304,4496,1450,4496,1454,4492,1448,4486,1442,4476,1431,4462,1431,4460,1433,4456,1340,4456,1315,4444,1303,4418,1310,4392,1331,4374,1433,4374,1431,4370,1435,4364,1444,4350,1448,4344,1666,4344,1671,4342,1755,4342,1757,4340,1917,4340,1918,4338,1917,4336,1306,4336,1297,4328,1288,4322,1279,4318,1271,4310xm1450,4496l1394,4496,1402,4502,1411,4508,1420,4514,1428,4520,1450,4496xm1857,4472l1819,4472,1821,4478,1826,4504,1852,4502,1854,4494,1853,4486,1857,4472xm1394,4496l1305,4496,1305,4496,1316,4502,1385,4502,1394,4496xm1917,4340l1757,4340,1770,4356,1771,4364,1768,4370,1765,4382,1755,4384,1744,4384,1735,4388,1736,4414,1763,4418,1768,4424,1766,4432,1774,4438,1770,4442,1766,4448,1764,4452,1758,4462,1759,4466,1764,4472,1776,4482,1783,4474,1791,4472,1799,4464,1919,4464,1920,4462,1918,4460,1905,4442,1832,4442,1809,4430,1800,4418,1797,4402,1800,4386,1808,4372,1833,4358,1905,4358,1914,4344,1917,4340xm1919,4464l1877,4464,1881,4468,1887,4472,1891,4474,1899,4480,1904,4480,1910,4474,1919,4464xm1877,4464l1799,4464,1803,4468,1807,4470,1812,4472,1817,4474,1819,4472,1857,4472,1857,4470,1870,4470,1877,4464xm1870,4470l1857,4470,1868,4472,1870,4470xm1433,4374l1361,4374,1372,4380,1381,4390,1386,4402,1388,4412,1381,4436,1364,4452,1340,4456,1433,4456,1437,4446,1437,4442,1456,4438,1478,4434,1477,4396,1473,4394,1474,4394,1447,4392,1439,4388,1437,4382,1433,4374xm1905,4358l1833,4358,1858,4364,1876,4380,1882,4402,1873,4428,1855,4442,1905,4442,1904,4440,1903,4438,1911,4422,1912,4418,1916,4418,1922,4416,1924,4416,1932,4414,1936,4414,1941,4412,1940,4386,1931,4384,1921,4384,1912,4382,1910,4378,1910,4374,1905,4364,1902,4364,1905,4358xm1666,4344l1533,4344,1547,4350,1553,4354,1560,4354,1571,4400,1571,4406,1571,4412,1574,4416,1631,4416,1633,4406,1637,4376,1639,4366,1641,4356,1655,4350,1662,4346,1666,4344xm1528,4344l1448,4344,1483,4378,1497,4368,1503,4362,1528,4344xm1755,4342l1671,4342,1697,4360,1711,4368,1722,4376,1755,4342xm1904,4362l1902,4364,1905,4364,1904,4362xm1324,4324l1307,4332,1306,4336,1398,4336,1389,4330,1379,4326,1324,4326,1324,4324xm1425,4310l1422,4314,1417,4318,1402,4328,1398,4336,1802,4336,1795,4332,1761,4332,1759,4330,1445,4330,1425,4310xm1865,4328l1813,4328,1802,4332,1802,4336,1917,4336,1916,4334,1874,4334,1870,4332,1865,4328xm1900,4318l1880,4334,1916,4334,1914,4330,1900,4318xm1774,4318l1761,4332,1795,4332,1777,4320,1774,4318xm1481,4056l1440,4100,1447,4108,1453,4116,1460,4126,1466,4134,1471,4140,1477,4144,1473,4152,1468,4164,1465,4172,1461,4176,1453,4180,1414,4186,1402,4190,1402,4246,1413,4248,1422,4250,1432,4252,1458,4254,1462,4258,1466,4266,1472,4282,1474,4288,1470,4296,1458,4312,1454,4318,1451,4324,1445,4330,1759,4330,1755,4326,1749,4316,1738,4302,1732,4294,1727,4288,1740,4258,1598,4258,1583,4256,1569,4248,1566,4244,1560,4236,1559,4232,1555,4220,1556,4208,1561,4196,1569,4184,1599,4172,1738,4172,1738,4170,1732,4152,1727,4146,1735,4136,1745,4122,1755,4106,1762,4094,1759,4092,1531,4092,1523,4084,1514,4080,1498,4068,1488,4062,1485,4060,1481,4056xm1850,4296l1824,4298,1823,4308,1822,4316,1819,4326,1815,4328,1861,4328,1857,4326,1854,4316,1852,4308,1850,4296xm1375,4324l1325,4324,1324,4326,1379,4326,1375,4324xm1367,4286l1330,4286,1328,4290,1328,4294,1324,4324,1325,4324,1375,4324,1373,4318,1371,4306,1369,4292,1367,4286xm1738,4172l1599,4172,1627,4186,1640,4212,1627,4246,1613,4254,1598,4258,1740,4258,1740,4256,1779,4248,1792,4248,1800,4244,1798,4186,1739,4178,1738,4172xm1628,4018l1571,4018,1564,4064,1563,4068,1562,4078,1559,4080,1557,4080,1550,4082,1550,4082,1540,4086,1536,4088,1531,4092,1674,4092,1667,4088,1653,4082,1645,4080,1641,4076,1639,4070,1628,4018xm1720,4054l1711,4062,1702,4068,1685,4082,1678,4086,1674,4092,1759,4092,1720,4054xe" filled="true" fillcolor="#f99d25" stroked="false">
              <v:path arrowok="t"/>
              <v:fill type="solid"/>
            </v:shape>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4</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111.85pt;mso-position-horizontal-relative:page;mso-position-vertical-relative:paragraph;z-index:1840;mso-wrap-distance-left:0;mso-wrap-distance-right:0" coordorigin="2881,365" coordsize="7901,2237">
            <v:rect style="position:absolute;left:2891;top:375;width:7880;height:2217" filled="true" fillcolor="#fff2e3" stroked="false">
              <v:fill type="solid"/>
            </v:rect>
            <v:rect style="position:absolute;left:2891;top:365;width:7880;height:20" filled="true" fillcolor="#f99d25" stroked="false">
              <v:fill type="solid"/>
            </v:rect>
            <v:line style="position:absolute" from="2891,2592" to="10772,2592" stroked="true" strokeweight="1pt" strokecolor="#f99d25"/>
            <v:shape style="position:absolute;left:2891;top:375;width:7881;height:2217" type="#_x0000_t202" filled="false" stroked="false">
              <v:textbox inset="0,0,0,0">
                <w:txbxContent>
                  <w:p>
                    <w:pPr>
                      <w:spacing w:before="129"/>
                      <w:ind w:left="793" w:right="227" w:hanging="284"/>
                      <w:jc w:val="left"/>
                      <w:rPr>
                        <w:rFonts w:ascii="Myriad Pro" w:hAnsi="Myriad Pro"/>
                        <w:sz w:val="20"/>
                      </w:rPr>
                    </w:pPr>
                    <w:r>
                      <w:rPr>
                        <w:rFonts w:ascii="Arial" w:hAnsi="Arial"/>
                        <w:color w:val="231F20"/>
                        <w:w w:val="120"/>
                        <w:sz w:val="20"/>
                      </w:rPr>
                      <w:t>z </w:t>
                    </w:r>
                    <w:r>
                      <w:rPr>
                        <w:rFonts w:ascii="Myriad Pro" w:hAnsi="Myriad Pro"/>
                        <w:color w:val="231F20"/>
                        <w:sz w:val="20"/>
                      </w:rPr>
                      <w:t>Absence de dispositifs ou de méthodes de vote alternatifs pour les personnes présentant des handicaps sensoriels</w:t>
                    </w:r>
                  </w:p>
                  <w:p>
                    <w:pPr>
                      <w:spacing w:before="56"/>
                      <w:ind w:left="793" w:right="227" w:hanging="284"/>
                      <w:jc w:val="left"/>
                      <w:rPr>
                        <w:rFonts w:ascii="Myriad Pro" w:hAnsi="Myriad Pro"/>
                        <w:sz w:val="20"/>
                      </w:rPr>
                    </w:pPr>
                    <w:r>
                      <w:rPr>
                        <w:rFonts w:ascii="Arial" w:hAnsi="Arial"/>
                        <w:color w:val="231F20"/>
                        <w:w w:val="120"/>
                        <w:sz w:val="20"/>
                      </w:rPr>
                      <w:t>z </w:t>
                    </w:r>
                    <w:r>
                      <w:rPr>
                        <w:rFonts w:ascii="Myriad Pro" w:hAnsi="Myriad Pro"/>
                        <w:color w:val="231F20"/>
                        <w:sz w:val="20"/>
                      </w:rPr>
                      <w:t>Absence de mécanismes de vote mobiles pour les personnes qui ne peuvent pas sortir de chez elles ou qui résident actuellement dans des hôpitaux/institutions.</w:t>
                    </w:r>
                  </w:p>
                  <w:p>
                    <w:pPr>
                      <w:spacing w:before="136"/>
                      <w:ind w:left="169" w:right="227" w:firstLine="0"/>
                      <w:jc w:val="left"/>
                      <w:rPr>
                        <w:b w:val="0"/>
                        <w:i/>
                        <w:sz w:val="20"/>
                      </w:rPr>
                    </w:pPr>
                    <w:r>
                      <w:rPr>
                        <w:b w:val="0"/>
                        <w:i/>
                        <w:color w:val="231F20"/>
                        <w:sz w:val="20"/>
                      </w:rPr>
                      <w:t>D’après Janet Lord, Katherine Guernsey, Joelle Balfe et Valerie Karr, Human Rights. Yes! Part2.</w:t>
                    </w:r>
                  </w:p>
                  <w:p>
                    <w:pPr>
                      <w:spacing w:line="264" w:lineRule="auto" w:before="23"/>
                      <w:ind w:left="169" w:right="664" w:firstLine="0"/>
                      <w:jc w:val="left"/>
                      <w:rPr>
                        <w:b w:val="0"/>
                        <w:i/>
                        <w:sz w:val="20"/>
                      </w:rPr>
                    </w:pPr>
                    <w:r>
                      <w:rPr>
                        <w:b w:val="0"/>
                        <w:i/>
                        <w:color w:val="231F20"/>
                        <w:sz w:val="20"/>
                      </w:rPr>
                      <w:t>The</w:t>
                    </w:r>
                    <w:r>
                      <w:rPr>
                        <w:b w:val="0"/>
                        <w:i/>
                        <w:color w:val="231F20"/>
                        <w:spacing w:val="-11"/>
                        <w:sz w:val="20"/>
                      </w:rPr>
                      <w:t> </w:t>
                    </w:r>
                    <w:r>
                      <w:rPr>
                        <w:b w:val="0"/>
                        <w:i/>
                        <w:color w:val="231F20"/>
                        <w:spacing w:val="-3"/>
                        <w:sz w:val="20"/>
                      </w:rPr>
                      <w:t>Convention</w:t>
                    </w:r>
                    <w:r>
                      <w:rPr>
                        <w:b w:val="0"/>
                        <w:i/>
                        <w:color w:val="231F20"/>
                        <w:spacing w:val="-11"/>
                        <w:sz w:val="20"/>
                      </w:rPr>
                      <w:t> </w:t>
                    </w:r>
                    <w:r>
                      <w:rPr>
                        <w:b w:val="0"/>
                        <w:i/>
                        <w:color w:val="231F20"/>
                        <w:sz w:val="20"/>
                      </w:rPr>
                      <w:t>on</w:t>
                    </w:r>
                    <w:r>
                      <w:rPr>
                        <w:b w:val="0"/>
                        <w:i/>
                        <w:color w:val="231F20"/>
                        <w:spacing w:val="-11"/>
                        <w:sz w:val="20"/>
                      </w:rPr>
                      <w:t> </w:t>
                    </w:r>
                    <w:r>
                      <w:rPr>
                        <w:b w:val="0"/>
                        <w:i/>
                        <w:color w:val="231F20"/>
                        <w:sz w:val="20"/>
                      </w:rPr>
                      <w:t>the</w:t>
                    </w:r>
                    <w:r>
                      <w:rPr>
                        <w:b w:val="0"/>
                        <w:i/>
                        <w:color w:val="231F20"/>
                        <w:spacing w:val="-11"/>
                        <w:sz w:val="20"/>
                      </w:rPr>
                      <w:t> </w:t>
                    </w:r>
                    <w:r>
                      <w:rPr>
                        <w:b w:val="0"/>
                        <w:i/>
                        <w:color w:val="231F20"/>
                        <w:sz w:val="20"/>
                      </w:rPr>
                      <w:t>Rights</w:t>
                    </w:r>
                    <w:r>
                      <w:rPr>
                        <w:b w:val="0"/>
                        <w:i/>
                        <w:color w:val="231F20"/>
                        <w:spacing w:val="-11"/>
                        <w:sz w:val="20"/>
                      </w:rPr>
                      <w:t> </w:t>
                    </w:r>
                    <w:r>
                      <w:rPr>
                        <w:b w:val="0"/>
                        <w:i/>
                        <w:color w:val="231F20"/>
                        <w:sz w:val="20"/>
                      </w:rPr>
                      <w:t>of</w:t>
                    </w:r>
                    <w:r>
                      <w:rPr>
                        <w:b w:val="0"/>
                        <w:i/>
                        <w:color w:val="231F20"/>
                        <w:spacing w:val="-11"/>
                        <w:sz w:val="20"/>
                      </w:rPr>
                      <w:t> </w:t>
                    </w:r>
                    <w:r>
                      <w:rPr>
                        <w:b w:val="0"/>
                        <w:i/>
                        <w:color w:val="231F20"/>
                        <w:spacing w:val="-3"/>
                        <w:sz w:val="20"/>
                      </w:rPr>
                      <w:t>Persons</w:t>
                    </w:r>
                    <w:r>
                      <w:rPr>
                        <w:b w:val="0"/>
                        <w:i/>
                        <w:color w:val="231F20"/>
                        <w:spacing w:val="-11"/>
                        <w:sz w:val="20"/>
                      </w:rPr>
                      <w:t> </w:t>
                    </w:r>
                    <w:r>
                      <w:rPr>
                        <w:b w:val="0"/>
                        <w:i/>
                        <w:color w:val="231F20"/>
                        <w:sz w:val="20"/>
                      </w:rPr>
                      <w:t>with</w:t>
                    </w:r>
                    <w:r>
                      <w:rPr>
                        <w:b w:val="0"/>
                        <w:i/>
                        <w:color w:val="231F20"/>
                        <w:spacing w:val="-11"/>
                        <w:sz w:val="20"/>
                      </w:rPr>
                      <w:t> </w:t>
                    </w:r>
                    <w:r>
                      <w:rPr>
                        <w:b w:val="0"/>
                        <w:i/>
                        <w:color w:val="231F20"/>
                        <w:sz w:val="20"/>
                      </w:rPr>
                      <w:t>Disabilities;</w:t>
                    </w:r>
                    <w:r>
                      <w:rPr>
                        <w:b w:val="0"/>
                        <w:i/>
                        <w:color w:val="231F20"/>
                        <w:spacing w:val="-11"/>
                        <w:sz w:val="20"/>
                      </w:rPr>
                      <w:t> </w:t>
                    </w:r>
                    <w:r>
                      <w:rPr>
                        <w:b w:val="0"/>
                        <w:i/>
                        <w:color w:val="231F20"/>
                        <w:sz w:val="20"/>
                      </w:rPr>
                      <w:t>Chapter</w:t>
                    </w:r>
                    <w:r>
                      <w:rPr>
                        <w:b w:val="0"/>
                        <w:i/>
                        <w:color w:val="231F20"/>
                        <w:spacing w:val="-11"/>
                        <w:sz w:val="20"/>
                      </w:rPr>
                      <w:t> </w:t>
                    </w:r>
                    <w:r>
                      <w:rPr>
                        <w:b w:val="0"/>
                        <w:i/>
                        <w:color w:val="231F20"/>
                        <w:sz w:val="20"/>
                      </w:rPr>
                      <w:t>3.</w:t>
                    </w:r>
                    <w:r>
                      <w:rPr>
                        <w:b w:val="0"/>
                        <w:i/>
                        <w:color w:val="231F20"/>
                        <w:spacing w:val="-11"/>
                        <w:sz w:val="20"/>
                      </w:rPr>
                      <w:t> </w:t>
                    </w:r>
                    <w:r>
                      <w:rPr>
                        <w:b w:val="0"/>
                        <w:i/>
                        <w:color w:val="231F20"/>
                        <w:sz w:val="20"/>
                      </w:rPr>
                      <w:t>The</w:t>
                    </w:r>
                    <w:r>
                      <w:rPr>
                        <w:b w:val="0"/>
                        <w:i/>
                        <w:color w:val="231F20"/>
                        <w:spacing w:val="-11"/>
                        <w:sz w:val="20"/>
                      </w:rPr>
                      <w:t> </w:t>
                    </w:r>
                    <w:r>
                      <w:rPr>
                        <w:b w:val="0"/>
                        <w:i/>
                        <w:color w:val="231F20"/>
                        <w:sz w:val="20"/>
                      </w:rPr>
                      <w:t>Right</w:t>
                    </w:r>
                    <w:r>
                      <w:rPr>
                        <w:b w:val="0"/>
                        <w:i/>
                        <w:color w:val="231F20"/>
                        <w:spacing w:val="-11"/>
                        <w:sz w:val="20"/>
                      </w:rPr>
                      <w:t> </w:t>
                    </w:r>
                    <w:r>
                      <w:rPr>
                        <w:b w:val="0"/>
                        <w:i/>
                        <w:color w:val="231F20"/>
                        <w:sz w:val="20"/>
                      </w:rPr>
                      <w:t>to</w:t>
                    </w:r>
                    <w:r>
                      <w:rPr>
                        <w:b w:val="0"/>
                        <w:i/>
                        <w:color w:val="231F20"/>
                        <w:spacing w:val="-11"/>
                        <w:sz w:val="20"/>
                      </w:rPr>
                      <w:t> </w:t>
                    </w:r>
                    <w:r>
                      <w:rPr>
                        <w:b w:val="0"/>
                        <w:i/>
                        <w:color w:val="231F20"/>
                        <w:sz w:val="20"/>
                      </w:rPr>
                      <w:t>Participation</w:t>
                    </w:r>
                    <w:r>
                      <w:rPr>
                        <w:b w:val="0"/>
                        <w:i/>
                        <w:color w:val="231F20"/>
                        <w:spacing w:val="-11"/>
                        <w:sz w:val="20"/>
                      </w:rPr>
                      <w:t> </w:t>
                    </w:r>
                    <w:r>
                      <w:rPr>
                        <w:b w:val="0"/>
                        <w:i/>
                        <w:color w:val="231F20"/>
                        <w:sz w:val="20"/>
                      </w:rPr>
                      <w:t>in </w:t>
                    </w:r>
                    <w:r>
                      <w:rPr>
                        <w:b w:val="0"/>
                        <w:i/>
                        <w:color w:val="231F20"/>
                        <w:spacing w:val="-3"/>
                        <w:sz w:val="20"/>
                      </w:rPr>
                      <w:t>Political </w:t>
                    </w:r>
                    <w:r>
                      <w:rPr>
                        <w:b w:val="0"/>
                        <w:i/>
                        <w:color w:val="231F20"/>
                        <w:sz w:val="20"/>
                      </w:rPr>
                      <w:t>and </w:t>
                    </w:r>
                    <w:r>
                      <w:rPr>
                        <w:b w:val="0"/>
                        <w:i/>
                        <w:color w:val="231F20"/>
                        <w:spacing w:val="-3"/>
                        <w:sz w:val="20"/>
                      </w:rPr>
                      <w:t>Public Life.</w:t>
                    </w:r>
                  </w:p>
                </w:txbxContent>
              </v:textbox>
              <w10:wrap type="none"/>
            </v:shape>
            <w10:wrap type="topAndBottom"/>
          </v:group>
        </w:pict>
      </w:r>
    </w:p>
    <w:p>
      <w:pPr>
        <w:pStyle w:val="BodyText"/>
        <w:rPr>
          <w:rFonts w:ascii="Myriad Pro"/>
          <w:sz w:val="20"/>
        </w:rPr>
      </w:pPr>
    </w:p>
    <w:p>
      <w:pPr>
        <w:pStyle w:val="BodyText"/>
        <w:rPr>
          <w:rFonts w:ascii="Myriad Pro"/>
        </w:rPr>
      </w:pPr>
      <w:r>
        <w:rPr/>
        <w:pict>
          <v:line style="position:absolute;mso-position-horizontal-relative:page;mso-position-vertical-relative:paragraph;z-index:1864;mso-wrap-distance-left:0;mso-wrap-distance-right:0" from="144.566895pt,16.1875pt" to="538.582895pt,16.1875pt" stroked="true" strokeweight="2pt" strokecolor="#f99d25">
            <w10:wrap type="topAndBottom"/>
          </v:line>
        </w:pict>
      </w:r>
    </w:p>
    <w:p>
      <w:pPr>
        <w:spacing w:line="271" w:lineRule="exact" w:before="0"/>
        <w:ind w:left="3066" w:right="318" w:firstLine="0"/>
        <w:jc w:val="center"/>
        <w:rPr>
          <w:rFonts w:ascii="Myriad Pro" w:hAnsi="Myriad Pro"/>
          <w:b/>
          <w:sz w:val="24"/>
        </w:rPr>
      </w:pPr>
      <w:r>
        <w:rPr>
          <w:rFonts w:ascii="Myriad Pro" w:hAnsi="Myriad Pro"/>
          <w:b/>
          <w:color w:val="F99D25"/>
          <w:sz w:val="24"/>
        </w:rPr>
        <w:t>Voir l’activité d'apprentissage 2.A.</w:t>
      </w:r>
    </w:p>
    <w:p>
      <w:pPr>
        <w:spacing w:line="294" w:lineRule="exact" w:before="0"/>
        <w:ind w:left="3066" w:right="309" w:firstLine="0"/>
        <w:jc w:val="center"/>
        <w:rPr>
          <w:rFonts w:ascii="Myriad Pro" w:hAnsi="Myriad Pro"/>
          <w:b/>
          <w:i/>
          <w:sz w:val="24"/>
        </w:rPr>
      </w:pPr>
      <w:r>
        <w:rPr/>
        <w:pict>
          <v:line style="position:absolute;mso-position-horizontal-relative:page;mso-position-vertical-relative:paragraph;z-index:1888;mso-wrap-distance-left:0;mso-wrap-distance-right:0" from="144.566895pt,17.855286pt" to="538.582895pt,17.855286pt" stroked="true" strokeweight="1pt" strokecolor="#f99d25">
            <w10:wrap type="topAndBottom"/>
          </v:line>
        </w:pict>
      </w:r>
      <w:r>
        <w:rPr>
          <w:rFonts w:ascii="Myriad Pro" w:hAnsi="Myriad Pro"/>
          <w:b/>
          <w:color w:val="F99D25"/>
          <w:sz w:val="24"/>
        </w:rPr>
        <w:t>intitulée </w:t>
      </w:r>
      <w:r>
        <w:rPr>
          <w:rFonts w:ascii="Myriad Pro" w:hAnsi="Myriad Pro"/>
          <w:b/>
          <w:i/>
          <w:color w:val="F99D25"/>
          <w:sz w:val="24"/>
        </w:rPr>
        <w:t>Barrières à la participation à la vie politique et publique.</w:t>
      </w:r>
    </w:p>
    <w:p>
      <w:pPr>
        <w:pStyle w:val="BodyText"/>
        <w:rPr>
          <w:rFonts w:ascii="Myriad Pro"/>
          <w:b/>
          <w:i/>
          <w:sz w:val="24"/>
        </w:rPr>
      </w:pPr>
    </w:p>
    <w:p>
      <w:pPr>
        <w:pStyle w:val="BodyText"/>
        <w:spacing w:before="2"/>
        <w:rPr>
          <w:rFonts w:ascii="Myriad Pro"/>
          <w:b/>
          <w:i/>
          <w:sz w:val="20"/>
        </w:rPr>
      </w:pPr>
    </w:p>
    <w:p>
      <w:pPr>
        <w:pStyle w:val="Heading2"/>
        <w:numPr>
          <w:ilvl w:val="1"/>
          <w:numId w:val="2"/>
        </w:numPr>
        <w:tabs>
          <w:tab w:pos="3612" w:val="left" w:leader="none"/>
        </w:tabs>
        <w:spacing w:line="240" w:lineRule="auto" w:before="0" w:after="0"/>
        <w:ind w:left="3611" w:right="0" w:hanging="720"/>
        <w:jc w:val="left"/>
        <w:rPr>
          <w:b/>
        </w:rPr>
      </w:pPr>
      <w:bookmarkStart w:name="_TOC_250008" w:id="4"/>
      <w:r>
        <w:rPr>
          <w:b/>
          <w:color w:val="231F20"/>
        </w:rPr>
        <w:t>Cadre</w:t>
      </w:r>
      <w:r>
        <w:rPr>
          <w:b/>
          <w:color w:val="231F20"/>
          <w:spacing w:val="-6"/>
        </w:rPr>
        <w:t> </w:t>
      </w:r>
      <w:bookmarkEnd w:id="4"/>
      <w:r>
        <w:rPr>
          <w:b/>
          <w:color w:val="231F20"/>
        </w:rPr>
        <w:t>juridique</w:t>
      </w:r>
    </w:p>
    <w:p>
      <w:pPr>
        <w:pStyle w:val="BodyText"/>
        <w:spacing w:line="266" w:lineRule="auto" w:before="117"/>
        <w:ind w:left="2891" w:right="101"/>
        <w:rPr>
          <w:b w:val="0"/>
        </w:rPr>
      </w:pPr>
      <w:r>
        <w:rPr>
          <w:b w:val="0"/>
          <w:color w:val="231F20"/>
        </w:rPr>
        <w:t>Le droit de participer à la vie politique et publique est un principe bien établi du droit international des droits de l’homme. Il a été défini dans l’article 21 de la Déclaration universelle des droits de l’homme (DUDH) et est énoncé à l’article 25 du Pacte international relatif aux droits civils et politiques (PIDCP), qui garantit à tout citoyen le droit et la possibilité, sans restrictions déraisonnables, de prendre part à la direction des affaires publiques directement ou par l’intermédiaire de représentants librement choisis ; de voter et d’être élu au cours d’élections périodiques honnêtes ; et d’accéder, dans des conditions générales d’égalité, aux fonctions publiques de son pays.</w:t>
      </w:r>
    </w:p>
    <w:p>
      <w:pPr>
        <w:pStyle w:val="BodyText"/>
        <w:spacing w:line="266" w:lineRule="auto" w:before="114"/>
        <w:ind w:left="2891" w:right="198"/>
        <w:rPr>
          <w:b w:val="0"/>
        </w:rPr>
      </w:pPr>
      <w:r>
        <w:rPr>
          <w:b w:val="0"/>
          <w:color w:val="231F20"/>
        </w:rPr>
        <w:t>Les droits politiques ont été ensuite définis dans une série d’instruments internationaux et régionaux des droits de l’homme. Parmi ceux-ci, la Convention relative aux droits de personnes handicapées (CDPH) est la première à préciser le droit de participer à la vie politique et publique dans le contexte du handicap. L’article 29 de la CDPH demande aux États parties de garantir aux personnes handicapées la jouissance des droits politiques et la possibilité de les exercer sur la base de l’égalité avec les autres. La Convention spécifie certaines mesures – mais sans limiter les États parties à ces mesures seulement – qui doivent être prises pour garantir que les personnes handicapées peuvent effectivement et pleinement participer à la vie politique et à la vie publique sur la base de l’égalité</w:t>
      </w:r>
    </w:p>
    <w:p>
      <w:pPr>
        <w:pStyle w:val="BodyText"/>
        <w:spacing w:line="266" w:lineRule="auto"/>
        <w:ind w:left="2891" w:right="374"/>
        <w:rPr>
          <w:b w:val="0"/>
        </w:rPr>
      </w:pPr>
      <w:r>
        <w:rPr>
          <w:b w:val="0"/>
          <w:color w:val="231F20"/>
        </w:rPr>
        <w:t>avec les autres, notamment le droit et la possibilité de voter et d’être élues. On peut notamment citer :</w:t>
      </w:r>
    </w:p>
    <w:p>
      <w:pPr>
        <w:pStyle w:val="BodyText"/>
        <w:spacing w:line="264" w:lineRule="auto" w:before="19"/>
        <w:ind w:left="3571" w:right="958" w:hanging="341"/>
        <w:rPr>
          <w:b w:val="0"/>
        </w:rPr>
      </w:pPr>
      <w:r>
        <w:rPr>
          <w:rFonts w:ascii="Arial" w:hAnsi="Arial"/>
          <w:color w:val="F99D25"/>
          <w:sz w:val="26"/>
        </w:rPr>
        <w:t>► </w:t>
      </w:r>
      <w:r>
        <w:rPr>
          <w:b w:val="0"/>
          <w:color w:val="231F20"/>
        </w:rPr>
        <w:t>la garantie que les procédures, équipements et matériels électoraux sont appropriés, accessibles et faciles à comprendre et à utiliser ;</w:t>
      </w:r>
    </w:p>
    <w:p>
      <w:pPr>
        <w:pStyle w:val="BodyText"/>
        <w:spacing w:before="21"/>
        <w:ind w:left="3231" w:right="374"/>
        <w:rPr>
          <w:b w:val="0"/>
        </w:rPr>
      </w:pPr>
      <w:r>
        <w:rPr>
          <w:rFonts w:ascii="Arial" w:hAnsi="Arial"/>
          <w:color w:val="F99D25"/>
          <w:sz w:val="26"/>
        </w:rPr>
        <w:t>► </w:t>
      </w:r>
      <w:r>
        <w:rPr>
          <w:b w:val="0"/>
          <w:color w:val="231F20"/>
        </w:rPr>
        <w:t>la protection du droit des personnes handicapées à voter à bulletin secret ;</w:t>
      </w:r>
    </w:p>
    <w:p>
      <w:pPr>
        <w:pStyle w:val="BodyText"/>
        <w:spacing w:line="264" w:lineRule="auto" w:before="47"/>
        <w:ind w:left="3571" w:right="198" w:hanging="341"/>
        <w:rPr>
          <w:b w:val="0"/>
          <w:i/>
        </w:rPr>
      </w:pPr>
      <w:r>
        <w:rPr>
          <w:rFonts w:ascii="Arial" w:hAnsi="Arial"/>
          <w:color w:val="F99D25"/>
          <w:sz w:val="26"/>
        </w:rPr>
        <w:t>► </w:t>
      </w:r>
      <w:r>
        <w:rPr>
          <w:b w:val="0"/>
          <w:color w:val="231F20"/>
        </w:rPr>
        <w:t>la protection du droit de se présenter aux élections et d’exercer effectivement un mandat électif, ainsi que d’exercer toutes fonctions publiques à tous les niveaux de l’État, et la facilitation, s’il y a lieu, du recours aux technologies d’assistance ; </w:t>
      </w:r>
      <w:r>
        <w:rPr>
          <w:b w:val="0"/>
          <w:i/>
          <w:color w:val="231F20"/>
        </w:rPr>
        <w:t>et</w:t>
      </w:r>
    </w:p>
    <w:p>
      <w:pPr>
        <w:pStyle w:val="BodyText"/>
        <w:spacing w:line="264" w:lineRule="auto" w:before="22"/>
        <w:ind w:left="3571" w:right="518" w:hanging="341"/>
        <w:rPr>
          <w:b w:val="0"/>
        </w:rPr>
      </w:pPr>
      <w:r>
        <w:rPr>
          <w:rFonts w:ascii="Arial" w:hAnsi="Arial"/>
          <w:color w:val="F99D25"/>
          <w:sz w:val="26"/>
        </w:rPr>
        <w:t>► </w:t>
      </w:r>
      <w:r>
        <w:rPr>
          <w:b w:val="0"/>
          <w:color w:val="231F20"/>
        </w:rPr>
        <w:t>la garantie d’un accès égal et effectif aux procédures et installations de vote de manière à exercer leur droit de vote, y compris par l’offre d’aménagements raisonnables.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1"/>
        </w:rPr>
      </w:pPr>
    </w:p>
    <w:p>
      <w:pPr>
        <w:spacing w:before="0"/>
        <w:ind w:left="2891" w:right="374"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056" coordorigin="9241,0" coordsize="2665,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99D25" w:color="auto" w:val="clear"/>
                      </w:rPr>
                      <w:t> </w:t>
                    </w:r>
                    <w:r>
                      <w:rPr>
                        <w:rFonts w:ascii="Myriad Pro"/>
                        <w:color w:val="FFFFFF"/>
                        <w:sz w:val="26"/>
                        <w:shd w:fill="F99D25" w:color="auto" w:val="clear"/>
                      </w:rPr>
                      <w:t>5</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2880"/>
        <w:rPr>
          <w:b w:val="0"/>
        </w:rPr>
      </w:pPr>
      <w:r>
        <w:rPr>
          <w:b w:val="0"/>
          <w:color w:val="231F20"/>
        </w:rPr>
        <w:t>L’article 29 demande ensuite aux États parties de promouvoir un environnement dans lequel les personnes handicapées peuvent effectivement et pleinement participer à la conduite des affaires publiques, sans discrimination, et à encourager leur participation aux affaires publiques, notamment par :</w:t>
      </w:r>
    </w:p>
    <w:p>
      <w:pPr>
        <w:pStyle w:val="BodyText"/>
        <w:spacing w:line="264" w:lineRule="auto" w:before="19"/>
        <w:ind w:left="793" w:right="3740" w:hanging="341"/>
        <w:rPr>
          <w:b w:val="0"/>
        </w:rPr>
      </w:pPr>
      <w:r>
        <w:rPr>
          <w:rFonts w:ascii="Arial" w:hAnsi="Arial"/>
          <w:color w:val="F99D25"/>
          <w:sz w:val="26"/>
        </w:rPr>
        <w:t>► </w:t>
      </w:r>
      <w:r>
        <w:rPr>
          <w:b w:val="0"/>
          <w:color w:val="231F20"/>
        </w:rPr>
        <w:t>leur participation à la conduite de l’administration publique, notamment l’administration des partis politiques et de la société civile ;</w:t>
      </w:r>
    </w:p>
    <w:p>
      <w:pPr>
        <w:pStyle w:val="BodyText"/>
        <w:spacing w:line="264" w:lineRule="auto" w:before="21"/>
        <w:ind w:left="793" w:right="3599" w:hanging="341"/>
        <w:rPr>
          <w:b w:val="0"/>
        </w:rPr>
      </w:pPr>
      <w:r>
        <w:rPr>
          <w:rFonts w:ascii="Arial" w:hAnsi="Arial"/>
          <w:color w:val="F99D25"/>
          <w:sz w:val="26"/>
        </w:rPr>
        <w:t>► </w:t>
      </w:r>
      <w:r>
        <w:rPr>
          <w:b w:val="0"/>
          <w:color w:val="231F20"/>
        </w:rPr>
        <w:t>leur participation au travail des organisations internationales, y compris en représentant le gouvernement dans les organisations internationales ; et</w:t>
      </w:r>
    </w:p>
    <w:p>
      <w:pPr>
        <w:pStyle w:val="BodyText"/>
        <w:spacing w:line="264" w:lineRule="auto" w:before="21"/>
        <w:ind w:left="793" w:right="2929" w:hanging="341"/>
        <w:rPr>
          <w:b w:val="0"/>
        </w:rPr>
      </w:pPr>
      <w:r>
        <w:rPr>
          <w:rFonts w:ascii="Arial" w:hAnsi="Arial"/>
          <w:color w:val="F99D25"/>
          <w:sz w:val="26"/>
        </w:rPr>
        <w:t>► </w:t>
      </w:r>
      <w:r>
        <w:rPr>
          <w:b w:val="0"/>
          <w:color w:val="231F20"/>
        </w:rPr>
        <w:t>la constitution d’OPH et la participation à celles-ci, aux niveaux international, national, régional et local.</w:t>
      </w:r>
    </w:p>
    <w:p>
      <w:pPr>
        <w:pStyle w:val="BodyText"/>
        <w:spacing w:line="266" w:lineRule="auto" w:before="116"/>
        <w:ind w:left="113" w:right="3542"/>
        <w:jc w:val="both"/>
        <w:rPr>
          <w:b w:val="0"/>
        </w:rPr>
      </w:pPr>
      <w:r>
        <w:rPr>
          <w:b w:val="0"/>
          <w:color w:val="231F20"/>
        </w:rPr>
        <w:t>Au-delà de l’article 29, la participation et l’inclusion sont des principes généraux de la CDPH (art. 3), qui établit aussi, en tant qu’obligation générale, que les personnes handicapées ont le droit de participer à l’adoption de toute décision sur la base de</w:t>
      </w:r>
    </w:p>
    <w:p>
      <w:pPr>
        <w:pStyle w:val="BodyText"/>
        <w:spacing w:line="266" w:lineRule="auto"/>
        <w:ind w:left="113" w:right="2929"/>
        <w:rPr>
          <w:b w:val="0"/>
        </w:rPr>
      </w:pPr>
      <w:r>
        <w:rPr>
          <w:b w:val="0"/>
          <w:color w:val="231F20"/>
        </w:rPr>
        <w:t>l’égalité avec les autres quand leurs intérêts sont en jeu (art. 4(3)). L’accessibilité est un principe général de la CDPH, dont les exigences sont définies à l’article 9. En ce qui concerne le droit de participer à la vie politique et publique, cela implique entre autres une éducation civique, des supports d’éducation pour les électeurs, des bureaux de vote et des transports accessibles et inclusifs.</w:t>
      </w:r>
    </w:p>
    <w:p>
      <w:pPr>
        <w:pStyle w:val="BodyText"/>
        <w:spacing w:line="266" w:lineRule="auto" w:before="114"/>
        <w:ind w:left="113" w:right="2929"/>
        <w:rPr>
          <w:b w:val="0"/>
        </w:rPr>
      </w:pPr>
      <w:r>
        <w:rPr>
          <w:b w:val="0"/>
          <w:color w:val="231F20"/>
        </w:rPr>
        <w:t>L’article 12 garantit également le droit à la capacité juridique des personnes handicapées, particulièrement en relation avec la participation politique. La capacité juridique est souvent refusée aux personnes handicapées sur la base de présomptions relatives à leur capacité à prendre des décisions.</w:t>
      </w:r>
    </w:p>
    <w:p>
      <w:pPr>
        <w:pStyle w:val="BodyText"/>
        <w:spacing w:line="266" w:lineRule="auto" w:before="114"/>
        <w:ind w:left="113" w:right="2996"/>
        <w:rPr>
          <w:b w:val="0"/>
        </w:rPr>
      </w:pPr>
      <w:r>
        <w:rPr>
          <w:b w:val="0"/>
          <w:color w:val="231F20"/>
        </w:rPr>
        <w:t>Comme tous les droits abordés dans les Outils sur le handicap pour l’Afrique, le droit de participer à la vie politique et publique est étroitement lié, interdépendant et indivisible des autres droits établis par la CDPH. Cela signifie que les violations du droit de participer à la vie politique et publique peuvent conduire à des violations de la jouissance d’autres droits de l’homme des personnes handicapées. De la même façon, les violations des autres droits de l’homme, tel que le droit à l’éducation, peuvent aussi toucher la capacité des personnes handicapées à participer pleinement à la vie politique et publique. Par exemple, la privation du droit à l’éducation aura des retombées sur la capacité d’une personne à se présenter aux élections ou, si elle est élue, à réussir dans ce rôle.</w:t>
      </w:r>
    </w:p>
    <w:p>
      <w:pPr>
        <w:pStyle w:val="BodyText"/>
        <w:spacing w:before="7"/>
        <w:rPr>
          <w:b w:val="0"/>
          <w:sz w:val="13"/>
        </w:rPr>
      </w:pPr>
      <w:r>
        <w:rPr/>
        <w:pict>
          <v:group style="position:absolute;margin-left:56.192902pt;margin-top:10.013261pt;width:395.05pt;height:142.7pt;mso-position-horizontal-relative:page;mso-position-vertical-relative:paragraph;z-index:1984;mso-wrap-distance-left:0;mso-wrap-distance-right:0" coordorigin="1124,200" coordsize="7901,2854">
            <v:rect style="position:absolute;left:1134;top:200;width:7880;height:363" filled="true" fillcolor="#f99d25" stroked="false">
              <v:fill type="solid"/>
            </v:rect>
            <v:rect style="position:absolute;left:1134;top:564;width:7880;height:2480" filled="true" fillcolor="#fff2e3" stroked="false">
              <v:fill type="solid"/>
            </v:rect>
            <v:line style="position:absolute" from="1134,3044" to="9014,3044" stroked="true" strokeweight="1pt" strokecolor="#f99d25"/>
            <v:shape style="position:absolute;left:1124;top:200;width:7901;height:2854" type="#_x0000_t202" filled="false" stroked="false">
              <v:textbox inset="0,0,0,0">
                <w:txbxContent>
                  <w:p>
                    <w:pPr>
                      <w:spacing w:before="32"/>
                      <w:ind w:left="1187" w:right="-6" w:firstLine="0"/>
                      <w:jc w:val="left"/>
                      <w:rPr>
                        <w:rFonts w:ascii="Myriad Pro"/>
                        <w:b/>
                        <w:sz w:val="22"/>
                      </w:rPr>
                    </w:pPr>
                    <w:r>
                      <w:rPr>
                        <w:rFonts w:ascii="Myriad Pro"/>
                        <w:b/>
                        <w:color w:val="FFFFFF"/>
                        <w:sz w:val="22"/>
                      </w:rPr>
                      <w:t>Que dit la Charte africaine sur la participation politique ?</w:t>
                    </w:r>
                  </w:p>
                  <w:p>
                    <w:pPr>
                      <w:spacing w:line="259" w:lineRule="auto" w:before="188"/>
                      <w:ind w:left="180" w:right="-6" w:firstLine="0"/>
                      <w:jc w:val="left"/>
                      <w:rPr>
                        <w:rFonts w:ascii="Myriad Pro" w:hAnsi="Myriad Pro"/>
                        <w:sz w:val="11"/>
                      </w:rPr>
                    </w:pPr>
                    <w:r>
                      <w:rPr>
                        <w:rFonts w:ascii="Myriad Pro" w:hAnsi="Myriad Pro"/>
                        <w:color w:val="231F20"/>
                        <w:sz w:val="20"/>
                      </w:rPr>
                      <w:t>L’article 13 de la Charte africaine protège le droit de tous les citoyens à participer librement au gouvernement, soit directement soit par l’intermédiaire de représentants librement choisis, et garantit leur droit d’accéder aux fonctions publiques de leur pays.</w:t>
                    </w:r>
                    <w:r>
                      <w:rPr>
                        <w:rFonts w:ascii="Myriad Pro" w:hAnsi="Myriad Pro"/>
                        <w:color w:val="231F20"/>
                        <w:position w:val="7"/>
                        <w:sz w:val="11"/>
                      </w:rPr>
                      <w:t>1</w:t>
                    </w:r>
                  </w:p>
                  <w:p>
                    <w:pPr>
                      <w:spacing w:line="259" w:lineRule="auto" w:before="113"/>
                      <w:ind w:left="180" w:right="143" w:firstLine="0"/>
                      <w:jc w:val="left"/>
                      <w:rPr>
                        <w:rFonts w:ascii="Myriad Pro" w:hAnsi="Myriad Pro"/>
                        <w:sz w:val="20"/>
                      </w:rPr>
                    </w:pPr>
                    <w:r>
                      <w:rPr>
                        <w:rFonts w:ascii="Myriad Pro" w:hAnsi="Myriad Pro"/>
                        <w:color w:val="231F20"/>
                        <w:sz w:val="20"/>
                      </w:rPr>
                      <w:t>Les États parties de l’Union africaine devraient bientôt apporter des spécifications supplémentaires concernant le droit des personnes handicapées à participer à la vie politique et publique : Le Protocole de la Charte africaine relatif aux droits des personnes handicapées en Afrique (Projet II, 14 mars 2014) consacre spécifiquement un article à cette question.</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1"/>
        </w:rPr>
      </w:pPr>
      <w:r>
        <w:rPr/>
        <w:pict>
          <v:line style="position:absolute;mso-position-horizontal-relative:page;mso-position-vertical-relative:paragraph;z-index:2008;mso-wrap-distance-left:0;mso-wrap-distance-right:0" from="56.692902pt,14.7759pt" to="155.905902pt,14.7759pt" stroked="true" strokeweight=".5pt" strokecolor="#231f20">
            <w10:wrap type="topAndBottom"/>
          </v:line>
        </w:pict>
      </w:r>
    </w:p>
    <w:p>
      <w:pPr>
        <w:tabs>
          <w:tab w:pos="373" w:val="left" w:leader="none"/>
        </w:tabs>
        <w:spacing w:line="180" w:lineRule="exact" w:before="87"/>
        <w:ind w:left="373" w:right="3018" w:hanging="260"/>
        <w:jc w:val="left"/>
        <w:rPr>
          <w:b w:val="0"/>
          <w:sz w:val="17"/>
        </w:rPr>
      </w:pPr>
      <w:r>
        <w:rPr>
          <w:b w:val="0"/>
          <w:color w:val="231F20"/>
          <w:position w:val="6"/>
          <w:sz w:val="10"/>
        </w:rPr>
        <w:t>1</w:t>
        <w:tab/>
      </w:r>
      <w:r>
        <w:rPr>
          <w:b w:val="0"/>
          <w:color w:val="231F20"/>
          <w:sz w:val="17"/>
        </w:rPr>
        <w:t>Charte africaine (Banjul) des droits de l’homme et des peuples, art. 13. (Adoptée le 27 juin 1981, Doc. </w:t>
      </w:r>
      <w:r>
        <w:rPr>
          <w:b w:val="0"/>
          <w:color w:val="231F20"/>
          <w:spacing w:val="-3"/>
          <w:sz w:val="17"/>
        </w:rPr>
        <w:t>OUA</w:t>
      </w:r>
      <w:r>
        <w:rPr>
          <w:b w:val="0"/>
          <w:color w:val="231F20"/>
          <w:sz w:val="17"/>
        </w:rPr>
        <w:t> CAB/ LEG/67/3 rev. 5, 21 I.L.M. 58 (1982), entrée en vigueur le 21 octobre</w:t>
      </w:r>
      <w:r>
        <w:rPr>
          <w:b w:val="0"/>
          <w:color w:val="231F20"/>
          <w:spacing w:val="-12"/>
          <w:sz w:val="17"/>
        </w:rPr>
        <w:t> </w:t>
      </w:r>
      <w:r>
        <w:rPr>
          <w:b w:val="0"/>
          <w:color w:val="231F20"/>
          <w:sz w:val="17"/>
        </w:rPr>
        <w:t>1986).</w:t>
      </w:r>
    </w:p>
    <w:p>
      <w:pPr>
        <w:pStyle w:val="BodyText"/>
        <w:spacing w:before="11"/>
        <w:rPr>
          <w:b w:val="0"/>
          <w:sz w:val="29"/>
        </w:rPr>
      </w:pPr>
    </w:p>
    <w:p>
      <w:pPr>
        <w:spacing w:before="101"/>
        <w:ind w:left="3917" w:right="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46552"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6</w:t>
                      <w:tab/>
                    </w:r>
                  </w:p>
                </w:txbxContent>
              </v:textbox>
              <w10:wrap type="none"/>
            </v:shape>
            <w10:wrap type="none"/>
          </v:group>
        </w:pict>
      </w:r>
    </w:p>
    <w:p>
      <w:pPr>
        <w:spacing w:before="75"/>
        <w:ind w:left="2892" w:right="175"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numPr>
          <w:ilvl w:val="1"/>
          <w:numId w:val="2"/>
        </w:numPr>
        <w:tabs>
          <w:tab w:pos="3612" w:val="left" w:leader="none"/>
        </w:tabs>
        <w:spacing w:line="340" w:lineRule="exact" w:before="83" w:after="0"/>
        <w:ind w:left="3611" w:right="707" w:hanging="720"/>
        <w:jc w:val="left"/>
        <w:rPr>
          <w:b/>
        </w:rPr>
      </w:pPr>
      <w:bookmarkStart w:name="_TOC_250007" w:id="5"/>
      <w:r>
        <w:rPr>
          <w:b/>
          <w:color w:val="231F20"/>
        </w:rPr>
        <w:t>Mesures pour garantir des processus</w:t>
      </w:r>
      <w:r>
        <w:rPr>
          <w:b/>
          <w:color w:val="231F20"/>
          <w:spacing w:val="-13"/>
        </w:rPr>
        <w:t> </w:t>
      </w:r>
      <w:bookmarkEnd w:id="5"/>
      <w:r>
        <w:rPr>
          <w:b/>
          <w:color w:val="231F20"/>
        </w:rPr>
        <w:t>politiques inclusifs</w:t>
      </w:r>
    </w:p>
    <w:p>
      <w:pPr>
        <w:pStyle w:val="BodyText"/>
        <w:spacing w:line="266" w:lineRule="auto" w:before="130"/>
        <w:ind w:left="2891" w:right="175"/>
        <w:rPr>
          <w:b w:val="0"/>
        </w:rPr>
      </w:pPr>
      <w:r>
        <w:rPr>
          <w:b w:val="0"/>
          <w:color w:val="231F20"/>
        </w:rPr>
        <w:t>Diverses mesures peuvent être prises par les gouvernements, les partis politiques, les institutions des droits de l’homme et les organisations de personnes handicapées (OPH) pour mettre en œuvre les dispositions de la CDPH sur la participation à la vie politique et publique.</w:t>
      </w:r>
    </w:p>
    <w:p>
      <w:pPr>
        <w:pStyle w:val="BodyText"/>
        <w:spacing w:line="266" w:lineRule="auto" w:before="114"/>
        <w:ind w:left="2891" w:right="417"/>
        <w:rPr>
          <w:b w:val="0"/>
        </w:rPr>
      </w:pPr>
      <w:r>
        <w:rPr>
          <w:b w:val="0"/>
          <w:color w:val="231F20"/>
        </w:rPr>
        <w:t>Dans le contexte spécifique des élections, les responsables politiques, en accord et en coopération avec les personnes handicapées et les OPH, devront :</w:t>
      </w:r>
    </w:p>
    <w:p>
      <w:pPr>
        <w:pStyle w:val="ListParagraph"/>
        <w:numPr>
          <w:ilvl w:val="0"/>
          <w:numId w:val="3"/>
        </w:numPr>
        <w:tabs>
          <w:tab w:pos="3632" w:val="left" w:leader="none"/>
        </w:tabs>
        <w:spacing w:line="240" w:lineRule="auto" w:before="84" w:after="0"/>
        <w:ind w:left="3631" w:right="241" w:hanging="400"/>
        <w:jc w:val="left"/>
        <w:rPr>
          <w:b w:val="0"/>
          <w:sz w:val="22"/>
        </w:rPr>
      </w:pPr>
      <w:r>
        <w:rPr>
          <w:b w:val="0"/>
          <w:color w:val="231F20"/>
          <w:sz w:val="22"/>
        </w:rPr>
        <w:t>Revoir les cadres électoraux et juridiques concernés pour inclure le handicap ; l’article 29 de la CDPH prévoit que les personnes handicapées doivent voir leurs droits politiques garantis et avoir la possibilité </w:t>
      </w:r>
      <w:r>
        <w:rPr>
          <w:b w:val="0"/>
          <w:color w:val="231F20"/>
          <w:spacing w:val="-4"/>
          <w:sz w:val="22"/>
        </w:rPr>
        <w:t>d’en </w:t>
      </w:r>
      <w:r>
        <w:rPr>
          <w:b w:val="0"/>
          <w:color w:val="231F20"/>
          <w:sz w:val="22"/>
        </w:rPr>
        <w:t>jouir. Cela signifie que, outre la suppression des restrictions juridiques sur le droit de vote des personnes handicapées, les États parties doivent prendre des mesures pour garantir que les personnes handicapées peuvent faire usage de ce droit. De telles mesures comprendront</w:t>
      </w:r>
      <w:r>
        <w:rPr>
          <w:b w:val="0"/>
          <w:color w:val="231F20"/>
          <w:spacing w:val="-6"/>
          <w:sz w:val="22"/>
        </w:rPr>
        <w:t> </w:t>
      </w:r>
      <w:r>
        <w:rPr>
          <w:b w:val="0"/>
          <w:color w:val="231F20"/>
          <w:sz w:val="22"/>
        </w:rPr>
        <w:t>:</w:t>
      </w:r>
    </w:p>
    <w:p>
      <w:pPr>
        <w:pStyle w:val="ListParagraph"/>
        <w:numPr>
          <w:ilvl w:val="0"/>
          <w:numId w:val="3"/>
        </w:numPr>
        <w:tabs>
          <w:tab w:pos="3632" w:val="left" w:leader="none"/>
        </w:tabs>
        <w:spacing w:line="240" w:lineRule="auto" w:before="112" w:after="0"/>
        <w:ind w:left="3631" w:right="695" w:hanging="400"/>
        <w:jc w:val="left"/>
        <w:rPr>
          <w:b w:val="0"/>
          <w:sz w:val="22"/>
        </w:rPr>
      </w:pPr>
      <w:r>
        <w:rPr>
          <w:b w:val="0"/>
          <w:color w:val="231F20"/>
          <w:sz w:val="22"/>
        </w:rPr>
        <w:t>Développer une éducation et une information des électeurs accessibles et inclusives.</w:t>
      </w:r>
    </w:p>
    <w:p>
      <w:pPr>
        <w:pStyle w:val="ListParagraph"/>
        <w:numPr>
          <w:ilvl w:val="0"/>
          <w:numId w:val="3"/>
        </w:numPr>
        <w:tabs>
          <w:tab w:pos="3632" w:val="left" w:leader="none"/>
        </w:tabs>
        <w:spacing w:line="240" w:lineRule="auto" w:before="112" w:after="0"/>
        <w:ind w:left="3631" w:right="906" w:hanging="400"/>
        <w:jc w:val="left"/>
        <w:rPr>
          <w:b w:val="0"/>
          <w:sz w:val="22"/>
        </w:rPr>
      </w:pPr>
      <w:r>
        <w:rPr>
          <w:b w:val="0"/>
          <w:color w:val="231F20"/>
          <w:sz w:val="22"/>
        </w:rPr>
        <w:t>Former les responsables de la commission électorale à l’accessibilité</w:t>
      </w:r>
      <w:r>
        <w:rPr>
          <w:b w:val="0"/>
          <w:color w:val="231F20"/>
          <w:spacing w:val="-13"/>
          <w:sz w:val="22"/>
        </w:rPr>
        <w:t> </w:t>
      </w:r>
      <w:r>
        <w:rPr>
          <w:b w:val="0"/>
          <w:color w:val="231F20"/>
          <w:sz w:val="22"/>
        </w:rPr>
        <w:t>des élections.</w:t>
      </w:r>
    </w:p>
    <w:p>
      <w:pPr>
        <w:pStyle w:val="ListParagraph"/>
        <w:numPr>
          <w:ilvl w:val="0"/>
          <w:numId w:val="3"/>
        </w:numPr>
        <w:tabs>
          <w:tab w:pos="3632" w:val="left" w:leader="none"/>
        </w:tabs>
        <w:spacing w:line="240" w:lineRule="auto" w:before="112" w:after="0"/>
        <w:ind w:left="3631" w:right="916" w:hanging="400"/>
        <w:jc w:val="left"/>
        <w:rPr>
          <w:b w:val="0"/>
          <w:sz w:val="22"/>
        </w:rPr>
      </w:pPr>
      <w:r>
        <w:rPr>
          <w:b w:val="0"/>
          <w:color w:val="231F20"/>
          <w:sz w:val="22"/>
        </w:rPr>
        <w:t>Utiliser le suivi et l’observation des élections pour favoriser des élections inclusives.</w:t>
      </w:r>
    </w:p>
    <w:p>
      <w:pPr>
        <w:pStyle w:val="ListParagraph"/>
        <w:numPr>
          <w:ilvl w:val="0"/>
          <w:numId w:val="3"/>
        </w:numPr>
        <w:tabs>
          <w:tab w:pos="3632" w:val="left" w:leader="none"/>
        </w:tabs>
        <w:spacing w:line="240" w:lineRule="auto" w:before="112" w:after="0"/>
        <w:ind w:left="3631" w:right="0" w:hanging="400"/>
        <w:jc w:val="left"/>
        <w:rPr>
          <w:b w:val="0"/>
          <w:sz w:val="22"/>
        </w:rPr>
      </w:pPr>
      <w:r>
        <w:rPr>
          <w:b w:val="0"/>
          <w:color w:val="231F20"/>
          <w:sz w:val="22"/>
        </w:rPr>
        <w:t>Développer les bulletins de vote</w:t>
      </w:r>
      <w:r>
        <w:rPr>
          <w:b w:val="0"/>
          <w:color w:val="231F20"/>
          <w:spacing w:val="-8"/>
          <w:sz w:val="22"/>
        </w:rPr>
        <w:t> </w:t>
      </w:r>
      <w:r>
        <w:rPr>
          <w:b w:val="0"/>
          <w:color w:val="231F20"/>
          <w:sz w:val="22"/>
        </w:rPr>
        <w:t>accessibles.</w:t>
      </w:r>
    </w:p>
    <w:p>
      <w:pPr>
        <w:pStyle w:val="ListParagraph"/>
        <w:numPr>
          <w:ilvl w:val="0"/>
          <w:numId w:val="3"/>
        </w:numPr>
        <w:tabs>
          <w:tab w:pos="3632" w:val="left" w:leader="none"/>
        </w:tabs>
        <w:spacing w:line="240" w:lineRule="auto" w:before="112" w:after="0"/>
        <w:ind w:left="3631" w:right="0" w:hanging="400"/>
        <w:jc w:val="left"/>
        <w:rPr>
          <w:b w:val="0"/>
          <w:sz w:val="22"/>
        </w:rPr>
      </w:pPr>
      <w:r>
        <w:rPr>
          <w:b w:val="0"/>
          <w:color w:val="231F20"/>
          <w:sz w:val="22"/>
        </w:rPr>
        <w:t>Garantir la participation de la société</w:t>
      </w:r>
      <w:r>
        <w:rPr>
          <w:b w:val="0"/>
          <w:color w:val="231F20"/>
          <w:spacing w:val="1"/>
          <w:sz w:val="22"/>
        </w:rPr>
        <w:t> </w:t>
      </w:r>
      <w:r>
        <w:rPr>
          <w:b w:val="0"/>
          <w:color w:val="231F20"/>
          <w:sz w:val="22"/>
        </w:rPr>
        <w:t>civile.</w:t>
      </w:r>
    </w:p>
    <w:p>
      <w:pPr>
        <w:pStyle w:val="ListParagraph"/>
        <w:numPr>
          <w:ilvl w:val="0"/>
          <w:numId w:val="3"/>
        </w:numPr>
        <w:tabs>
          <w:tab w:pos="3632" w:val="left" w:leader="none"/>
        </w:tabs>
        <w:spacing w:line="240" w:lineRule="auto" w:before="112" w:after="0"/>
        <w:ind w:left="3631" w:right="0" w:hanging="400"/>
        <w:jc w:val="left"/>
        <w:rPr>
          <w:b w:val="0"/>
          <w:sz w:val="22"/>
        </w:rPr>
      </w:pPr>
      <w:r>
        <w:rPr>
          <w:b w:val="0"/>
          <w:color w:val="231F20"/>
          <w:sz w:val="22"/>
        </w:rPr>
        <w:t>Garantir </w:t>
      </w:r>
      <w:r>
        <w:rPr>
          <w:b w:val="0"/>
          <w:color w:val="231F20"/>
          <w:spacing w:val="-3"/>
          <w:sz w:val="22"/>
        </w:rPr>
        <w:t>qu’il </w:t>
      </w:r>
      <w:r>
        <w:rPr>
          <w:b w:val="0"/>
          <w:color w:val="231F20"/>
          <w:sz w:val="22"/>
        </w:rPr>
        <w:t>existe des systèmes de plaintes électorales</w:t>
      </w:r>
      <w:r>
        <w:rPr>
          <w:b w:val="0"/>
          <w:color w:val="231F20"/>
          <w:spacing w:val="-2"/>
          <w:sz w:val="22"/>
        </w:rPr>
        <w:t> </w:t>
      </w:r>
      <w:r>
        <w:rPr>
          <w:b w:val="0"/>
          <w:color w:val="231F20"/>
          <w:sz w:val="22"/>
        </w:rPr>
        <w:t>accessibles.</w:t>
      </w:r>
    </w:p>
    <w:p>
      <w:pPr>
        <w:pStyle w:val="BodyText"/>
        <w:spacing w:before="5"/>
        <w:rPr>
          <w:b w:val="0"/>
          <w:sz w:val="29"/>
        </w:rPr>
      </w:pPr>
    </w:p>
    <w:p>
      <w:pPr>
        <w:pStyle w:val="Heading3"/>
        <w:numPr>
          <w:ilvl w:val="0"/>
          <w:numId w:val="4"/>
        </w:numPr>
        <w:tabs>
          <w:tab w:pos="3612" w:val="left" w:leader="none"/>
        </w:tabs>
        <w:spacing w:line="320" w:lineRule="exact" w:before="0" w:after="0"/>
        <w:ind w:left="3611" w:right="352" w:hanging="720"/>
        <w:jc w:val="left"/>
        <w:rPr>
          <w:b/>
        </w:rPr>
      </w:pPr>
      <w:r>
        <w:rPr>
          <w:b/>
          <w:color w:val="F99D25"/>
        </w:rPr>
        <w:t>Revoir les cadres électoraux et juridiques concernés</w:t>
      </w:r>
      <w:r>
        <w:rPr>
          <w:b/>
          <w:color w:val="F99D25"/>
          <w:spacing w:val="-15"/>
        </w:rPr>
        <w:t> </w:t>
      </w:r>
      <w:r>
        <w:rPr>
          <w:b/>
          <w:color w:val="F99D25"/>
        </w:rPr>
        <w:t>pour inclure le</w:t>
      </w:r>
      <w:r>
        <w:rPr>
          <w:b/>
          <w:color w:val="F99D25"/>
          <w:spacing w:val="-3"/>
        </w:rPr>
        <w:t> </w:t>
      </w:r>
      <w:r>
        <w:rPr>
          <w:b/>
          <w:color w:val="F99D25"/>
        </w:rPr>
        <w:t>handicap</w:t>
      </w:r>
    </w:p>
    <w:p>
      <w:pPr>
        <w:pStyle w:val="BodyText"/>
        <w:spacing w:line="266" w:lineRule="auto" w:before="133"/>
        <w:ind w:left="2891" w:right="115"/>
        <w:rPr>
          <w:b w:val="0"/>
        </w:rPr>
      </w:pPr>
      <w:r>
        <w:rPr>
          <w:b w:val="0"/>
          <w:color w:val="231F20"/>
        </w:rPr>
        <w:t>Une première étape vers l’application du droit à la participation à la vie politique et publique est l’examen des cadres juridiques et politiques concernés, afin de garantir leur cohérence avec la CDPH. Cela impose la suppression de toutes les restrictions aux droits des personnes de voter ou de participer à d’autres aspects de la vie politique et publique. Les lois électorales restrictives sont un problème dans toutes les régions du monde, particulièrement concernant leur application fréquente aux personnes présentant un handicap intellectuel ou psychosocial, qui sont souvent privées de capacité juridique.</w:t>
      </w:r>
    </w:p>
    <w:p>
      <w:pPr>
        <w:pStyle w:val="BodyText"/>
        <w:spacing w:line="266" w:lineRule="auto" w:before="114"/>
        <w:ind w:left="2891" w:right="115"/>
        <w:rPr>
          <w:b w:val="0"/>
        </w:rPr>
      </w:pPr>
      <w:r>
        <w:rPr>
          <w:b w:val="0"/>
          <w:color w:val="231F20"/>
        </w:rPr>
        <w:t>Le Comité des droits des personnes handicapées a traité ce problème dans un certain nombre de ses observations finales, notamment en ce qui concerne les rapports sur l’Espagne, la Hongrie, la Chine et l’Australie.</w:t>
      </w:r>
      <w:r>
        <w:rPr>
          <w:b w:val="0"/>
          <w:color w:val="231F20"/>
          <w:position w:val="7"/>
          <w:sz w:val="13"/>
        </w:rPr>
        <w:t>2 </w:t>
      </w:r>
      <w:r>
        <w:rPr>
          <w:b w:val="0"/>
          <w:color w:val="231F20"/>
        </w:rPr>
        <w:t>En Tunisie le Comité recommande, par exemple, « l’adoption urgente de mesures législatives visant à garantir que les personnes handicapées, y compris les personnes faisant actuellement l’objet d’une tutelle ou</w:t>
      </w:r>
    </w:p>
    <w:p>
      <w:pPr>
        <w:pStyle w:val="BodyText"/>
        <w:spacing w:line="266" w:lineRule="auto"/>
        <w:ind w:left="2891" w:right="454"/>
        <w:rPr>
          <w:b w:val="0"/>
        </w:rPr>
      </w:pPr>
      <w:r>
        <w:rPr>
          <w:b w:val="0"/>
          <w:color w:val="231F20"/>
        </w:rPr>
        <w:t>d’une curatelle, puissent exercer leur droit de voter et de participer à la vie publique, sur la base de l’égalité avec les autres ».</w:t>
      </w:r>
      <w:r>
        <w:rPr>
          <w:b w:val="0"/>
          <w:color w:val="231F20"/>
          <w:position w:val="7"/>
          <w:sz w:val="13"/>
        </w:rPr>
        <w:t>3 </w:t>
      </w:r>
      <w:r>
        <w:rPr>
          <w:b w:val="0"/>
          <w:color w:val="231F20"/>
        </w:rPr>
        <w:t>Dans le cas du Kenya, la Constitution de 2010 interdit spécifiquement la discrimination sur la base du handicap et demande que le</w:t>
      </w:r>
    </w:p>
    <w:p>
      <w:pPr>
        <w:pStyle w:val="BodyText"/>
        <w:rPr>
          <w:b w:val="0"/>
          <w:sz w:val="20"/>
        </w:rPr>
      </w:pPr>
    </w:p>
    <w:p>
      <w:pPr>
        <w:pStyle w:val="BodyText"/>
        <w:spacing w:before="7"/>
        <w:rPr>
          <w:b w:val="0"/>
          <w:sz w:val="10"/>
        </w:rPr>
      </w:pPr>
      <w:r>
        <w:rPr/>
        <w:pict>
          <v:line style="position:absolute;mso-position-horizontal-relative:page;mso-position-vertical-relative:paragraph;z-index:2080;mso-wrap-distance-left:0;mso-wrap-distance-right:0" from="144.566895pt,8.507350pt" to="243.779895pt,8.507350pt" stroked="true" strokeweight=".5pt" strokecolor="#231f20">
            <w10:wrap type="topAndBottom"/>
          </v:line>
        </w:pict>
      </w:r>
    </w:p>
    <w:p>
      <w:pPr>
        <w:tabs>
          <w:tab w:pos="3151" w:val="left" w:leader="none"/>
        </w:tabs>
        <w:spacing w:line="180" w:lineRule="exact" w:before="87"/>
        <w:ind w:left="3151" w:right="116" w:hanging="260"/>
        <w:jc w:val="left"/>
        <w:rPr>
          <w:b w:val="0"/>
          <w:sz w:val="17"/>
        </w:rPr>
      </w:pPr>
      <w:r>
        <w:rPr>
          <w:b w:val="0"/>
          <w:color w:val="231F20"/>
          <w:position w:val="6"/>
          <w:sz w:val="10"/>
        </w:rPr>
        <w:t>2</w:t>
        <w:tab/>
      </w:r>
      <w:r>
        <w:rPr>
          <w:b w:val="0"/>
          <w:color w:val="231F20"/>
          <w:spacing w:val="-3"/>
          <w:sz w:val="17"/>
        </w:rPr>
        <w:t>Voir, </w:t>
      </w:r>
      <w:r>
        <w:rPr>
          <w:b w:val="0"/>
          <w:color w:val="231F20"/>
          <w:sz w:val="17"/>
        </w:rPr>
        <w:t>par exemple, l’Espagne (CRPD/C/ESP/CO/1), la Hongrie (CRPD/C/HUN/CO/1), la</w:t>
      </w:r>
      <w:r>
        <w:rPr>
          <w:b w:val="0"/>
          <w:color w:val="231F20"/>
          <w:spacing w:val="-12"/>
          <w:sz w:val="17"/>
        </w:rPr>
        <w:t> </w:t>
      </w:r>
      <w:r>
        <w:rPr>
          <w:b w:val="0"/>
          <w:color w:val="231F20"/>
          <w:sz w:val="17"/>
        </w:rPr>
        <w:t>Chine</w:t>
      </w:r>
      <w:r>
        <w:rPr>
          <w:b w:val="0"/>
          <w:color w:val="231F20"/>
          <w:spacing w:val="-2"/>
          <w:sz w:val="17"/>
        </w:rPr>
        <w:t> </w:t>
      </w:r>
      <w:r>
        <w:rPr>
          <w:b w:val="0"/>
          <w:color w:val="231F20"/>
          <w:sz w:val="17"/>
        </w:rPr>
        <w:t>(CRPD/C/CHN/CO/1), </w:t>
      </w:r>
      <w:r>
        <w:rPr>
          <w:b w:val="0"/>
          <w:color w:val="231F20"/>
          <w:spacing w:val="-1"/>
          <w:sz w:val="17"/>
        </w:rPr>
        <w:t>l’Australie</w:t>
      </w:r>
      <w:r>
        <w:rPr>
          <w:b w:val="0"/>
          <w:color w:val="231F20"/>
          <w:spacing w:val="-14"/>
          <w:sz w:val="17"/>
        </w:rPr>
        <w:t> </w:t>
      </w:r>
      <w:r>
        <w:rPr>
          <w:b w:val="0"/>
          <w:color w:val="231F20"/>
          <w:sz w:val="17"/>
        </w:rPr>
        <w:t>(CRPD/C/AUS/CO/1).</w:t>
      </w:r>
    </w:p>
    <w:p>
      <w:pPr>
        <w:tabs>
          <w:tab w:pos="3151" w:val="left" w:leader="none"/>
        </w:tabs>
        <w:spacing w:before="41"/>
        <w:ind w:left="2891" w:right="175" w:firstLine="0"/>
        <w:jc w:val="left"/>
        <w:rPr>
          <w:b w:val="0"/>
          <w:sz w:val="17"/>
        </w:rPr>
      </w:pPr>
      <w:r>
        <w:rPr>
          <w:b w:val="0"/>
          <w:color w:val="231F20"/>
          <w:position w:val="6"/>
          <w:sz w:val="10"/>
        </w:rPr>
        <w:t>3</w:t>
        <w:tab/>
      </w:r>
      <w:r>
        <w:rPr>
          <w:b w:val="0"/>
          <w:color w:val="231F20"/>
          <w:sz w:val="17"/>
        </w:rPr>
        <w:t>CRPD/C/KEN/CO/1, paragr.</w:t>
      </w:r>
      <w:r>
        <w:rPr>
          <w:b w:val="0"/>
          <w:color w:val="231F20"/>
          <w:spacing w:val="-13"/>
          <w:sz w:val="17"/>
        </w:rPr>
        <w:t> </w:t>
      </w:r>
      <w:r>
        <w:rPr>
          <w:b w:val="0"/>
          <w:color w:val="231F20"/>
          <w:sz w:val="17"/>
        </w:rPr>
        <w:t>35.</w:t>
      </w:r>
    </w:p>
    <w:p>
      <w:pPr>
        <w:pStyle w:val="BodyText"/>
        <w:spacing w:before="3"/>
        <w:rPr>
          <w:b w:val="0"/>
          <w:sz w:val="29"/>
        </w:rPr>
      </w:pPr>
    </w:p>
    <w:p>
      <w:pPr>
        <w:spacing w:before="117"/>
        <w:ind w:left="2891" w:right="175"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10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248" coordorigin="9241,0" coordsize="2665,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99D25" w:color="auto" w:val="clear"/>
                      </w:rPr>
                      <w:t> </w:t>
                    </w:r>
                    <w:r>
                      <w:rPr>
                        <w:rFonts w:ascii="Myriad Pro"/>
                        <w:color w:val="FFFFFF"/>
                        <w:sz w:val="26"/>
                        <w:shd w:fill="F99D25" w:color="auto" w:val="clear"/>
                      </w:rPr>
                      <w:t>7</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1"/>
        </w:rPr>
      </w:pPr>
    </w:p>
    <w:p>
      <w:pPr>
        <w:pStyle w:val="BodyText"/>
        <w:spacing w:line="266" w:lineRule="auto" w:before="69"/>
        <w:ind w:left="113" w:right="2929"/>
        <w:rPr>
          <w:b w:val="0"/>
          <w:sz w:val="13"/>
        </w:rPr>
      </w:pPr>
      <w:r>
        <w:rPr>
          <w:b w:val="0"/>
          <w:color w:val="231F20"/>
        </w:rPr>
        <w:t>vote tienne compte des besoins des personnes handicapées.</w:t>
      </w:r>
      <w:r>
        <w:rPr>
          <w:b w:val="0"/>
          <w:color w:val="231F20"/>
          <w:position w:val="7"/>
          <w:sz w:val="13"/>
        </w:rPr>
        <w:t>4 </w:t>
      </w:r>
      <w:r>
        <w:rPr>
          <w:b w:val="0"/>
          <w:color w:val="231F20"/>
        </w:rPr>
        <w:t>Cependant, elle interdit aussi aux personnes « jugées atteintes dans leurs facultés mentales » de s’inscrire sur les listes électorales ou d’être élues au Parlement.</w:t>
      </w:r>
      <w:r>
        <w:rPr>
          <w:b w:val="0"/>
          <w:color w:val="231F20"/>
          <w:position w:val="7"/>
          <w:sz w:val="13"/>
        </w:rPr>
        <w:t>5 </w:t>
      </w:r>
      <w:r>
        <w:rPr>
          <w:b w:val="0"/>
          <w:color w:val="231F20"/>
        </w:rPr>
        <w:t>Le comité a recommandé en 2015 que le Kenya « abroge les dispositions constitutionnelles qui restreignent le droit des personnes handicapées d’être élues membres du Parlement et de voter, sur la base de l’égalité avec les autres ».</w:t>
      </w:r>
      <w:r>
        <w:rPr>
          <w:b w:val="0"/>
          <w:color w:val="231F20"/>
          <w:position w:val="7"/>
          <w:sz w:val="13"/>
        </w:rPr>
        <w:t>6</w:t>
      </w:r>
    </w:p>
    <w:p>
      <w:pPr>
        <w:pStyle w:val="BodyText"/>
        <w:spacing w:line="266" w:lineRule="auto" w:before="114"/>
        <w:ind w:left="113" w:right="2872"/>
        <w:rPr>
          <w:b w:val="0"/>
        </w:rPr>
      </w:pPr>
      <w:r>
        <w:rPr>
          <w:b w:val="0"/>
          <w:color w:val="231F20"/>
        </w:rPr>
        <w:t>La Commission africaine des droits de l’homme et des peuples a également traité le problème de la capacité juridique dans le contexte de la participation politique. En Gambie, la Constitution prévoit que « chaque citoyen de la Gambie majeur et ayant pleine capacité juridique » peut voter, se présenter à une élection et avoir un accès égal au service public.</w:t>
      </w:r>
      <w:r>
        <w:rPr>
          <w:b w:val="0"/>
          <w:color w:val="231F20"/>
          <w:position w:val="7"/>
          <w:sz w:val="13"/>
        </w:rPr>
        <w:t>7 </w:t>
      </w:r>
      <w:r>
        <w:rPr>
          <w:b w:val="0"/>
          <w:color w:val="231F20"/>
        </w:rPr>
        <w:t>Dans l’affaire </w:t>
      </w:r>
      <w:r>
        <w:rPr>
          <w:b w:val="0"/>
          <w:i/>
          <w:color w:val="231F20"/>
        </w:rPr>
        <w:t>Purohit &amp; Moore contre </w:t>
      </w:r>
      <w:r>
        <w:rPr>
          <w:b w:val="0"/>
          <w:color w:val="231F20"/>
        </w:rPr>
        <w:t>la Gambie, la Commission africaine des droits de l’homme a interprété l’article 13 de la Charte africaine par rapport aux personnes handicapées en Gambie, montrant que le droit à la participation politique des personnes handicapées n’est pas soumis à une exclusion arbitraire.</w:t>
      </w:r>
    </w:p>
    <w:p>
      <w:pPr>
        <w:pStyle w:val="BodyText"/>
        <w:spacing w:before="6"/>
        <w:rPr>
          <w:b w:val="0"/>
          <w:sz w:val="13"/>
        </w:rPr>
      </w:pPr>
      <w:r>
        <w:rPr/>
        <w:pict>
          <v:group style="position:absolute;margin-left:56.192902pt;margin-top:9.995846pt;width:395.05pt;height:202.05pt;mso-position-horizontal-relative:page;mso-position-vertical-relative:paragraph;z-index:2176;mso-wrap-distance-left:0;mso-wrap-distance-right:0" coordorigin="1124,200" coordsize="7901,4041">
            <v:rect style="position:absolute;left:1134;top:200;width:7880;height:363" filled="true" fillcolor="#f99d25" stroked="false">
              <v:fill type="solid"/>
            </v:rect>
            <v:rect style="position:absolute;left:1134;top:563;width:7880;height:3667" filled="true" fillcolor="#fff2e3" stroked="false">
              <v:fill type="solid"/>
            </v:rect>
            <v:line style="position:absolute" from="1134,4230" to="9014,4230" stroked="true" strokeweight="1pt" strokecolor="#f99d25"/>
            <v:shape style="position:absolute;left:1124;top:200;width:7901;height:4041" type="#_x0000_t202" filled="false" stroked="false">
              <v:textbox inset="0,0,0,0">
                <w:txbxContent>
                  <w:p>
                    <w:pPr>
                      <w:spacing w:before="32"/>
                      <w:ind w:left="2292" w:right="-6" w:firstLine="0"/>
                      <w:jc w:val="left"/>
                      <w:rPr>
                        <w:rFonts w:ascii="Myriad Pro"/>
                        <w:b/>
                        <w:sz w:val="22"/>
                      </w:rPr>
                    </w:pPr>
                    <w:r>
                      <w:rPr>
                        <w:rFonts w:ascii="Myriad Pro"/>
                        <w:b/>
                        <w:color w:val="FFFFFF"/>
                        <w:sz w:val="22"/>
                      </w:rPr>
                      <w:t>Purohit &amp; Moore contre la Gambie</w:t>
                    </w:r>
                  </w:p>
                  <w:p>
                    <w:pPr>
                      <w:spacing w:line="259" w:lineRule="auto" w:before="188"/>
                      <w:ind w:left="180" w:right="208" w:firstLine="0"/>
                      <w:jc w:val="left"/>
                      <w:rPr>
                        <w:rFonts w:ascii="Myriad Pro" w:hAnsi="Myriad Pro"/>
                        <w:sz w:val="20"/>
                      </w:rPr>
                    </w:pPr>
                    <w:r>
                      <w:rPr>
                        <w:rFonts w:ascii="Myriad Pro" w:hAnsi="Myriad Pro"/>
                        <w:color w:val="231F20"/>
                        <w:spacing w:val="-4"/>
                        <w:sz w:val="20"/>
                      </w:rPr>
                      <w:t>Cette </w:t>
                    </w:r>
                    <w:r>
                      <w:rPr>
                        <w:rFonts w:ascii="Myriad Pro" w:hAnsi="Myriad Pro"/>
                        <w:color w:val="231F20"/>
                        <w:spacing w:val="-3"/>
                        <w:sz w:val="20"/>
                      </w:rPr>
                      <w:t>affaire, engagée </w:t>
                    </w:r>
                    <w:r>
                      <w:rPr>
                        <w:rFonts w:ascii="Myriad Pro" w:hAnsi="Myriad Pro"/>
                        <w:color w:val="231F20"/>
                        <w:sz w:val="20"/>
                      </w:rPr>
                      <w:t>par des </w:t>
                    </w:r>
                    <w:r>
                      <w:rPr>
                        <w:rFonts w:ascii="Myriad Pro" w:hAnsi="Myriad Pro"/>
                        <w:color w:val="231F20"/>
                        <w:spacing w:val="-3"/>
                        <w:sz w:val="20"/>
                      </w:rPr>
                      <w:t>défenseurs </w:t>
                    </w:r>
                    <w:r>
                      <w:rPr>
                        <w:rFonts w:ascii="Myriad Pro" w:hAnsi="Myriad Pro"/>
                        <w:color w:val="231F20"/>
                        <w:sz w:val="20"/>
                      </w:rPr>
                      <w:t>des </w:t>
                    </w:r>
                    <w:r>
                      <w:rPr>
                        <w:rFonts w:ascii="Myriad Pro" w:hAnsi="Myriad Pro"/>
                        <w:color w:val="231F20"/>
                        <w:spacing w:val="-3"/>
                        <w:sz w:val="20"/>
                      </w:rPr>
                      <w:t>malades mentaux </w:t>
                    </w:r>
                    <w:r>
                      <w:rPr>
                        <w:rFonts w:ascii="Myriad Pro" w:hAnsi="Myriad Pro"/>
                        <w:color w:val="231F20"/>
                        <w:sz w:val="20"/>
                      </w:rPr>
                      <w:t>au nom de </w:t>
                    </w:r>
                    <w:r>
                      <w:rPr>
                        <w:rFonts w:ascii="Myriad Pro" w:hAnsi="Myriad Pro"/>
                        <w:color w:val="231F20"/>
                        <w:spacing w:val="-3"/>
                        <w:sz w:val="20"/>
                      </w:rPr>
                      <w:t>patients </w:t>
                    </w:r>
                    <w:r>
                      <w:rPr>
                        <w:rFonts w:ascii="Myriad Pro" w:hAnsi="Myriad Pro"/>
                        <w:color w:val="231F20"/>
                        <w:spacing w:val="-4"/>
                        <w:sz w:val="20"/>
                      </w:rPr>
                      <w:t>détenus </w:t>
                    </w:r>
                    <w:r>
                      <w:rPr>
                        <w:rFonts w:ascii="Myriad Pro" w:hAnsi="Myriad Pro"/>
                        <w:color w:val="231F20"/>
                        <w:sz w:val="20"/>
                      </w:rPr>
                      <w:t>à </w:t>
                    </w:r>
                    <w:r>
                      <w:rPr>
                        <w:rFonts w:ascii="Myriad Pro" w:hAnsi="Myriad Pro"/>
                        <w:color w:val="231F20"/>
                        <w:spacing w:val="-3"/>
                        <w:sz w:val="20"/>
                      </w:rPr>
                      <w:t>Campama, </w:t>
                    </w:r>
                    <w:r>
                      <w:rPr>
                        <w:rFonts w:ascii="Myriad Pro" w:hAnsi="Myriad Pro"/>
                        <w:color w:val="231F20"/>
                        <w:sz w:val="20"/>
                      </w:rPr>
                      <w:t>une </w:t>
                    </w:r>
                    <w:r>
                      <w:rPr>
                        <w:rFonts w:ascii="Myriad Pro" w:hAnsi="Myriad Pro"/>
                        <w:color w:val="231F20"/>
                        <w:spacing w:val="-3"/>
                        <w:sz w:val="20"/>
                      </w:rPr>
                      <w:t>unité psychiatrique </w:t>
                    </w:r>
                    <w:r>
                      <w:rPr>
                        <w:rFonts w:ascii="Myriad Pro" w:hAnsi="Myriad Pro"/>
                        <w:color w:val="231F20"/>
                        <w:sz w:val="20"/>
                      </w:rPr>
                      <w:t>de </w:t>
                    </w:r>
                    <w:r>
                      <w:rPr>
                        <w:rFonts w:ascii="Myriad Pro" w:hAnsi="Myriad Pro"/>
                        <w:color w:val="231F20"/>
                        <w:spacing w:val="-3"/>
                        <w:sz w:val="20"/>
                      </w:rPr>
                      <w:t>l’hôpital Royal </w:t>
                    </w:r>
                    <w:r>
                      <w:rPr>
                        <w:rFonts w:ascii="Myriad Pro" w:hAnsi="Myriad Pro"/>
                        <w:color w:val="231F20"/>
                        <w:spacing w:val="-4"/>
                        <w:sz w:val="20"/>
                      </w:rPr>
                      <w:t>Victoria </w:t>
                    </w:r>
                    <w:r>
                      <w:rPr>
                        <w:rFonts w:ascii="Myriad Pro" w:hAnsi="Myriad Pro"/>
                        <w:color w:val="231F20"/>
                        <w:sz w:val="20"/>
                      </w:rPr>
                      <w:t>en </w:t>
                    </w:r>
                    <w:r>
                      <w:rPr>
                        <w:rFonts w:ascii="Myriad Pro" w:hAnsi="Myriad Pro"/>
                        <w:color w:val="231F20"/>
                        <w:spacing w:val="-3"/>
                        <w:sz w:val="20"/>
                      </w:rPr>
                      <w:t>Gambie, </w:t>
                    </w:r>
                    <w:r>
                      <w:rPr>
                        <w:rFonts w:ascii="Myriad Pro" w:hAnsi="Myriad Pro"/>
                        <w:color w:val="231F20"/>
                        <w:spacing w:val="-4"/>
                        <w:sz w:val="20"/>
                      </w:rPr>
                      <w:t>comprenait </w:t>
                    </w:r>
                    <w:r>
                      <w:rPr>
                        <w:rFonts w:ascii="Myriad Pro" w:hAnsi="Myriad Pro"/>
                        <w:color w:val="231F20"/>
                        <w:spacing w:val="-3"/>
                        <w:sz w:val="20"/>
                      </w:rPr>
                      <w:t>une plainte selon laquelle </w:t>
                    </w:r>
                    <w:r>
                      <w:rPr>
                        <w:rFonts w:ascii="Myriad Pro" w:hAnsi="Myriad Pro"/>
                        <w:color w:val="231F20"/>
                        <w:sz w:val="20"/>
                      </w:rPr>
                      <w:t>les </w:t>
                    </w:r>
                    <w:r>
                      <w:rPr>
                        <w:rFonts w:ascii="Myriad Pro" w:hAnsi="Myriad Pro"/>
                        <w:color w:val="231F20"/>
                        <w:spacing w:val="-3"/>
                        <w:sz w:val="20"/>
                      </w:rPr>
                      <w:t>patients détenus dans l’unité </w:t>
                    </w:r>
                    <w:r>
                      <w:rPr>
                        <w:rFonts w:ascii="Myriad Pro" w:hAnsi="Myriad Pro"/>
                        <w:color w:val="231F20"/>
                        <w:spacing w:val="-6"/>
                        <w:sz w:val="20"/>
                      </w:rPr>
                      <w:t>n’étaient </w:t>
                    </w:r>
                    <w:r>
                      <w:rPr>
                        <w:rFonts w:ascii="Myriad Pro" w:hAnsi="Myriad Pro"/>
                        <w:color w:val="231F20"/>
                        <w:sz w:val="20"/>
                      </w:rPr>
                      <w:t>pas </w:t>
                    </w:r>
                    <w:r>
                      <w:rPr>
                        <w:rFonts w:ascii="Myriad Pro" w:hAnsi="Myriad Pro"/>
                        <w:color w:val="231F20"/>
                        <w:spacing w:val="-3"/>
                        <w:sz w:val="20"/>
                      </w:rPr>
                      <w:t>autorisés </w:t>
                    </w:r>
                    <w:r>
                      <w:rPr>
                        <w:rFonts w:ascii="Myriad Pro" w:hAnsi="Myriad Pro"/>
                        <w:color w:val="231F20"/>
                        <w:sz w:val="20"/>
                      </w:rPr>
                      <w:t>à </w:t>
                    </w:r>
                    <w:r>
                      <w:rPr>
                        <w:rFonts w:ascii="Myriad Pro" w:hAnsi="Myriad Pro"/>
                        <w:color w:val="231F20"/>
                        <w:spacing w:val="-5"/>
                        <w:sz w:val="20"/>
                      </w:rPr>
                      <w:t>voter. </w:t>
                    </w:r>
                    <w:r>
                      <w:rPr>
                        <w:rFonts w:ascii="Myriad Pro" w:hAnsi="Myriad Pro"/>
                        <w:color w:val="231F20"/>
                        <w:spacing w:val="-3"/>
                        <w:sz w:val="20"/>
                      </w:rPr>
                      <w:t>Dans </w:t>
                    </w:r>
                    <w:r>
                      <w:rPr>
                        <w:rFonts w:ascii="Myriad Pro" w:hAnsi="Myriad Pro"/>
                        <w:color w:val="231F20"/>
                        <w:sz w:val="20"/>
                      </w:rPr>
                      <w:t>son </w:t>
                    </w:r>
                    <w:r>
                      <w:rPr>
                        <w:rFonts w:ascii="Myriad Pro" w:hAnsi="Myriad Pro"/>
                        <w:color w:val="231F20"/>
                        <w:spacing w:val="-3"/>
                        <w:sz w:val="20"/>
                      </w:rPr>
                      <w:t>jugement, </w:t>
                    </w:r>
                    <w:r>
                      <w:rPr>
                        <w:rFonts w:ascii="Myriad Pro" w:hAnsi="Myriad Pro"/>
                        <w:color w:val="231F20"/>
                        <w:sz w:val="20"/>
                      </w:rPr>
                      <w:t>la </w:t>
                    </w:r>
                    <w:r>
                      <w:rPr>
                        <w:rFonts w:ascii="Myriad Pro" w:hAnsi="Myriad Pro"/>
                        <w:color w:val="231F20"/>
                        <w:spacing w:val="-3"/>
                        <w:sz w:val="20"/>
                      </w:rPr>
                      <w:t>Commission </w:t>
                    </w:r>
                    <w:r>
                      <w:rPr>
                        <w:rFonts w:ascii="Myriad Pro" w:hAnsi="Myriad Pro"/>
                        <w:color w:val="231F20"/>
                        <w:sz w:val="20"/>
                      </w:rPr>
                      <w:t>a </w:t>
                    </w:r>
                    <w:r>
                      <w:rPr>
                        <w:rFonts w:ascii="Myriad Pro" w:hAnsi="Myriad Pro"/>
                        <w:color w:val="231F20"/>
                        <w:spacing w:val="-3"/>
                        <w:sz w:val="20"/>
                      </w:rPr>
                      <w:t>noté </w:t>
                    </w:r>
                    <w:r>
                      <w:rPr>
                        <w:rFonts w:ascii="Myriad Pro" w:hAnsi="Myriad Pro"/>
                        <w:color w:val="231F20"/>
                        <w:sz w:val="20"/>
                      </w:rPr>
                      <w:t>que « </w:t>
                    </w:r>
                    <w:r>
                      <w:rPr>
                        <w:rFonts w:ascii="Myriad Pro" w:hAnsi="Myriad Pro"/>
                        <w:color w:val="231F20"/>
                        <w:spacing w:val="-3"/>
                        <w:sz w:val="20"/>
                      </w:rPr>
                      <w:t>dans </w:t>
                    </w:r>
                    <w:r>
                      <w:rPr>
                        <w:rFonts w:ascii="Myriad Pro" w:hAnsi="Myriad Pro"/>
                        <w:color w:val="231F20"/>
                        <w:sz w:val="20"/>
                      </w:rPr>
                      <w:t>ses </w:t>
                    </w:r>
                    <w:r>
                      <w:rPr>
                        <w:rFonts w:ascii="Myriad Pro" w:hAnsi="Myriad Pro"/>
                        <w:color w:val="231F20"/>
                        <w:spacing w:val="-4"/>
                        <w:sz w:val="20"/>
                      </w:rPr>
                      <w:t>premières conclusions, </w:t>
                    </w:r>
                    <w:r>
                      <w:rPr>
                        <w:rFonts w:ascii="Myriad Pro" w:hAnsi="Myriad Pro"/>
                        <w:color w:val="231F20"/>
                        <w:spacing w:val="-3"/>
                        <w:sz w:val="20"/>
                      </w:rPr>
                      <w:t>l’État </w:t>
                    </w:r>
                    <w:r>
                      <w:rPr>
                        <w:rFonts w:ascii="Myriad Pro" w:hAnsi="Myriad Pro"/>
                        <w:color w:val="231F20"/>
                        <w:spacing w:val="-4"/>
                        <w:sz w:val="20"/>
                      </w:rPr>
                      <w:t>défendeur reconnaît</w:t>
                    </w:r>
                    <w:r>
                      <w:rPr>
                        <w:rFonts w:ascii="Myriad Pro" w:hAnsi="Myriad Pro"/>
                        <w:color w:val="231F20"/>
                        <w:spacing w:val="-6"/>
                        <w:sz w:val="20"/>
                      </w:rPr>
                      <w:t> </w:t>
                    </w:r>
                    <w:r>
                      <w:rPr>
                        <w:rFonts w:ascii="Myriad Pro" w:hAnsi="Myriad Pro"/>
                        <w:color w:val="231F20"/>
                        <w:sz w:val="20"/>
                      </w:rPr>
                      <w:t>que</w:t>
                    </w:r>
                    <w:r>
                      <w:rPr>
                        <w:rFonts w:ascii="Myriad Pro" w:hAnsi="Myriad Pro"/>
                        <w:color w:val="231F20"/>
                        <w:spacing w:val="-6"/>
                        <w:sz w:val="20"/>
                      </w:rPr>
                      <w:t> </w:t>
                    </w:r>
                    <w:r>
                      <w:rPr>
                        <w:rFonts w:ascii="Myriad Pro" w:hAnsi="Myriad Pro"/>
                        <w:color w:val="231F20"/>
                        <w:sz w:val="20"/>
                      </w:rPr>
                      <w:t>les</w:t>
                    </w:r>
                    <w:r>
                      <w:rPr>
                        <w:rFonts w:ascii="Myriad Pro" w:hAnsi="Myriad Pro"/>
                        <w:color w:val="231F20"/>
                        <w:spacing w:val="-6"/>
                        <w:sz w:val="20"/>
                      </w:rPr>
                      <w:t> </w:t>
                    </w:r>
                    <w:r>
                      <w:rPr>
                        <w:rFonts w:ascii="Myriad Pro" w:hAnsi="Myriad Pro"/>
                        <w:color w:val="231F20"/>
                        <w:spacing w:val="-3"/>
                        <w:sz w:val="20"/>
                      </w:rPr>
                      <w:t>personnes</w:t>
                    </w:r>
                    <w:r>
                      <w:rPr>
                        <w:rFonts w:ascii="Myriad Pro" w:hAnsi="Myriad Pro"/>
                        <w:color w:val="231F20"/>
                        <w:spacing w:val="-6"/>
                        <w:sz w:val="20"/>
                      </w:rPr>
                      <w:t> </w:t>
                    </w:r>
                    <w:r>
                      <w:rPr>
                        <w:rFonts w:ascii="Myriad Pro" w:hAnsi="Myriad Pro"/>
                        <w:color w:val="231F20"/>
                        <w:spacing w:val="-3"/>
                        <w:sz w:val="20"/>
                      </w:rPr>
                      <w:t>internées</w:t>
                    </w:r>
                    <w:r>
                      <w:rPr>
                        <w:rFonts w:ascii="Myriad Pro" w:hAnsi="Myriad Pro"/>
                        <w:color w:val="231F20"/>
                        <w:spacing w:val="-6"/>
                        <w:sz w:val="20"/>
                      </w:rPr>
                      <w:t> </w:t>
                    </w:r>
                    <w:r>
                      <w:rPr>
                        <w:rFonts w:ascii="Myriad Pro" w:hAnsi="Myriad Pro"/>
                        <w:color w:val="231F20"/>
                        <w:sz w:val="20"/>
                      </w:rPr>
                      <w:t>à</w:t>
                    </w:r>
                    <w:r>
                      <w:rPr>
                        <w:rFonts w:ascii="Myriad Pro" w:hAnsi="Myriad Pro"/>
                        <w:color w:val="231F20"/>
                        <w:spacing w:val="-6"/>
                        <w:sz w:val="20"/>
                      </w:rPr>
                      <w:t> </w:t>
                    </w:r>
                    <w:r>
                      <w:rPr>
                        <w:rFonts w:ascii="Myriad Pro" w:hAnsi="Myriad Pro"/>
                        <w:color w:val="231F20"/>
                        <w:spacing w:val="-3"/>
                        <w:sz w:val="20"/>
                      </w:rPr>
                      <w:t>Campama</w:t>
                    </w:r>
                    <w:r>
                      <w:rPr>
                        <w:rFonts w:ascii="Myriad Pro" w:hAnsi="Myriad Pro"/>
                        <w:color w:val="231F20"/>
                        <w:spacing w:val="-6"/>
                        <w:sz w:val="20"/>
                      </w:rPr>
                      <w:t> </w:t>
                    </w:r>
                    <w:r>
                      <w:rPr>
                        <w:rFonts w:ascii="Myriad Pro" w:hAnsi="Myriad Pro"/>
                        <w:color w:val="231F20"/>
                        <w:spacing w:val="-8"/>
                        <w:sz w:val="20"/>
                      </w:rPr>
                      <w:t>n’ont</w:t>
                    </w:r>
                    <w:r>
                      <w:rPr>
                        <w:rFonts w:ascii="Myriad Pro" w:hAnsi="Myriad Pro"/>
                        <w:color w:val="231F20"/>
                        <w:spacing w:val="-6"/>
                        <w:sz w:val="20"/>
                      </w:rPr>
                      <w:t> </w:t>
                    </w:r>
                    <w:r>
                      <w:rPr>
                        <w:rFonts w:ascii="Myriad Pro" w:hAnsi="Myriad Pro"/>
                        <w:color w:val="231F20"/>
                        <w:sz w:val="20"/>
                      </w:rPr>
                      <w:t>pas</w:t>
                    </w:r>
                    <w:r>
                      <w:rPr>
                        <w:rFonts w:ascii="Myriad Pro" w:hAnsi="Myriad Pro"/>
                        <w:color w:val="231F20"/>
                        <w:spacing w:val="-6"/>
                        <w:sz w:val="20"/>
                      </w:rPr>
                      <w:t> </w:t>
                    </w:r>
                    <w:r>
                      <w:rPr>
                        <w:rFonts w:ascii="Myriad Pro" w:hAnsi="Myriad Pro"/>
                        <w:color w:val="231F20"/>
                        <w:sz w:val="20"/>
                      </w:rPr>
                      <w:t>le</w:t>
                    </w:r>
                    <w:r>
                      <w:rPr>
                        <w:rFonts w:ascii="Myriad Pro" w:hAnsi="Myriad Pro"/>
                        <w:color w:val="231F20"/>
                        <w:spacing w:val="-6"/>
                        <w:sz w:val="20"/>
                      </w:rPr>
                      <w:t> </w:t>
                    </w:r>
                    <w:r>
                      <w:rPr>
                        <w:rFonts w:ascii="Myriad Pro" w:hAnsi="Myriad Pro"/>
                        <w:color w:val="231F20"/>
                        <w:spacing w:val="-3"/>
                        <w:sz w:val="20"/>
                      </w:rPr>
                      <w:t>droit</w:t>
                    </w:r>
                    <w:r>
                      <w:rPr>
                        <w:rFonts w:ascii="Myriad Pro" w:hAnsi="Myriad Pro"/>
                        <w:color w:val="231F20"/>
                        <w:spacing w:val="-6"/>
                        <w:sz w:val="20"/>
                      </w:rPr>
                      <w:t> </w:t>
                    </w:r>
                    <w:r>
                      <w:rPr>
                        <w:rFonts w:ascii="Myriad Pro" w:hAnsi="Myriad Pro"/>
                        <w:color w:val="231F20"/>
                        <w:sz w:val="20"/>
                      </w:rPr>
                      <w:t>de</w:t>
                    </w:r>
                    <w:r>
                      <w:rPr>
                        <w:rFonts w:ascii="Myriad Pro" w:hAnsi="Myriad Pro"/>
                        <w:color w:val="231F20"/>
                        <w:spacing w:val="-6"/>
                        <w:sz w:val="20"/>
                      </w:rPr>
                      <w:t> </w:t>
                    </w:r>
                    <w:r>
                      <w:rPr>
                        <w:rFonts w:ascii="Myriad Pro" w:hAnsi="Myriad Pro"/>
                        <w:color w:val="231F20"/>
                        <w:spacing w:val="-4"/>
                        <w:sz w:val="20"/>
                      </w:rPr>
                      <w:t>vote</w:t>
                    </w:r>
                    <w:r>
                      <w:rPr>
                        <w:rFonts w:ascii="Myriad Pro" w:hAnsi="Myriad Pro"/>
                        <w:color w:val="231F20"/>
                        <w:spacing w:val="-6"/>
                        <w:sz w:val="20"/>
                      </w:rPr>
                      <w:t> </w:t>
                    </w:r>
                    <w:r>
                      <w:rPr>
                        <w:rFonts w:ascii="Myriad Pro" w:hAnsi="Myriad Pro"/>
                        <w:color w:val="231F20"/>
                        <w:spacing w:val="-4"/>
                        <w:sz w:val="20"/>
                      </w:rPr>
                      <w:t>parce</w:t>
                    </w:r>
                    <w:r>
                      <w:rPr>
                        <w:rFonts w:ascii="Myriad Pro" w:hAnsi="Myriad Pro"/>
                        <w:color w:val="231F20"/>
                        <w:spacing w:val="-6"/>
                        <w:sz w:val="20"/>
                      </w:rPr>
                      <w:t> </w:t>
                    </w:r>
                    <w:r>
                      <w:rPr>
                        <w:rFonts w:ascii="Myriad Pro" w:hAnsi="Myriad Pro"/>
                        <w:color w:val="231F20"/>
                        <w:spacing w:val="-5"/>
                        <w:sz w:val="20"/>
                      </w:rPr>
                      <w:t>qu’il</w:t>
                    </w:r>
                    <w:r>
                      <w:rPr>
                        <w:rFonts w:ascii="Myriad Pro" w:hAnsi="Myriad Pro"/>
                        <w:color w:val="231F20"/>
                        <w:spacing w:val="-6"/>
                        <w:sz w:val="20"/>
                      </w:rPr>
                      <w:t> </w:t>
                    </w:r>
                    <w:r>
                      <w:rPr>
                        <w:rFonts w:ascii="Myriad Pro" w:hAnsi="Myriad Pro"/>
                        <w:color w:val="231F20"/>
                        <w:spacing w:val="-3"/>
                        <w:sz w:val="20"/>
                      </w:rPr>
                      <w:t>estime </w:t>
                    </w:r>
                    <w:r>
                      <w:rPr>
                        <w:rFonts w:ascii="Myriad Pro" w:hAnsi="Myriad Pro"/>
                        <w:color w:val="231F20"/>
                        <w:sz w:val="20"/>
                      </w:rPr>
                      <w:t>que</w:t>
                    </w:r>
                    <w:r>
                      <w:rPr>
                        <w:rFonts w:ascii="Myriad Pro" w:hAnsi="Myriad Pro"/>
                        <w:color w:val="231F20"/>
                        <w:spacing w:val="-5"/>
                        <w:sz w:val="20"/>
                      </w:rPr>
                      <w:t> </w:t>
                    </w:r>
                    <w:r>
                      <w:rPr>
                        <w:rFonts w:ascii="Myriad Pro" w:hAnsi="Myriad Pro"/>
                        <w:color w:val="231F20"/>
                        <w:sz w:val="20"/>
                      </w:rPr>
                      <w:t>le</w:t>
                    </w:r>
                    <w:r>
                      <w:rPr>
                        <w:rFonts w:ascii="Myriad Pro" w:hAnsi="Myriad Pro"/>
                        <w:color w:val="231F20"/>
                        <w:spacing w:val="-5"/>
                        <w:sz w:val="20"/>
                      </w:rPr>
                      <w:t> </w:t>
                    </w:r>
                    <w:r>
                      <w:rPr>
                        <w:rFonts w:ascii="Myriad Pro" w:hAnsi="Myriad Pro"/>
                        <w:color w:val="231F20"/>
                        <w:spacing w:val="-3"/>
                        <w:sz w:val="20"/>
                      </w:rPr>
                      <w:t>fait</w:t>
                    </w:r>
                    <w:r>
                      <w:rPr>
                        <w:rFonts w:ascii="Myriad Pro" w:hAnsi="Myriad Pro"/>
                        <w:color w:val="231F20"/>
                        <w:spacing w:val="-5"/>
                        <w:sz w:val="20"/>
                      </w:rPr>
                      <w:t> </w:t>
                    </w:r>
                    <w:r>
                      <w:rPr>
                        <w:rFonts w:ascii="Myriad Pro" w:hAnsi="Myriad Pro"/>
                        <w:color w:val="231F20"/>
                        <w:spacing w:val="-4"/>
                        <w:sz w:val="20"/>
                      </w:rPr>
                      <w:t>d’autoriser</w:t>
                    </w:r>
                    <w:r>
                      <w:rPr>
                        <w:rFonts w:ascii="Myriad Pro" w:hAnsi="Myriad Pro"/>
                        <w:color w:val="231F20"/>
                        <w:spacing w:val="-5"/>
                        <w:sz w:val="20"/>
                      </w:rPr>
                      <w:t> </w:t>
                    </w:r>
                    <w:r>
                      <w:rPr>
                        <w:rFonts w:ascii="Myriad Pro" w:hAnsi="Myriad Pro"/>
                        <w:color w:val="231F20"/>
                        <w:sz w:val="20"/>
                      </w:rPr>
                      <w:t>les</w:t>
                    </w:r>
                    <w:r>
                      <w:rPr>
                        <w:rFonts w:ascii="Myriad Pro" w:hAnsi="Myriad Pro"/>
                        <w:color w:val="231F20"/>
                        <w:spacing w:val="-5"/>
                        <w:sz w:val="20"/>
                      </w:rPr>
                      <w:t> </w:t>
                    </w:r>
                    <w:r>
                      <w:rPr>
                        <w:rFonts w:ascii="Myriad Pro" w:hAnsi="Myriad Pro"/>
                        <w:color w:val="231F20"/>
                        <w:spacing w:val="-3"/>
                        <w:sz w:val="20"/>
                      </w:rPr>
                      <w:t>malades</w:t>
                    </w:r>
                    <w:r>
                      <w:rPr>
                        <w:rFonts w:ascii="Myriad Pro" w:hAnsi="Myriad Pro"/>
                        <w:color w:val="231F20"/>
                        <w:spacing w:val="-5"/>
                        <w:sz w:val="20"/>
                      </w:rPr>
                      <w:t> </w:t>
                    </w:r>
                    <w:r>
                      <w:rPr>
                        <w:rFonts w:ascii="Myriad Pro" w:hAnsi="Myriad Pro"/>
                        <w:color w:val="231F20"/>
                        <w:spacing w:val="-3"/>
                        <w:sz w:val="20"/>
                      </w:rPr>
                      <w:t>mentaux</w:t>
                    </w:r>
                    <w:r>
                      <w:rPr>
                        <w:rFonts w:ascii="Myriad Pro" w:hAnsi="Myriad Pro"/>
                        <w:color w:val="231F20"/>
                        <w:spacing w:val="-5"/>
                        <w:sz w:val="20"/>
                      </w:rPr>
                      <w:t> </w:t>
                    </w:r>
                    <w:r>
                      <w:rPr>
                        <w:rFonts w:ascii="Myriad Pro" w:hAnsi="Myriad Pro"/>
                        <w:color w:val="231F20"/>
                        <w:sz w:val="20"/>
                      </w:rPr>
                      <w:t>à</w:t>
                    </w:r>
                    <w:r>
                      <w:rPr>
                        <w:rFonts w:ascii="Myriad Pro" w:hAnsi="Myriad Pro"/>
                        <w:color w:val="231F20"/>
                        <w:spacing w:val="-5"/>
                        <w:sz w:val="20"/>
                      </w:rPr>
                      <w:t> </w:t>
                    </w:r>
                    <w:r>
                      <w:rPr>
                        <w:rFonts w:ascii="Myriad Pro" w:hAnsi="Myriad Pro"/>
                        <w:color w:val="231F20"/>
                        <w:spacing w:val="-4"/>
                        <w:sz w:val="20"/>
                      </w:rPr>
                      <w:t>voter</w:t>
                    </w:r>
                    <w:r>
                      <w:rPr>
                        <w:rFonts w:ascii="Myriad Pro" w:hAnsi="Myriad Pro"/>
                        <w:color w:val="231F20"/>
                        <w:spacing w:val="-5"/>
                        <w:sz w:val="20"/>
                      </w:rPr>
                      <w:t> </w:t>
                    </w:r>
                    <w:r>
                      <w:rPr>
                        <w:rFonts w:ascii="Myriad Pro" w:hAnsi="Myriad Pro"/>
                        <w:color w:val="231F20"/>
                        <w:spacing w:val="-3"/>
                        <w:sz w:val="20"/>
                      </w:rPr>
                      <w:t>exposerait</w:t>
                    </w:r>
                    <w:r>
                      <w:rPr>
                        <w:rFonts w:ascii="Myriad Pro" w:hAnsi="Myriad Pro"/>
                        <w:color w:val="231F20"/>
                        <w:spacing w:val="-5"/>
                        <w:sz w:val="20"/>
                      </w:rPr>
                      <w:t> </w:t>
                    </w:r>
                    <w:r>
                      <w:rPr>
                        <w:rFonts w:ascii="Myriad Pro" w:hAnsi="Myriad Pro"/>
                        <w:color w:val="231F20"/>
                        <w:sz w:val="20"/>
                      </w:rPr>
                      <w:t>les</w:t>
                    </w:r>
                    <w:r>
                      <w:rPr>
                        <w:rFonts w:ascii="Myriad Pro" w:hAnsi="Myriad Pro"/>
                        <w:color w:val="231F20"/>
                        <w:spacing w:val="-5"/>
                        <w:sz w:val="20"/>
                      </w:rPr>
                      <w:t> </w:t>
                    </w:r>
                    <w:r>
                      <w:rPr>
                        <w:rFonts w:ascii="Myriad Pro" w:hAnsi="Myriad Pro"/>
                        <w:color w:val="231F20"/>
                        <w:spacing w:val="-3"/>
                        <w:sz w:val="20"/>
                      </w:rPr>
                      <w:t>élections</w:t>
                    </w:r>
                    <w:r>
                      <w:rPr>
                        <w:rFonts w:ascii="Myriad Pro" w:hAnsi="Myriad Pro"/>
                        <w:color w:val="231F20"/>
                        <w:spacing w:val="-5"/>
                        <w:sz w:val="20"/>
                      </w:rPr>
                      <w:t> </w:t>
                    </w:r>
                    <w:r>
                      <w:rPr>
                        <w:rFonts w:ascii="Myriad Pro" w:hAnsi="Myriad Pro"/>
                        <w:color w:val="231F20"/>
                        <w:spacing w:val="-4"/>
                        <w:sz w:val="20"/>
                      </w:rPr>
                      <w:t>démocratiques</w:t>
                    </w:r>
                  </w:p>
                  <w:p>
                    <w:pPr>
                      <w:spacing w:line="259" w:lineRule="auto" w:before="0"/>
                      <w:ind w:left="180" w:right="143" w:firstLine="0"/>
                      <w:jc w:val="left"/>
                      <w:rPr>
                        <w:rFonts w:ascii="Myriad Pro" w:hAnsi="Myriad Pro"/>
                        <w:sz w:val="20"/>
                      </w:rPr>
                    </w:pPr>
                    <w:r>
                      <w:rPr>
                        <w:rFonts w:ascii="Myriad Pro" w:hAnsi="Myriad Pro"/>
                        <w:color w:val="231F20"/>
                        <w:sz w:val="20"/>
                      </w:rPr>
                      <w:t>du </w:t>
                    </w:r>
                    <w:r>
                      <w:rPr>
                        <w:rFonts w:ascii="Myriad Pro" w:hAnsi="Myriad Pro"/>
                        <w:color w:val="231F20"/>
                        <w:spacing w:val="-4"/>
                        <w:sz w:val="20"/>
                      </w:rPr>
                      <w:t>pays </w:t>
                    </w:r>
                    <w:r>
                      <w:rPr>
                        <w:rFonts w:ascii="Myriad Pro" w:hAnsi="Myriad Pro"/>
                        <w:color w:val="231F20"/>
                        <w:sz w:val="20"/>
                      </w:rPr>
                      <w:t>à </w:t>
                    </w:r>
                    <w:r>
                      <w:rPr>
                        <w:rFonts w:ascii="Myriad Pro" w:hAnsi="Myriad Pro"/>
                        <w:color w:val="231F20"/>
                        <w:spacing w:val="-3"/>
                        <w:sz w:val="20"/>
                      </w:rPr>
                      <w:t>beaucoup </w:t>
                    </w:r>
                    <w:r>
                      <w:rPr>
                        <w:rFonts w:ascii="Myriad Pro" w:hAnsi="Myriad Pro"/>
                        <w:color w:val="231F20"/>
                        <w:sz w:val="20"/>
                      </w:rPr>
                      <w:t>de </w:t>
                    </w:r>
                    <w:r>
                      <w:rPr>
                        <w:rFonts w:ascii="Myriad Pro" w:hAnsi="Myriad Pro"/>
                        <w:color w:val="231F20"/>
                        <w:spacing w:val="-4"/>
                        <w:sz w:val="20"/>
                      </w:rPr>
                      <w:t>controverses </w:t>
                    </w:r>
                    <w:r>
                      <w:rPr>
                        <w:rFonts w:ascii="Myriad Pro" w:hAnsi="Myriad Pro"/>
                        <w:color w:val="231F20"/>
                        <w:spacing w:val="-3"/>
                        <w:sz w:val="20"/>
                      </w:rPr>
                      <w:t>quant </w:t>
                    </w:r>
                    <w:r>
                      <w:rPr>
                        <w:rFonts w:ascii="Myriad Pro" w:hAnsi="Myriad Pro"/>
                        <w:color w:val="231F20"/>
                        <w:sz w:val="20"/>
                      </w:rPr>
                      <w:t>à la </w:t>
                    </w:r>
                    <w:r>
                      <w:rPr>
                        <w:rFonts w:ascii="Myriad Pro" w:hAnsi="Myriad Pro"/>
                        <w:color w:val="231F20"/>
                        <w:spacing w:val="-3"/>
                        <w:sz w:val="20"/>
                      </w:rPr>
                      <w:t>capacité mentale </w:t>
                    </w:r>
                    <w:r>
                      <w:rPr>
                        <w:rFonts w:ascii="Myriad Pro" w:hAnsi="Myriad Pro"/>
                        <w:color w:val="231F20"/>
                        <w:sz w:val="20"/>
                      </w:rPr>
                      <w:t>de </w:t>
                    </w:r>
                    <w:r>
                      <w:rPr>
                        <w:rFonts w:ascii="Myriad Pro" w:hAnsi="Myriad Pro"/>
                        <w:color w:val="231F20"/>
                        <w:spacing w:val="-3"/>
                        <w:sz w:val="20"/>
                      </w:rPr>
                      <w:t>ces malades </w:t>
                    </w:r>
                    <w:r>
                      <w:rPr>
                        <w:rFonts w:ascii="Myriad Pro" w:hAnsi="Myriad Pro"/>
                        <w:color w:val="231F20"/>
                        <w:sz w:val="20"/>
                      </w:rPr>
                      <w:t>à </w:t>
                    </w:r>
                    <w:r>
                      <w:rPr>
                        <w:rFonts w:ascii="Myriad Pro" w:hAnsi="Myriad Pro"/>
                        <w:color w:val="231F20"/>
                        <w:spacing w:val="-3"/>
                        <w:sz w:val="20"/>
                      </w:rPr>
                      <w:t>faire un choix </w:t>
                    </w:r>
                    <w:r>
                      <w:rPr>
                        <w:rFonts w:ascii="Myriad Pro" w:hAnsi="Myriad Pro"/>
                        <w:color w:val="231F20"/>
                        <w:sz w:val="20"/>
                      </w:rPr>
                      <w:t>en </w:t>
                    </w:r>
                    <w:r>
                      <w:rPr>
                        <w:rFonts w:ascii="Myriad Pro" w:hAnsi="Myriad Pro"/>
                        <w:color w:val="231F20"/>
                        <w:spacing w:val="-4"/>
                        <w:sz w:val="20"/>
                      </w:rPr>
                      <w:t>toute connaissance </w:t>
                    </w:r>
                    <w:r>
                      <w:rPr>
                        <w:rFonts w:ascii="Myriad Pro" w:hAnsi="Myriad Pro"/>
                        <w:color w:val="231F20"/>
                        <w:sz w:val="20"/>
                      </w:rPr>
                      <w:t>de </w:t>
                    </w:r>
                    <w:r>
                      <w:rPr>
                        <w:rFonts w:ascii="Myriad Pro" w:hAnsi="Myriad Pro"/>
                        <w:color w:val="231F20"/>
                        <w:spacing w:val="-3"/>
                        <w:sz w:val="20"/>
                      </w:rPr>
                      <w:t>cause. Dans </w:t>
                    </w:r>
                    <w:r>
                      <w:rPr>
                        <w:rFonts w:ascii="Myriad Pro" w:hAnsi="Myriad Pro"/>
                        <w:color w:val="231F20"/>
                        <w:sz w:val="20"/>
                      </w:rPr>
                      <w:t>ses </w:t>
                    </w:r>
                    <w:r>
                      <w:rPr>
                        <w:rFonts w:ascii="Myriad Pro" w:hAnsi="Myriad Pro"/>
                        <w:color w:val="231F20"/>
                        <w:spacing w:val="-4"/>
                        <w:sz w:val="20"/>
                      </w:rPr>
                      <w:t>récentes conclusions, </w:t>
                    </w:r>
                    <w:r>
                      <w:rPr>
                        <w:rFonts w:ascii="Myriad Pro" w:hAnsi="Myriad Pro"/>
                        <w:color w:val="231F20"/>
                        <w:spacing w:val="-3"/>
                        <w:sz w:val="20"/>
                      </w:rPr>
                      <w:t>l’État défendeur déclare </w:t>
                    </w:r>
                    <w:r>
                      <w:rPr>
                        <w:rFonts w:ascii="Myriad Pro" w:hAnsi="Myriad Pro"/>
                        <w:color w:val="231F20"/>
                        <w:spacing w:val="-5"/>
                        <w:sz w:val="20"/>
                      </w:rPr>
                      <w:t>qu’il </w:t>
                    </w:r>
                    <w:r>
                      <w:rPr>
                        <w:rFonts w:ascii="Myriad Pro" w:hAnsi="Myriad Pro"/>
                        <w:color w:val="231F20"/>
                        <w:spacing w:val="-3"/>
                        <w:sz w:val="20"/>
                      </w:rPr>
                      <w:t>existe </w:t>
                    </w:r>
                    <w:r>
                      <w:rPr>
                        <w:rFonts w:ascii="Myriad Pro" w:hAnsi="Myriad Pro"/>
                        <w:color w:val="231F20"/>
                        <w:sz w:val="20"/>
                      </w:rPr>
                      <w:t>des </w:t>
                    </w:r>
                    <w:r>
                      <w:rPr>
                        <w:rFonts w:ascii="Myriad Pro" w:hAnsi="Myriad Pro"/>
                        <w:color w:val="231F20"/>
                        <w:spacing w:val="-3"/>
                        <w:sz w:val="20"/>
                      </w:rPr>
                      <w:t>droits </w:t>
                    </w:r>
                    <w:r>
                      <w:rPr>
                        <w:rFonts w:ascii="Myriad Pro" w:hAnsi="Myriad Pro"/>
                        <w:color w:val="231F20"/>
                        <w:sz w:val="20"/>
                      </w:rPr>
                      <w:t>de </w:t>
                    </w:r>
                    <w:r>
                      <w:rPr>
                        <w:rFonts w:ascii="Myriad Pro" w:hAnsi="Myriad Pro"/>
                        <w:color w:val="231F20"/>
                        <w:spacing w:val="-4"/>
                        <w:sz w:val="20"/>
                      </w:rPr>
                      <w:t>vote restreints </w:t>
                    </w:r>
                    <w:r>
                      <w:rPr>
                        <w:rFonts w:ascii="Myriad Pro" w:hAnsi="Myriad Pro"/>
                        <w:color w:val="231F20"/>
                        <w:spacing w:val="-3"/>
                        <w:sz w:val="20"/>
                      </w:rPr>
                      <w:t>pour certains malades mentaux </w:t>
                    </w:r>
                    <w:r>
                      <w:rPr>
                        <w:rFonts w:ascii="Myriad Pro" w:hAnsi="Myriad Pro"/>
                        <w:color w:val="231F20"/>
                        <w:sz w:val="20"/>
                      </w:rPr>
                      <w:t>: </w:t>
                    </w:r>
                    <w:r>
                      <w:rPr>
                        <w:rFonts w:ascii="Myriad Pro" w:hAnsi="Myriad Pro"/>
                        <w:color w:val="231F20"/>
                        <w:spacing w:val="-3"/>
                        <w:sz w:val="20"/>
                      </w:rPr>
                      <w:t>cela </w:t>
                    </w:r>
                    <w:r>
                      <w:rPr>
                        <w:rFonts w:ascii="Myriad Pro" w:hAnsi="Myriad Pro"/>
                        <w:color w:val="231F20"/>
                        <w:spacing w:val="-6"/>
                        <w:sz w:val="20"/>
                      </w:rPr>
                      <w:t>n’a </w:t>
                    </w:r>
                    <w:r>
                      <w:rPr>
                        <w:rFonts w:ascii="Myriad Pro" w:hAnsi="Myriad Pro"/>
                        <w:color w:val="231F20"/>
                        <w:spacing w:val="-4"/>
                        <w:sz w:val="20"/>
                      </w:rPr>
                      <w:t>toutefois </w:t>
                    </w:r>
                    <w:r>
                      <w:rPr>
                        <w:rFonts w:ascii="Myriad Pro" w:hAnsi="Myriad Pro"/>
                        <w:color w:val="231F20"/>
                        <w:spacing w:val="-3"/>
                        <w:sz w:val="20"/>
                      </w:rPr>
                      <w:t>pas été clairement expliqué </w:t>
                    </w:r>
                    <w:r>
                      <w:rPr>
                        <w:rFonts w:ascii="Myriad Pro" w:hAnsi="Myriad Pro"/>
                        <w:color w:val="231F20"/>
                        <w:sz w:val="20"/>
                      </w:rPr>
                      <w:t>».</w:t>
                    </w:r>
                    <w:r>
                      <w:rPr>
                        <w:rFonts w:ascii="Myriad Pro" w:hAnsi="Myriad Pro"/>
                        <w:color w:val="231F20"/>
                        <w:position w:val="7"/>
                        <w:sz w:val="11"/>
                      </w:rPr>
                      <w:t>8 </w:t>
                    </w:r>
                    <w:r>
                      <w:rPr>
                        <w:rFonts w:ascii="Myriad Pro" w:hAnsi="Myriad Pro"/>
                        <w:color w:val="231F20"/>
                        <w:sz w:val="20"/>
                      </w:rPr>
                      <w:t>La </w:t>
                    </w:r>
                    <w:r>
                      <w:rPr>
                        <w:rFonts w:ascii="Myriad Pro" w:hAnsi="Myriad Pro"/>
                        <w:color w:val="231F20"/>
                        <w:spacing w:val="-3"/>
                        <w:sz w:val="20"/>
                      </w:rPr>
                      <w:t>Commission poursuit </w:t>
                    </w:r>
                    <w:r>
                      <w:rPr>
                        <w:rFonts w:ascii="Myriad Pro" w:hAnsi="Myriad Pro"/>
                        <w:color w:val="231F20"/>
                        <w:sz w:val="20"/>
                      </w:rPr>
                      <w:t>en </w:t>
                    </w:r>
                    <w:r>
                      <w:rPr>
                        <w:rFonts w:ascii="Myriad Pro" w:hAnsi="Myriad Pro"/>
                        <w:color w:val="231F20"/>
                        <w:spacing w:val="-4"/>
                        <w:sz w:val="20"/>
                      </w:rPr>
                      <w:t>interprétant </w:t>
                    </w:r>
                    <w:r>
                      <w:rPr>
                        <w:rFonts w:ascii="Myriad Pro" w:hAnsi="Myriad Pro"/>
                        <w:color w:val="231F20"/>
                        <w:spacing w:val="-3"/>
                        <w:sz w:val="20"/>
                      </w:rPr>
                      <w:t>l’article </w:t>
                    </w:r>
                    <w:r>
                      <w:rPr>
                        <w:rFonts w:ascii="Myriad Pro" w:hAnsi="Myriad Pro"/>
                        <w:color w:val="231F20"/>
                        <w:sz w:val="20"/>
                      </w:rPr>
                      <w:t>13 de la </w:t>
                    </w:r>
                    <w:r>
                      <w:rPr>
                        <w:rFonts w:ascii="Myriad Pro" w:hAnsi="Myriad Pro"/>
                        <w:color w:val="231F20"/>
                        <w:spacing w:val="-3"/>
                        <w:sz w:val="20"/>
                      </w:rPr>
                      <w:t>Charte,</w:t>
                    </w:r>
                  </w:p>
                  <w:p>
                    <w:pPr>
                      <w:spacing w:line="259" w:lineRule="auto" w:before="0"/>
                      <w:ind w:left="180" w:right="354" w:firstLine="0"/>
                      <w:jc w:val="left"/>
                      <w:rPr>
                        <w:rFonts w:ascii="Myriad Pro" w:hAnsi="Myriad Pro"/>
                        <w:sz w:val="20"/>
                      </w:rPr>
                    </w:pPr>
                    <w:r>
                      <w:rPr>
                        <w:rFonts w:ascii="Myriad Pro" w:hAnsi="Myriad Pro"/>
                        <w:color w:val="231F20"/>
                        <w:sz w:val="20"/>
                      </w:rPr>
                      <w:t>en </w:t>
                    </w:r>
                    <w:r>
                      <w:rPr>
                        <w:rFonts w:ascii="Myriad Pro" w:hAnsi="Myriad Pro"/>
                        <w:color w:val="231F20"/>
                        <w:spacing w:val="-4"/>
                        <w:sz w:val="20"/>
                      </w:rPr>
                      <w:t>s’appuyant </w:t>
                    </w:r>
                    <w:r>
                      <w:rPr>
                        <w:rFonts w:ascii="Myriad Pro" w:hAnsi="Myriad Pro"/>
                        <w:color w:val="231F20"/>
                        <w:spacing w:val="-3"/>
                        <w:sz w:val="20"/>
                      </w:rPr>
                      <w:t>aussi </w:t>
                    </w:r>
                    <w:r>
                      <w:rPr>
                        <w:rFonts w:ascii="Myriad Pro" w:hAnsi="Myriad Pro"/>
                        <w:color w:val="231F20"/>
                        <w:sz w:val="20"/>
                      </w:rPr>
                      <w:t>sur les </w:t>
                    </w:r>
                    <w:r>
                      <w:rPr>
                        <w:rFonts w:ascii="Myriad Pro" w:hAnsi="Myriad Pro"/>
                        <w:color w:val="231F20"/>
                        <w:spacing w:val="-3"/>
                        <w:sz w:val="20"/>
                      </w:rPr>
                      <w:t>clarifications apportées </w:t>
                    </w:r>
                    <w:r>
                      <w:rPr>
                        <w:rFonts w:ascii="Myriad Pro" w:hAnsi="Myriad Pro"/>
                        <w:color w:val="231F20"/>
                        <w:sz w:val="20"/>
                      </w:rPr>
                      <w:t>par le </w:t>
                    </w:r>
                    <w:r>
                      <w:rPr>
                        <w:rFonts w:ascii="Myriad Pro" w:hAnsi="Myriad Pro"/>
                        <w:color w:val="231F20"/>
                        <w:spacing w:val="-4"/>
                        <w:sz w:val="20"/>
                      </w:rPr>
                      <w:t>Comité </w:t>
                    </w:r>
                    <w:r>
                      <w:rPr>
                        <w:rFonts w:ascii="Myriad Pro" w:hAnsi="Myriad Pro"/>
                        <w:color w:val="231F20"/>
                        <w:sz w:val="20"/>
                      </w:rPr>
                      <w:t>des </w:t>
                    </w:r>
                    <w:r>
                      <w:rPr>
                        <w:rFonts w:ascii="Myriad Pro" w:hAnsi="Myriad Pro"/>
                        <w:color w:val="231F20"/>
                        <w:spacing w:val="-3"/>
                        <w:sz w:val="20"/>
                      </w:rPr>
                      <w:t>droits </w:t>
                    </w:r>
                    <w:r>
                      <w:rPr>
                        <w:rFonts w:ascii="Myriad Pro" w:hAnsi="Myriad Pro"/>
                        <w:color w:val="231F20"/>
                        <w:sz w:val="20"/>
                      </w:rPr>
                      <w:t>de </w:t>
                    </w:r>
                    <w:r>
                      <w:rPr>
                        <w:rFonts w:ascii="Myriad Pro" w:hAnsi="Myriad Pro"/>
                        <w:color w:val="231F20"/>
                        <w:spacing w:val="-3"/>
                        <w:sz w:val="20"/>
                      </w:rPr>
                      <w:t>l’homme des Nations Unies </w:t>
                    </w:r>
                    <w:r>
                      <w:rPr>
                        <w:rFonts w:ascii="Myriad Pro" w:hAnsi="Myriad Pro"/>
                        <w:color w:val="231F20"/>
                        <w:sz w:val="20"/>
                      </w:rPr>
                      <w:t>au </w:t>
                    </w:r>
                    <w:r>
                      <w:rPr>
                        <w:rFonts w:ascii="Myriad Pro" w:hAnsi="Myriad Pro"/>
                        <w:color w:val="231F20"/>
                        <w:spacing w:val="-3"/>
                        <w:sz w:val="20"/>
                      </w:rPr>
                      <w:t>sujet </w:t>
                    </w:r>
                    <w:r>
                      <w:rPr>
                        <w:rFonts w:ascii="Myriad Pro" w:hAnsi="Myriad Pro"/>
                        <w:color w:val="231F20"/>
                        <w:sz w:val="20"/>
                      </w:rPr>
                      <w:t>de </w:t>
                    </w:r>
                    <w:r>
                      <w:rPr>
                        <w:rFonts w:ascii="Myriad Pro" w:hAnsi="Myriad Pro"/>
                        <w:color w:val="231F20"/>
                        <w:spacing w:val="-3"/>
                        <w:sz w:val="20"/>
                      </w:rPr>
                      <w:t>l’article </w:t>
                    </w:r>
                    <w:r>
                      <w:rPr>
                        <w:rFonts w:ascii="Myriad Pro" w:hAnsi="Myriad Pro"/>
                        <w:color w:val="231F20"/>
                        <w:sz w:val="20"/>
                      </w:rPr>
                      <w:t>25, </w:t>
                    </w:r>
                    <w:r>
                      <w:rPr>
                        <w:rFonts w:ascii="Myriad Pro" w:hAnsi="Myriad Pro"/>
                        <w:color w:val="231F20"/>
                        <w:spacing w:val="-3"/>
                        <w:sz w:val="20"/>
                      </w:rPr>
                      <w:t>pour montrer </w:t>
                    </w:r>
                    <w:r>
                      <w:rPr>
                        <w:rFonts w:ascii="Myriad Pro" w:hAnsi="Myriad Pro"/>
                        <w:color w:val="231F20"/>
                        <w:spacing w:val="-5"/>
                        <w:sz w:val="20"/>
                      </w:rPr>
                      <w:t>qu’il </w:t>
                    </w:r>
                    <w:r>
                      <w:rPr>
                        <w:rFonts w:ascii="Myriad Pro" w:hAnsi="Myriad Pro"/>
                        <w:color w:val="231F20"/>
                        <w:spacing w:val="-6"/>
                        <w:sz w:val="20"/>
                      </w:rPr>
                      <w:t>n’existe </w:t>
                    </w:r>
                    <w:r>
                      <w:rPr>
                        <w:rFonts w:ascii="Myriad Pro" w:hAnsi="Myriad Pro"/>
                        <w:color w:val="231F20"/>
                        <w:spacing w:val="-3"/>
                        <w:sz w:val="20"/>
                      </w:rPr>
                      <w:t>aucun objectif </w:t>
                    </w:r>
                    <w:r>
                      <w:rPr>
                        <w:rFonts w:ascii="Myriad Pro" w:hAnsi="Myriad Pro"/>
                        <w:color w:val="231F20"/>
                        <w:sz w:val="20"/>
                      </w:rPr>
                      <w:t>ni </w:t>
                    </w:r>
                    <w:r>
                      <w:rPr>
                        <w:rFonts w:ascii="Myriad Pro" w:hAnsi="Myriad Pro"/>
                        <w:color w:val="231F20"/>
                        <w:spacing w:val="-4"/>
                        <w:sz w:val="20"/>
                      </w:rPr>
                      <w:t>critère </w:t>
                    </w:r>
                    <w:r>
                      <w:rPr>
                        <w:rFonts w:ascii="Myriad Pro" w:hAnsi="Myriad Pro"/>
                        <w:color w:val="231F20"/>
                        <w:spacing w:val="-3"/>
                        <w:sz w:val="20"/>
                      </w:rPr>
                      <w:t>raisonnable dans </w:t>
                    </w:r>
                    <w:r>
                      <w:rPr>
                        <w:rFonts w:ascii="Myriad Pro" w:hAnsi="Myriad Pro"/>
                        <w:color w:val="231F20"/>
                        <w:sz w:val="20"/>
                      </w:rPr>
                      <w:t>la loi qui </w:t>
                    </w:r>
                    <w:r>
                      <w:rPr>
                        <w:rFonts w:ascii="Myriad Pro" w:hAnsi="Myriad Pro"/>
                        <w:color w:val="231F20"/>
                        <w:spacing w:val="-4"/>
                        <w:sz w:val="20"/>
                      </w:rPr>
                      <w:t>fournirait </w:t>
                    </w:r>
                    <w:r>
                      <w:rPr>
                        <w:rFonts w:ascii="Myriad Pro" w:hAnsi="Myriad Pro"/>
                        <w:color w:val="231F20"/>
                        <w:sz w:val="20"/>
                      </w:rPr>
                      <w:t>une </w:t>
                    </w:r>
                    <w:r>
                      <w:rPr>
                        <w:rFonts w:ascii="Myriad Pro" w:hAnsi="Myriad Pro"/>
                        <w:color w:val="231F20"/>
                        <w:spacing w:val="-3"/>
                        <w:sz w:val="20"/>
                      </w:rPr>
                      <w:t>base pour </w:t>
                    </w:r>
                    <w:r>
                      <w:rPr>
                        <w:rFonts w:ascii="Myriad Pro" w:hAnsi="Myriad Pro"/>
                        <w:color w:val="231F20"/>
                        <w:spacing w:val="-4"/>
                        <w:sz w:val="20"/>
                      </w:rPr>
                      <w:t>exclure </w:t>
                    </w:r>
                    <w:r>
                      <w:rPr>
                        <w:rFonts w:ascii="Myriad Pro" w:hAnsi="Myriad Pro"/>
                        <w:color w:val="231F20"/>
                        <w:sz w:val="20"/>
                      </w:rPr>
                      <w:t>les </w:t>
                    </w:r>
                    <w:r>
                      <w:rPr>
                        <w:rFonts w:ascii="Myriad Pro" w:hAnsi="Myriad Pro"/>
                        <w:color w:val="231F20"/>
                        <w:spacing w:val="-3"/>
                        <w:sz w:val="20"/>
                      </w:rPr>
                      <w:t>malades mentaux </w:t>
                    </w:r>
                    <w:r>
                      <w:rPr>
                        <w:rFonts w:ascii="Myriad Pro" w:hAnsi="Myriad Pro"/>
                        <w:color w:val="231F20"/>
                        <w:sz w:val="20"/>
                      </w:rPr>
                      <w:t>du </w:t>
                    </w:r>
                    <w:r>
                      <w:rPr>
                        <w:rFonts w:ascii="Myriad Pro" w:hAnsi="Myriad Pro"/>
                        <w:color w:val="231F20"/>
                        <w:spacing w:val="-4"/>
                        <w:sz w:val="20"/>
                      </w:rPr>
                      <w:t>vote.</w:t>
                    </w:r>
                  </w:p>
                </w:txbxContent>
              </v:textbox>
              <w10:wrap type="none"/>
            </v:shape>
            <w10:wrap type="topAndBottom"/>
          </v:group>
        </w:pict>
      </w:r>
    </w:p>
    <w:p>
      <w:pPr>
        <w:pStyle w:val="BodyText"/>
        <w:rPr>
          <w:b w:val="0"/>
          <w:sz w:val="20"/>
        </w:rPr>
      </w:pPr>
    </w:p>
    <w:p>
      <w:pPr>
        <w:pStyle w:val="BodyText"/>
        <w:spacing w:before="6"/>
        <w:rPr>
          <w:b w:val="0"/>
        </w:rPr>
      </w:pPr>
    </w:p>
    <w:p>
      <w:pPr>
        <w:pStyle w:val="BodyText"/>
        <w:spacing w:line="266" w:lineRule="auto" w:before="68"/>
        <w:ind w:left="113" w:right="2872"/>
        <w:rPr>
          <w:b w:val="0"/>
        </w:rPr>
      </w:pPr>
      <w:r>
        <w:rPr>
          <w:b w:val="0"/>
          <w:color w:val="231F20"/>
        </w:rPr>
        <w:t>Même si peu de pays n’appliquent aucune restriction concernant les droits des personnes handicapées à participer à la vie politique et publique, des exemples positifs existent.</w:t>
      </w:r>
    </w:p>
    <w:p>
      <w:pPr>
        <w:pStyle w:val="BodyText"/>
        <w:spacing w:line="266" w:lineRule="auto"/>
        <w:ind w:left="113" w:right="2929"/>
        <w:rPr>
          <w:b w:val="0"/>
          <w:sz w:val="13"/>
        </w:rPr>
      </w:pPr>
      <w:r>
        <w:rPr>
          <w:b w:val="0"/>
          <w:color w:val="231F20"/>
        </w:rPr>
        <w:t>Parmi ceux-ci, la Constitution de l’Afrique du Sud, qui garantit le droit de vote à tous ses citoyens.</w:t>
      </w:r>
      <w:r>
        <w:rPr>
          <w:b w:val="0"/>
          <w:color w:val="231F20"/>
          <w:position w:val="7"/>
          <w:sz w:val="13"/>
        </w:rPr>
        <w:t>9</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4"/>
        </w:rPr>
      </w:pPr>
      <w:r>
        <w:rPr/>
        <w:pict>
          <v:line style="position:absolute;mso-position-horizontal-relative:page;mso-position-vertical-relative:paragraph;z-index:2200;mso-wrap-distance-left:0;mso-wrap-distance-right:0" from="56.692902pt,16.797541pt" to="155.905902pt,16.797541pt" stroked="true" strokeweight=".5pt" strokecolor="#231f20">
            <w10:wrap type="topAndBottom"/>
          </v:line>
        </w:pict>
      </w:r>
    </w:p>
    <w:p>
      <w:pPr>
        <w:tabs>
          <w:tab w:pos="373" w:val="left" w:leader="none"/>
        </w:tabs>
        <w:spacing w:before="72"/>
        <w:ind w:left="113" w:right="0" w:firstLine="0"/>
        <w:jc w:val="left"/>
        <w:rPr>
          <w:b w:val="0"/>
          <w:sz w:val="17"/>
        </w:rPr>
      </w:pPr>
      <w:r>
        <w:rPr>
          <w:b w:val="0"/>
          <w:color w:val="231F20"/>
          <w:position w:val="6"/>
          <w:sz w:val="10"/>
        </w:rPr>
        <w:t>4</w:t>
        <w:tab/>
      </w:r>
      <w:r>
        <w:rPr>
          <w:b w:val="0"/>
          <w:color w:val="231F20"/>
          <w:sz w:val="17"/>
        </w:rPr>
        <w:t>Constitution du Kenya, articles 27(4) et</w:t>
      </w:r>
      <w:r>
        <w:rPr>
          <w:b w:val="0"/>
          <w:color w:val="231F20"/>
          <w:spacing w:val="1"/>
          <w:sz w:val="17"/>
        </w:rPr>
        <w:t> </w:t>
      </w:r>
      <w:r>
        <w:rPr>
          <w:b w:val="0"/>
          <w:color w:val="231F20"/>
          <w:sz w:val="17"/>
        </w:rPr>
        <w:t>82.</w:t>
      </w:r>
    </w:p>
    <w:p>
      <w:pPr>
        <w:tabs>
          <w:tab w:pos="373" w:val="left" w:leader="none"/>
        </w:tabs>
        <w:spacing w:before="35"/>
        <w:ind w:left="113" w:right="0" w:firstLine="0"/>
        <w:jc w:val="left"/>
        <w:rPr>
          <w:b w:val="0"/>
          <w:sz w:val="17"/>
        </w:rPr>
      </w:pPr>
      <w:r>
        <w:rPr>
          <w:b w:val="0"/>
          <w:color w:val="231F20"/>
          <w:position w:val="6"/>
          <w:sz w:val="10"/>
        </w:rPr>
        <w:t>5</w:t>
        <w:tab/>
      </w:r>
      <w:r>
        <w:rPr>
          <w:b w:val="0"/>
          <w:color w:val="231F20"/>
          <w:sz w:val="17"/>
        </w:rPr>
        <w:t>Ibid, articles 83 et</w:t>
      </w:r>
      <w:r>
        <w:rPr>
          <w:b w:val="0"/>
          <w:color w:val="231F20"/>
          <w:spacing w:val="4"/>
          <w:sz w:val="17"/>
        </w:rPr>
        <w:t> </w:t>
      </w:r>
      <w:r>
        <w:rPr>
          <w:b w:val="0"/>
          <w:color w:val="231F20"/>
          <w:sz w:val="17"/>
        </w:rPr>
        <w:t>99.</w:t>
      </w:r>
    </w:p>
    <w:p>
      <w:pPr>
        <w:tabs>
          <w:tab w:pos="373" w:val="left" w:leader="none"/>
        </w:tabs>
        <w:spacing w:before="35"/>
        <w:ind w:left="113" w:right="0" w:firstLine="0"/>
        <w:jc w:val="left"/>
        <w:rPr>
          <w:b w:val="0"/>
          <w:sz w:val="17"/>
        </w:rPr>
      </w:pPr>
      <w:r>
        <w:rPr>
          <w:b w:val="0"/>
          <w:color w:val="231F20"/>
          <w:position w:val="6"/>
          <w:sz w:val="10"/>
        </w:rPr>
        <w:t>6</w:t>
        <w:tab/>
      </w:r>
      <w:r>
        <w:rPr>
          <w:b w:val="0"/>
          <w:color w:val="231F20"/>
          <w:sz w:val="17"/>
        </w:rPr>
        <w:t>CRPD/C/KEN/CO/1, paragr. 52</w:t>
      </w:r>
      <w:r>
        <w:rPr>
          <w:b w:val="0"/>
          <w:color w:val="231F20"/>
          <w:spacing w:val="-13"/>
          <w:sz w:val="17"/>
        </w:rPr>
        <w:t> </w:t>
      </w:r>
      <w:r>
        <w:rPr>
          <w:b w:val="0"/>
          <w:color w:val="231F20"/>
          <w:sz w:val="17"/>
        </w:rPr>
        <w:t>(a).</w:t>
      </w:r>
    </w:p>
    <w:p>
      <w:pPr>
        <w:tabs>
          <w:tab w:pos="373" w:val="left" w:leader="none"/>
        </w:tabs>
        <w:spacing w:before="35"/>
        <w:ind w:left="113" w:right="0" w:firstLine="0"/>
        <w:jc w:val="left"/>
        <w:rPr>
          <w:b w:val="0"/>
          <w:sz w:val="17"/>
        </w:rPr>
      </w:pPr>
      <w:r>
        <w:rPr>
          <w:b w:val="0"/>
          <w:color w:val="231F20"/>
          <w:position w:val="6"/>
          <w:sz w:val="10"/>
        </w:rPr>
        <w:t>7</w:t>
        <w:tab/>
      </w:r>
      <w:r>
        <w:rPr>
          <w:b w:val="0"/>
          <w:color w:val="231F20"/>
          <w:sz w:val="17"/>
        </w:rPr>
        <w:t>Constitution de la Gambie, art.</w:t>
      </w:r>
      <w:r>
        <w:rPr>
          <w:b w:val="0"/>
          <w:color w:val="231F20"/>
          <w:spacing w:val="1"/>
          <w:sz w:val="17"/>
        </w:rPr>
        <w:t> </w:t>
      </w:r>
      <w:r>
        <w:rPr>
          <w:b w:val="0"/>
          <w:color w:val="231F20"/>
          <w:sz w:val="17"/>
        </w:rPr>
        <w:t>26.</w:t>
      </w:r>
    </w:p>
    <w:p>
      <w:pPr>
        <w:tabs>
          <w:tab w:pos="373" w:val="left" w:leader="none"/>
        </w:tabs>
        <w:spacing w:line="180" w:lineRule="exact" w:before="50"/>
        <w:ind w:left="373" w:right="3179" w:hanging="260"/>
        <w:jc w:val="left"/>
        <w:rPr>
          <w:b w:val="0"/>
          <w:sz w:val="17"/>
        </w:rPr>
      </w:pPr>
      <w:r>
        <w:rPr>
          <w:b w:val="0"/>
          <w:color w:val="231F20"/>
          <w:position w:val="6"/>
          <w:sz w:val="10"/>
        </w:rPr>
        <w:t>8</w:t>
        <w:tab/>
      </w:r>
      <w:r>
        <w:rPr>
          <w:b w:val="0"/>
          <w:color w:val="231F20"/>
          <w:sz w:val="17"/>
        </w:rPr>
        <w:t>Commission africaine des droits de l’homme et des peuples, Purohit and Moore contre la Gambie,</w:t>
      </w:r>
      <w:r>
        <w:rPr>
          <w:b w:val="0"/>
          <w:color w:val="231F20"/>
          <w:spacing w:val="-23"/>
          <w:sz w:val="17"/>
        </w:rPr>
        <w:t> </w:t>
      </w:r>
      <w:r>
        <w:rPr>
          <w:b w:val="0"/>
          <w:color w:val="231F20"/>
          <w:sz w:val="17"/>
        </w:rPr>
        <w:t>paragr.</w:t>
      </w:r>
      <w:r>
        <w:rPr>
          <w:b w:val="0"/>
          <w:color w:val="231F20"/>
          <w:spacing w:val="-2"/>
          <w:sz w:val="17"/>
        </w:rPr>
        <w:t> </w:t>
      </w:r>
      <w:r>
        <w:rPr>
          <w:b w:val="0"/>
          <w:color w:val="231F20"/>
          <w:sz w:val="17"/>
        </w:rPr>
        <w:t>74, Communication n° 241/2001, seizième rapport d’activité 2002-2003, Annexe</w:t>
      </w:r>
      <w:r>
        <w:rPr>
          <w:b w:val="0"/>
          <w:color w:val="231F20"/>
          <w:spacing w:val="-7"/>
          <w:sz w:val="17"/>
        </w:rPr>
        <w:t> </w:t>
      </w:r>
      <w:r>
        <w:rPr>
          <w:b w:val="0"/>
          <w:color w:val="231F20"/>
          <w:sz w:val="17"/>
        </w:rPr>
        <w:t>VII</w:t>
      </w:r>
    </w:p>
    <w:p>
      <w:pPr>
        <w:tabs>
          <w:tab w:pos="373" w:val="left" w:leader="none"/>
        </w:tabs>
        <w:spacing w:before="41"/>
        <w:ind w:left="113" w:right="0" w:firstLine="0"/>
        <w:jc w:val="left"/>
        <w:rPr>
          <w:b w:val="0"/>
          <w:sz w:val="17"/>
        </w:rPr>
      </w:pPr>
      <w:r>
        <w:rPr>
          <w:b w:val="0"/>
          <w:color w:val="231F20"/>
          <w:position w:val="6"/>
          <w:sz w:val="10"/>
        </w:rPr>
        <w:t>9</w:t>
        <w:tab/>
      </w:r>
      <w:r>
        <w:rPr>
          <w:b w:val="0"/>
          <w:color w:val="231F20"/>
          <w:sz w:val="17"/>
        </w:rPr>
        <w:t>Constitution</w:t>
      </w:r>
      <w:r>
        <w:rPr>
          <w:b w:val="0"/>
          <w:color w:val="231F20"/>
          <w:spacing w:val="-5"/>
          <w:sz w:val="17"/>
        </w:rPr>
        <w:t> </w:t>
      </w:r>
      <w:r>
        <w:rPr>
          <w:b w:val="0"/>
          <w:color w:val="231F20"/>
          <w:sz w:val="17"/>
        </w:rPr>
        <w:t>de</w:t>
      </w:r>
      <w:r>
        <w:rPr>
          <w:b w:val="0"/>
          <w:color w:val="231F20"/>
          <w:spacing w:val="-5"/>
          <w:sz w:val="17"/>
        </w:rPr>
        <w:t> </w:t>
      </w:r>
      <w:r>
        <w:rPr>
          <w:b w:val="0"/>
          <w:color w:val="231F20"/>
          <w:sz w:val="17"/>
        </w:rPr>
        <w:t>l’Afrique</w:t>
      </w:r>
      <w:r>
        <w:rPr>
          <w:b w:val="0"/>
          <w:color w:val="231F20"/>
          <w:spacing w:val="-5"/>
          <w:sz w:val="17"/>
        </w:rPr>
        <w:t> </w:t>
      </w:r>
      <w:r>
        <w:rPr>
          <w:b w:val="0"/>
          <w:color w:val="231F20"/>
          <w:sz w:val="17"/>
        </w:rPr>
        <w:t>du</w:t>
      </w:r>
      <w:r>
        <w:rPr>
          <w:b w:val="0"/>
          <w:color w:val="231F20"/>
          <w:spacing w:val="-5"/>
          <w:sz w:val="17"/>
        </w:rPr>
        <w:t> </w:t>
      </w:r>
      <w:r>
        <w:rPr>
          <w:b w:val="0"/>
          <w:color w:val="231F20"/>
          <w:sz w:val="17"/>
        </w:rPr>
        <w:t>Sud,</w:t>
      </w:r>
      <w:r>
        <w:rPr>
          <w:b w:val="0"/>
          <w:color w:val="231F20"/>
          <w:spacing w:val="-5"/>
          <w:sz w:val="17"/>
        </w:rPr>
        <w:t> </w:t>
      </w:r>
      <w:r>
        <w:rPr>
          <w:b w:val="0"/>
          <w:color w:val="231F20"/>
          <w:sz w:val="17"/>
        </w:rPr>
        <w:t>paragr.</w:t>
      </w:r>
      <w:r>
        <w:rPr>
          <w:b w:val="0"/>
          <w:color w:val="231F20"/>
          <w:spacing w:val="-5"/>
          <w:sz w:val="17"/>
        </w:rPr>
        <w:t> </w:t>
      </w:r>
      <w:r>
        <w:rPr>
          <w:b w:val="0"/>
          <w:color w:val="231F20"/>
          <w:sz w:val="17"/>
        </w:rPr>
        <w:t>19.</w:t>
      </w:r>
    </w:p>
    <w:p>
      <w:pPr>
        <w:pStyle w:val="BodyText"/>
        <w:spacing w:before="4"/>
        <w:rPr>
          <w:b w:val="0"/>
          <w:sz w:val="29"/>
        </w:rPr>
      </w:pPr>
    </w:p>
    <w:p>
      <w:pPr>
        <w:spacing w:before="102"/>
        <w:ind w:left="3917" w:right="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46312"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8</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197.2pt;mso-position-horizontal-relative:page;mso-position-vertical-relative:paragraph;z-index:2296;mso-wrap-distance-left:0;mso-wrap-distance-right:0" coordorigin="2881,365" coordsize="7901,3944">
            <v:rect style="position:absolute;left:2891;top:365;width:7880;height:363" filled="true" fillcolor="#f99d25" stroked="false">
              <v:fill type="solid"/>
            </v:rect>
            <v:rect style="position:absolute;left:2891;top:729;width:7880;height:3570" filled="true" fillcolor="#fff2e3" stroked="false">
              <v:fill type="solid"/>
            </v:rect>
            <v:line style="position:absolute" from="2891,4299" to="10772,4299" stroked="true" strokeweight="1pt" strokecolor="#f99d25"/>
            <v:shape style="position:absolute;left:2881;top:365;width:7901;height:3944" type="#_x0000_t202" filled="false" stroked="false">
              <v:textbox inset="0,0,0,0">
                <w:txbxContent>
                  <w:p>
                    <w:pPr>
                      <w:spacing w:before="32"/>
                      <w:ind w:left="388" w:right="-6" w:firstLine="0"/>
                      <w:jc w:val="left"/>
                      <w:rPr>
                        <w:rFonts w:ascii="Myriad Pro" w:hAnsi="Myriad Pro"/>
                        <w:b/>
                        <w:sz w:val="22"/>
                      </w:rPr>
                    </w:pPr>
                    <w:r>
                      <w:rPr>
                        <w:rFonts w:ascii="Myriad Pro" w:hAnsi="Myriad Pro"/>
                        <w:b/>
                        <w:color w:val="FFFFFF"/>
                        <w:sz w:val="22"/>
                      </w:rPr>
                      <w:t>Exemple : Constitution de la République d’Afrique du Sud n° 108, de 1996</w:t>
                    </w:r>
                  </w:p>
                  <w:p>
                    <w:pPr>
                      <w:spacing w:before="188"/>
                      <w:ind w:left="180" w:right="-6" w:firstLine="0"/>
                      <w:jc w:val="left"/>
                      <w:rPr>
                        <w:rFonts w:ascii="Myriad Pro"/>
                        <w:sz w:val="20"/>
                      </w:rPr>
                    </w:pPr>
                    <w:r>
                      <w:rPr>
                        <w:rFonts w:ascii="Myriad Pro"/>
                        <w:color w:val="231F20"/>
                        <w:sz w:val="20"/>
                      </w:rPr>
                      <w:t>19. Droits politiques</w:t>
                    </w:r>
                  </w:p>
                  <w:p>
                    <w:pPr>
                      <w:numPr>
                        <w:ilvl w:val="0"/>
                        <w:numId w:val="5"/>
                      </w:numPr>
                      <w:tabs>
                        <w:tab w:pos="439" w:val="left" w:leader="none"/>
                      </w:tabs>
                      <w:spacing w:before="113"/>
                      <w:ind w:left="460" w:right="0" w:hanging="280"/>
                      <w:jc w:val="left"/>
                      <w:rPr>
                        <w:rFonts w:ascii="Myriad Pro"/>
                        <w:sz w:val="20"/>
                      </w:rPr>
                    </w:pPr>
                    <w:r>
                      <w:rPr>
                        <w:rFonts w:ascii="Myriad Pro"/>
                        <w:color w:val="231F20"/>
                        <w:sz w:val="20"/>
                      </w:rPr>
                      <w:t>Chaque citoyen est libre de faire ses propres choix politiques, ce qui comprend le droit</w:t>
                    </w:r>
                    <w:r>
                      <w:rPr>
                        <w:rFonts w:ascii="Myriad Pro"/>
                        <w:color w:val="231F20"/>
                        <w:spacing w:val="-25"/>
                        <w:sz w:val="20"/>
                      </w:rPr>
                      <w:t> </w:t>
                    </w:r>
                    <w:r>
                      <w:rPr>
                        <w:rFonts w:ascii="Myriad Pro"/>
                        <w:color w:val="231F20"/>
                        <w:sz w:val="20"/>
                      </w:rPr>
                      <w:t>:</w:t>
                    </w:r>
                  </w:p>
                  <w:p>
                    <w:pPr>
                      <w:numPr>
                        <w:ilvl w:val="1"/>
                        <w:numId w:val="5"/>
                      </w:numPr>
                      <w:tabs>
                        <w:tab w:pos="713" w:val="left" w:leader="none"/>
                      </w:tabs>
                      <w:spacing w:before="56"/>
                      <w:ind w:left="712" w:right="0" w:hanging="252"/>
                      <w:jc w:val="left"/>
                      <w:rPr>
                        <w:rFonts w:ascii="Myriad Pro" w:hAnsi="Myriad Pro"/>
                        <w:sz w:val="20"/>
                      </w:rPr>
                    </w:pPr>
                    <w:r>
                      <w:rPr>
                        <w:rFonts w:ascii="Myriad Pro" w:hAnsi="Myriad Pro"/>
                        <w:color w:val="231F20"/>
                        <w:sz w:val="20"/>
                      </w:rPr>
                      <w:t>de créer un parti politique</w:t>
                    </w:r>
                    <w:r>
                      <w:rPr>
                        <w:rFonts w:ascii="Myriad Pro" w:hAnsi="Myriad Pro"/>
                        <w:color w:val="231F20"/>
                        <w:spacing w:val="2"/>
                        <w:sz w:val="20"/>
                      </w:rPr>
                      <w:t> </w:t>
                    </w:r>
                    <w:r>
                      <w:rPr>
                        <w:rFonts w:ascii="Myriad Pro" w:hAnsi="Myriad Pro"/>
                        <w:color w:val="231F20"/>
                        <w:sz w:val="20"/>
                      </w:rPr>
                      <w:t>;</w:t>
                    </w:r>
                  </w:p>
                  <w:p>
                    <w:pPr>
                      <w:numPr>
                        <w:ilvl w:val="1"/>
                        <w:numId w:val="5"/>
                      </w:numPr>
                      <w:tabs>
                        <w:tab w:pos="730" w:val="left" w:leader="none"/>
                      </w:tabs>
                      <w:spacing w:before="56"/>
                      <w:ind w:left="729" w:right="0" w:hanging="269"/>
                      <w:jc w:val="left"/>
                      <w:rPr>
                        <w:b w:val="0"/>
                        <w:i/>
                        <w:sz w:val="20"/>
                      </w:rPr>
                    </w:pPr>
                    <w:r>
                      <w:rPr>
                        <w:rFonts w:ascii="Myriad Pro" w:hAnsi="Myriad Pro"/>
                        <w:color w:val="231F20"/>
                        <w:sz w:val="20"/>
                      </w:rPr>
                      <w:t>) de participer aux activités d’un parti politique, ou </w:t>
                    </w:r>
                    <w:r>
                      <w:rPr>
                        <w:rFonts w:ascii="Myriad Pro" w:hAnsi="Myriad Pro"/>
                        <w:color w:val="231F20"/>
                        <w:spacing w:val="-4"/>
                        <w:sz w:val="20"/>
                      </w:rPr>
                      <w:t>d’en </w:t>
                    </w:r>
                    <w:r>
                      <w:rPr>
                        <w:rFonts w:ascii="Myriad Pro" w:hAnsi="Myriad Pro"/>
                        <w:color w:val="231F20"/>
                        <w:sz w:val="20"/>
                      </w:rPr>
                      <w:t>recruter les membres ;</w:t>
                    </w:r>
                    <w:r>
                      <w:rPr>
                        <w:rFonts w:ascii="Myriad Pro" w:hAnsi="Myriad Pro"/>
                        <w:color w:val="231F20"/>
                        <w:spacing w:val="5"/>
                        <w:sz w:val="20"/>
                      </w:rPr>
                      <w:t> </w:t>
                    </w:r>
                    <w:r>
                      <w:rPr>
                        <w:b w:val="0"/>
                        <w:i/>
                        <w:color w:val="231F20"/>
                        <w:sz w:val="20"/>
                      </w:rPr>
                      <w:t>et</w:t>
                    </w:r>
                  </w:p>
                  <w:p>
                    <w:pPr>
                      <w:numPr>
                        <w:ilvl w:val="1"/>
                        <w:numId w:val="5"/>
                      </w:numPr>
                      <w:tabs>
                        <w:tab w:pos="706" w:val="left" w:leader="none"/>
                      </w:tabs>
                      <w:spacing w:before="56"/>
                      <w:ind w:left="705" w:right="0" w:hanging="245"/>
                      <w:jc w:val="left"/>
                      <w:rPr>
                        <w:rFonts w:ascii="Myriad Pro"/>
                        <w:sz w:val="20"/>
                      </w:rPr>
                    </w:pPr>
                    <w:r>
                      <w:rPr>
                        <w:rFonts w:ascii="Myriad Pro"/>
                        <w:color w:val="231F20"/>
                        <w:sz w:val="20"/>
                      </w:rPr>
                      <w:t>de faire campagne pour un parti ou une cause</w:t>
                    </w:r>
                    <w:r>
                      <w:rPr>
                        <w:rFonts w:ascii="Myriad Pro"/>
                        <w:color w:val="231F20"/>
                        <w:spacing w:val="-3"/>
                        <w:sz w:val="20"/>
                      </w:rPr>
                      <w:t> </w:t>
                    </w:r>
                    <w:r>
                      <w:rPr>
                        <w:rFonts w:ascii="Myriad Pro"/>
                        <w:color w:val="231F20"/>
                        <w:sz w:val="20"/>
                      </w:rPr>
                      <w:t>politique.</w:t>
                    </w:r>
                  </w:p>
                  <w:p>
                    <w:pPr>
                      <w:numPr>
                        <w:ilvl w:val="0"/>
                        <w:numId w:val="5"/>
                      </w:numPr>
                      <w:tabs>
                        <w:tab w:pos="439" w:val="left" w:leader="none"/>
                      </w:tabs>
                      <w:spacing w:before="113"/>
                      <w:ind w:left="460" w:right="414" w:hanging="280"/>
                      <w:jc w:val="left"/>
                      <w:rPr>
                        <w:rFonts w:ascii="Myriad Pro" w:hAnsi="Myriad Pro"/>
                        <w:sz w:val="20"/>
                      </w:rPr>
                    </w:pPr>
                    <w:r>
                      <w:rPr>
                        <w:rFonts w:ascii="Myriad Pro" w:hAnsi="Myriad Pro"/>
                        <w:color w:val="231F20"/>
                        <w:sz w:val="20"/>
                      </w:rPr>
                      <w:t>Chaque citoyen a droit à des élections libres, justes et régulières pour tout</w:t>
                    </w:r>
                    <w:r>
                      <w:rPr>
                        <w:rFonts w:ascii="Myriad Pro" w:hAnsi="Myriad Pro"/>
                        <w:color w:val="231F20"/>
                        <w:spacing w:val="-21"/>
                        <w:sz w:val="20"/>
                      </w:rPr>
                      <w:t> </w:t>
                    </w:r>
                    <w:r>
                      <w:rPr>
                        <w:rFonts w:ascii="Myriad Pro" w:hAnsi="Myriad Pro"/>
                        <w:color w:val="231F20"/>
                        <w:sz w:val="20"/>
                      </w:rPr>
                      <w:t>organisme législatif établi selon les termes de la</w:t>
                    </w:r>
                    <w:r>
                      <w:rPr>
                        <w:rFonts w:ascii="Myriad Pro" w:hAnsi="Myriad Pro"/>
                        <w:color w:val="231F20"/>
                        <w:spacing w:val="-8"/>
                        <w:sz w:val="20"/>
                      </w:rPr>
                      <w:t> </w:t>
                    </w:r>
                    <w:r>
                      <w:rPr>
                        <w:rFonts w:ascii="Myriad Pro" w:hAnsi="Myriad Pro"/>
                        <w:color w:val="231F20"/>
                        <w:sz w:val="20"/>
                      </w:rPr>
                      <w:t>Constitution.</w:t>
                    </w:r>
                  </w:p>
                  <w:p>
                    <w:pPr>
                      <w:numPr>
                        <w:ilvl w:val="0"/>
                        <w:numId w:val="5"/>
                      </w:numPr>
                      <w:tabs>
                        <w:tab w:pos="439" w:val="left" w:leader="none"/>
                      </w:tabs>
                      <w:spacing w:before="113"/>
                      <w:ind w:left="438" w:right="0" w:hanging="258"/>
                      <w:jc w:val="left"/>
                      <w:rPr>
                        <w:rFonts w:ascii="Myriad Pro"/>
                        <w:sz w:val="20"/>
                      </w:rPr>
                    </w:pPr>
                    <w:r>
                      <w:rPr>
                        <w:rFonts w:ascii="Myriad Pro"/>
                        <w:color w:val="231F20"/>
                        <w:sz w:val="20"/>
                      </w:rPr>
                      <w:t>Chaque citoyen adulte a le droit</w:t>
                    </w:r>
                    <w:r>
                      <w:rPr>
                        <w:rFonts w:ascii="Myriad Pro"/>
                        <w:color w:val="231F20"/>
                        <w:spacing w:val="-10"/>
                        <w:sz w:val="20"/>
                      </w:rPr>
                      <w:t> </w:t>
                    </w:r>
                    <w:r>
                      <w:rPr>
                        <w:rFonts w:ascii="Myriad Pro"/>
                        <w:color w:val="231F20"/>
                        <w:sz w:val="20"/>
                      </w:rPr>
                      <w:t>:</w:t>
                    </w:r>
                  </w:p>
                  <w:p>
                    <w:pPr>
                      <w:numPr>
                        <w:ilvl w:val="1"/>
                        <w:numId w:val="5"/>
                      </w:numPr>
                      <w:tabs>
                        <w:tab w:pos="755" w:val="left" w:leader="none"/>
                      </w:tabs>
                      <w:spacing w:before="56"/>
                      <w:ind w:left="740" w:right="479" w:hanging="280"/>
                      <w:jc w:val="left"/>
                      <w:rPr>
                        <w:b w:val="0"/>
                        <w:i/>
                        <w:sz w:val="20"/>
                      </w:rPr>
                    </w:pPr>
                    <w:r>
                      <w:rPr>
                        <w:rFonts w:ascii="Myriad Pro" w:hAnsi="Myriad Pro"/>
                        <w:color w:val="231F20"/>
                        <w:sz w:val="20"/>
                      </w:rPr>
                      <w:t>de voter aux élections pour tout organisme législatif établi selon les termes de</w:t>
                    </w:r>
                    <w:r>
                      <w:rPr>
                        <w:rFonts w:ascii="Myriad Pro" w:hAnsi="Myriad Pro"/>
                        <w:color w:val="231F20"/>
                        <w:spacing w:val="-11"/>
                        <w:sz w:val="20"/>
                      </w:rPr>
                      <w:t> </w:t>
                    </w:r>
                    <w:r>
                      <w:rPr>
                        <w:rFonts w:ascii="Myriad Pro" w:hAnsi="Myriad Pro"/>
                        <w:color w:val="231F20"/>
                        <w:sz w:val="20"/>
                      </w:rPr>
                      <w:t>la Constitution, et de le faire à bulletin secret ;</w:t>
                    </w:r>
                    <w:r>
                      <w:rPr>
                        <w:rFonts w:ascii="Myriad Pro" w:hAnsi="Myriad Pro"/>
                        <w:color w:val="231F20"/>
                        <w:spacing w:val="-8"/>
                        <w:sz w:val="20"/>
                      </w:rPr>
                      <w:t> </w:t>
                    </w:r>
                    <w:r>
                      <w:rPr>
                        <w:b w:val="0"/>
                        <w:i/>
                        <w:color w:val="231F20"/>
                        <w:sz w:val="20"/>
                      </w:rPr>
                      <w:t>et</w:t>
                    </w:r>
                  </w:p>
                  <w:p>
                    <w:pPr>
                      <w:numPr>
                        <w:ilvl w:val="1"/>
                        <w:numId w:val="5"/>
                      </w:numPr>
                      <w:tabs>
                        <w:tab w:pos="730" w:val="left" w:leader="none"/>
                      </w:tabs>
                      <w:spacing w:before="56"/>
                      <w:ind w:left="729" w:right="0" w:hanging="269"/>
                      <w:jc w:val="left"/>
                      <w:rPr>
                        <w:rFonts w:ascii="Myriad Pro" w:hAnsi="Myriad Pro"/>
                        <w:sz w:val="20"/>
                      </w:rPr>
                    </w:pPr>
                    <w:r>
                      <w:rPr>
                        <w:rFonts w:ascii="Myriad Pro" w:hAnsi="Myriad Pro"/>
                        <w:color w:val="231F20"/>
                        <w:sz w:val="20"/>
                      </w:rPr>
                      <w:t>) de se présenter pour un mandat public et, en cas d’élection, </w:t>
                    </w:r>
                    <w:r>
                      <w:rPr>
                        <w:rFonts w:ascii="Myriad Pro" w:hAnsi="Myriad Pro"/>
                        <w:color w:val="231F20"/>
                        <w:spacing w:val="-3"/>
                        <w:sz w:val="20"/>
                      </w:rPr>
                      <w:t>d’exercer </w:t>
                    </w:r>
                    <w:r>
                      <w:rPr>
                        <w:rFonts w:ascii="Myriad Pro" w:hAnsi="Myriad Pro"/>
                        <w:color w:val="231F20"/>
                        <w:sz w:val="20"/>
                      </w:rPr>
                      <w:t>ledit</w:t>
                    </w:r>
                    <w:r>
                      <w:rPr>
                        <w:rFonts w:ascii="Myriad Pro" w:hAnsi="Myriad Pro"/>
                        <w:color w:val="231F20"/>
                        <w:spacing w:val="-15"/>
                        <w:sz w:val="20"/>
                      </w:rPr>
                      <w:t> </w:t>
                    </w:r>
                    <w:r>
                      <w:rPr>
                        <w:rFonts w:ascii="Myriad Pro" w:hAnsi="Myriad Pro"/>
                        <w:color w:val="231F20"/>
                        <w:sz w:val="20"/>
                      </w:rPr>
                      <w:t>mandat.</w:t>
                    </w:r>
                  </w:p>
                </w:txbxContent>
              </v:textbox>
              <w10:wrap type="none"/>
            </v:shape>
            <w10:wrap type="topAndBottom"/>
          </v:group>
        </w:pict>
      </w:r>
    </w:p>
    <w:p>
      <w:pPr>
        <w:pStyle w:val="BodyText"/>
        <w:spacing w:before="4"/>
        <w:rPr>
          <w:rFonts w:ascii="Myriad Pro"/>
          <w:sz w:val="8"/>
        </w:rPr>
      </w:pPr>
    </w:p>
    <w:p>
      <w:pPr>
        <w:pStyle w:val="BodyText"/>
        <w:spacing w:line="266" w:lineRule="auto" w:before="68"/>
        <w:ind w:left="2891" w:right="180"/>
        <w:rPr>
          <w:b w:val="0"/>
        </w:rPr>
      </w:pPr>
      <w:r>
        <w:rPr>
          <w:b w:val="0"/>
          <w:color w:val="231F20"/>
        </w:rPr>
        <w:t>Parmi les autres exemples, on peut citer l’Autriche, les Pays-Bas et la Suède, où une étude menée par l’Agence des droits fondamentaux de l’Union européenne a montré que le droit de vote et d’éligibilité des personnes présentant des problèmes de santé mentale ou des déficiences intellectuelles est protégé par la Constitution.</w:t>
      </w:r>
      <w:r>
        <w:rPr>
          <w:b w:val="0"/>
          <w:color w:val="231F20"/>
          <w:position w:val="7"/>
          <w:sz w:val="13"/>
        </w:rPr>
        <w:t>10 </w:t>
      </w:r>
      <w:r>
        <w:rPr>
          <w:b w:val="0"/>
          <w:color w:val="231F20"/>
        </w:rPr>
        <w:t>En commentant cette étude, le Commissaire aux droits de l’homme du Conseil de l’Europe note que</w:t>
      </w:r>
    </w:p>
    <w:p>
      <w:pPr>
        <w:pStyle w:val="BodyText"/>
        <w:spacing w:line="266" w:lineRule="auto"/>
        <w:ind w:left="2891" w:right="180"/>
        <w:rPr>
          <w:b w:val="0"/>
          <w:sz w:val="13"/>
        </w:rPr>
      </w:pPr>
      <w:r>
        <w:rPr>
          <w:b w:val="0"/>
          <w:color w:val="231F20"/>
        </w:rPr>
        <w:t>« l’expérience de ces pays montre que les craintes selon lesquelles cette approche pourrait créer des problèmes réels, étaient sans fondement ».</w:t>
      </w:r>
      <w:r>
        <w:rPr>
          <w:b w:val="0"/>
          <w:color w:val="231F20"/>
          <w:position w:val="7"/>
          <w:sz w:val="13"/>
        </w:rPr>
        <w:t>11</w:t>
      </w:r>
    </w:p>
    <w:p>
      <w:pPr>
        <w:pStyle w:val="BodyText"/>
        <w:rPr>
          <w:b w:val="0"/>
          <w:sz w:val="27"/>
        </w:rPr>
      </w:pPr>
    </w:p>
    <w:p>
      <w:pPr>
        <w:pStyle w:val="Heading3"/>
        <w:numPr>
          <w:ilvl w:val="0"/>
          <w:numId w:val="4"/>
        </w:numPr>
        <w:tabs>
          <w:tab w:pos="3612" w:val="left" w:leader="none"/>
        </w:tabs>
        <w:spacing w:line="320" w:lineRule="exact" w:before="0" w:after="0"/>
        <w:ind w:left="3611" w:right="494" w:hanging="720"/>
        <w:jc w:val="left"/>
        <w:rPr>
          <w:b/>
        </w:rPr>
      </w:pPr>
      <w:r>
        <w:rPr>
          <w:b/>
          <w:color w:val="F99D25"/>
        </w:rPr>
        <w:t>Développer une information et une éducation</w:t>
      </w:r>
      <w:r>
        <w:rPr>
          <w:b/>
          <w:color w:val="F99D25"/>
          <w:spacing w:val="-17"/>
        </w:rPr>
        <w:t> </w:t>
      </w:r>
      <w:r>
        <w:rPr>
          <w:b/>
          <w:color w:val="F99D25"/>
        </w:rPr>
        <w:t>inclusives des</w:t>
      </w:r>
      <w:r>
        <w:rPr>
          <w:b/>
          <w:color w:val="F99D25"/>
          <w:spacing w:val="2"/>
        </w:rPr>
        <w:t> </w:t>
      </w:r>
      <w:r>
        <w:rPr>
          <w:b/>
          <w:color w:val="F99D25"/>
        </w:rPr>
        <w:t>électeurs</w:t>
      </w:r>
    </w:p>
    <w:p>
      <w:pPr>
        <w:pStyle w:val="BodyText"/>
        <w:spacing w:line="266" w:lineRule="auto" w:before="133"/>
        <w:ind w:left="2891"/>
        <w:rPr>
          <w:b w:val="0"/>
        </w:rPr>
      </w:pPr>
      <w:r>
        <w:rPr>
          <w:b w:val="0"/>
          <w:color w:val="231F20"/>
        </w:rPr>
        <w:t>Garantir l'accès des personnes handicapées à l’information et à l’éducation des électeurs nécessite des aménagements et diverses modifications. Par exemple, des informations illustrées ou graphiques peuvent être utiles pour de nombreux électeurs, y compris</w:t>
      </w:r>
    </w:p>
    <w:p>
      <w:pPr>
        <w:pStyle w:val="BodyText"/>
        <w:spacing w:line="266" w:lineRule="auto"/>
        <w:ind w:left="2891" w:right="180"/>
        <w:rPr>
          <w:b w:val="0"/>
        </w:rPr>
      </w:pPr>
      <w:r>
        <w:rPr>
          <w:b w:val="0"/>
          <w:color w:val="231F20"/>
        </w:rPr>
        <w:t>les personnes présentant un handicap intellectuel et celles présentant des déficiences auditives. Lors de la préparation d’informations accessibles, d’autres types de différences en matière de besoins de communication et d’information doivent aussi être pris en compte afin de s'adapter à la diversité de l'électorat. Ces variables peuvent inclure le langage, l'alphabétisation, la nature urbaine ou rurale des populations, les traditions culturelles et le sexe, entre autres.</w:t>
      </w:r>
    </w:p>
    <w:p>
      <w:pPr>
        <w:pStyle w:val="BodyText"/>
        <w:spacing w:before="2"/>
        <w:rPr>
          <w:b w:val="0"/>
          <w:sz w:val="19"/>
        </w:rPr>
      </w:pPr>
    </w:p>
    <w:p>
      <w:pPr>
        <w:pStyle w:val="BodyText"/>
        <w:spacing w:line="266" w:lineRule="auto"/>
        <w:ind w:left="2891" w:right="79"/>
        <w:rPr>
          <w:b w:val="0"/>
        </w:rPr>
      </w:pPr>
      <w:r>
        <w:rPr>
          <w:b w:val="0"/>
          <w:color w:val="231F20"/>
        </w:rPr>
        <w:t>Les partis politiques peuvent jouer un rôle important dans la dimension inclusive de la sensibilisation et de l’éducation politiques. Dans de nombreux pays, les coalitions de partis politiques qui représentent les intérêts de différents groupes sociaux, reconnaissent que les personnes handicapées sont un réservoir important de votes potentiels. Elles sont nombreuses à avoir adapté leur message afin d’y inclure la langue des signes et le braille, de façon à s'adapter aux personnes handicapées.</w:t>
      </w:r>
    </w:p>
    <w:p>
      <w:pPr>
        <w:pStyle w:val="BodyText"/>
        <w:spacing w:before="2"/>
        <w:rPr>
          <w:b w:val="0"/>
          <w:sz w:val="19"/>
        </w:rPr>
      </w:pPr>
    </w:p>
    <w:p>
      <w:pPr>
        <w:pStyle w:val="BodyText"/>
        <w:spacing w:line="266" w:lineRule="auto"/>
        <w:ind w:left="2891" w:right="180"/>
        <w:rPr>
          <w:b w:val="0"/>
        </w:rPr>
      </w:pPr>
      <w:r>
        <w:rPr>
          <w:b w:val="0"/>
          <w:color w:val="231F20"/>
        </w:rPr>
        <w:t>L'éducation civique, sociale et politique doit présenter des portraits de personnes handicapées, qu’il s'agisse d'électeurs ou de politiciens. Les campagnes de sensibilisation du public doivent mettre en avant les droits politiques des personnes handicapées. Les</w:t>
      </w:r>
    </w:p>
    <w:p>
      <w:pPr>
        <w:pStyle w:val="BodyText"/>
        <w:spacing w:before="5"/>
        <w:rPr>
          <w:b w:val="0"/>
          <w:sz w:val="17"/>
        </w:rPr>
      </w:pPr>
      <w:r>
        <w:rPr/>
        <w:pict>
          <v:line style="position:absolute;mso-position-horizontal-relative:page;mso-position-vertical-relative:paragraph;z-index:2320;mso-wrap-distance-left:0;mso-wrap-distance-right:0" from="144.566895pt,12.536054pt" to="243.779895pt,12.536054pt" stroked="true" strokeweight=".5pt" strokecolor="#231f20">
            <w10:wrap type="topAndBottom"/>
          </v:line>
        </w:pict>
      </w:r>
    </w:p>
    <w:p>
      <w:pPr>
        <w:spacing w:line="180" w:lineRule="exact" w:before="87"/>
        <w:ind w:left="3151" w:right="272" w:hanging="260"/>
        <w:jc w:val="left"/>
        <w:rPr>
          <w:b w:val="0"/>
          <w:sz w:val="17"/>
        </w:rPr>
      </w:pPr>
      <w:r>
        <w:rPr>
          <w:b w:val="0"/>
          <w:color w:val="231F20"/>
          <w:position w:val="6"/>
          <w:sz w:val="10"/>
        </w:rPr>
        <w:t>10 </w:t>
      </w:r>
      <w:r>
        <w:rPr>
          <w:b w:val="0"/>
          <w:color w:val="231F20"/>
          <w:sz w:val="17"/>
        </w:rPr>
        <w:t>Agence des droits fondamentaux de l’Union européenne, </w:t>
      </w:r>
      <w:r>
        <w:rPr>
          <w:b w:val="0"/>
          <w:i/>
          <w:color w:val="231F20"/>
          <w:sz w:val="17"/>
        </w:rPr>
        <w:t>Le droit à la participation politique des personnes </w:t>
      </w:r>
      <w:r>
        <w:rPr>
          <w:b w:val="0"/>
          <w:i/>
          <w:color w:val="231F20"/>
          <w:sz w:val="17"/>
        </w:rPr>
        <w:t>souffrant de troubles mentaux et des personnes handicapées mentales</w:t>
      </w:r>
      <w:r>
        <w:rPr>
          <w:b w:val="0"/>
          <w:color w:val="231F20"/>
          <w:sz w:val="17"/>
        </w:rPr>
        <w:t>, pp. 18-19 (Octobre 2011).</w:t>
      </w:r>
    </w:p>
    <w:p>
      <w:pPr>
        <w:spacing w:line="180" w:lineRule="exact" w:before="56"/>
        <w:ind w:left="3151" w:right="211" w:hanging="260"/>
        <w:jc w:val="both"/>
        <w:rPr>
          <w:b w:val="0"/>
          <w:sz w:val="17"/>
        </w:rPr>
      </w:pPr>
      <w:r>
        <w:rPr>
          <w:b w:val="0"/>
          <w:color w:val="231F20"/>
          <w:position w:val="6"/>
          <w:sz w:val="10"/>
        </w:rPr>
        <w:t>11 </w:t>
      </w:r>
      <w:r>
        <w:rPr>
          <w:b w:val="0"/>
          <w:color w:val="231F20"/>
          <w:sz w:val="17"/>
        </w:rPr>
        <w:t>Le Commissaire aux droits de l’homme du Conseil de l’Europe, M. Hammarberg, a publié un Carnet les droits de l’homme, disponible à l’adresse :</w:t>
      </w:r>
      <w:r>
        <w:rPr>
          <w:b w:val="0"/>
          <w:color w:val="231F20"/>
          <w:spacing w:val="-14"/>
          <w:sz w:val="17"/>
        </w:rPr>
        <w:t> </w:t>
      </w:r>
      <w:hyperlink r:id="rId18">
        <w:r>
          <w:rPr>
            <w:b w:val="0"/>
            <w:color w:val="F99D25"/>
            <w:sz w:val="17"/>
          </w:rPr>
          <w:t>https://wcd.coe.int/wcd/ViewDoc.jsp?Ref=PR242(2011)&amp;Language=lanEnglish</w:t>
        </w:r>
      </w:hyperlink>
      <w:r>
        <w:rPr>
          <w:b w:val="0"/>
          <w:color w:val="F99D25"/>
          <w:sz w:val="17"/>
        </w:rPr>
        <w:t> </w:t>
      </w:r>
      <w:hyperlink r:id="rId18">
        <w:r>
          <w:rPr>
            <w:b w:val="0"/>
            <w:color w:val="F99D25"/>
            <w:sz w:val="17"/>
          </w:rPr>
          <w:t>&amp;Ver=orig inal&amp;BackColorInternet=F5CA75&amp;BackColorIntranet=F5CA75&amp;Back</w:t>
        </w:r>
        <w:r>
          <w:rPr>
            <w:b w:val="0"/>
            <w:color w:val="F99D25"/>
            <w:spacing w:val="-9"/>
            <w:sz w:val="17"/>
          </w:rPr>
          <w:t> </w:t>
        </w:r>
        <w:r>
          <w:rPr>
            <w:b w:val="0"/>
            <w:color w:val="F99D25"/>
            <w:sz w:val="17"/>
          </w:rPr>
          <w:t>ColorLogged=A9BACE</w:t>
        </w:r>
      </w:hyperlink>
    </w:p>
    <w:p>
      <w:pPr>
        <w:pStyle w:val="BodyText"/>
        <w:spacing w:before="9"/>
        <w:rPr>
          <w:b w:val="0"/>
          <w:sz w:val="29"/>
        </w:rPr>
      </w:pPr>
    </w:p>
    <w:p>
      <w:pPr>
        <w:spacing w:before="117"/>
        <w:ind w:left="2891" w:right="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464" coordorigin="9241,0" coordsize="2665,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99D25" w:color="auto" w:val="clear"/>
                      </w:rPr>
                      <w:t> </w:t>
                    </w:r>
                    <w:r>
                      <w:rPr>
                        <w:rFonts w:ascii="Myriad Pro"/>
                        <w:color w:val="FFFFFF"/>
                        <w:sz w:val="26"/>
                        <w:shd w:fill="F99D25" w:color="auto" w:val="clear"/>
                      </w:rPr>
                      <w:t>9</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2880"/>
        <w:rPr>
          <w:b w:val="0"/>
        </w:rPr>
      </w:pPr>
      <w:r>
        <w:rPr>
          <w:b w:val="0"/>
          <w:color w:val="231F20"/>
        </w:rPr>
        <w:t>campagnes ou programmes éducatifs doivent aussi cibler les enfants, afin qu’ils soient exposés à des images positives de personnes handicapées en tant que citoyens engagés. Cela permettra de générer une vision positive du rôle que les personnes handicapées peuvent et doivent jouer dans la société. Outre la promotion de l’éducation civique, assurer une éducation inclusive aux enfants handicapés permettra de renforcer le soutien apporté à leur développement en tant que citoyens engagés et, potentiellement, en tant qu’électeurs ou élus.</w:t>
      </w:r>
    </w:p>
    <w:p>
      <w:pPr>
        <w:pStyle w:val="BodyText"/>
        <w:spacing w:before="9"/>
        <w:rPr>
          <w:b w:val="0"/>
          <w:sz w:val="8"/>
        </w:rPr>
      </w:pPr>
      <w:r>
        <w:rPr/>
        <w:pict>
          <v:group style="position:absolute;margin-left:56.192902pt;margin-top:7.167139pt;width:395.05pt;height:186.55pt;mso-position-horizontal-relative:page;mso-position-vertical-relative:paragraph;z-index:2416;mso-wrap-distance-left:0;mso-wrap-distance-right:0" coordorigin="1124,143" coordsize="7901,3731">
            <v:rect style="position:absolute;left:1134;top:143;width:7880;height:363" filled="true" fillcolor="#f99d25" stroked="false">
              <v:fill type="solid"/>
            </v:rect>
            <v:rect style="position:absolute;left:1134;top:507;width:7880;height:3357" filled="true" fillcolor="#fff2e3" stroked="false">
              <v:fill type="solid"/>
            </v:rect>
            <v:line style="position:absolute" from="1134,3864" to="9014,3864" stroked="true" strokeweight="1pt" strokecolor="#f99d25"/>
            <v:shape style="position:absolute;left:1124;top:143;width:7901;height:3731" type="#_x0000_t202" filled="false" stroked="false">
              <v:textbox inset="0,0,0,0">
                <w:txbxContent>
                  <w:p>
                    <w:pPr>
                      <w:spacing w:before="32"/>
                      <w:ind w:left="1397" w:right="-6" w:firstLine="0"/>
                      <w:jc w:val="left"/>
                      <w:rPr>
                        <w:rFonts w:ascii="Myriad Pro" w:hAnsi="Myriad Pro"/>
                        <w:b/>
                        <w:sz w:val="22"/>
                      </w:rPr>
                    </w:pPr>
                    <w:r>
                      <w:rPr>
                        <w:rFonts w:ascii="Myriad Pro" w:hAnsi="Myriad Pro"/>
                        <w:b/>
                        <w:color w:val="FFFFFF"/>
                        <w:sz w:val="22"/>
                      </w:rPr>
                      <w:t>Comment promouvoir l’éducation civique inclusive ?</w:t>
                    </w:r>
                  </w:p>
                  <w:p>
                    <w:pPr>
                      <w:spacing w:before="188"/>
                      <w:ind w:left="803" w:right="427" w:hanging="284"/>
                      <w:jc w:val="left"/>
                      <w:rPr>
                        <w:rFonts w:ascii="Myriad Pro" w:hAnsi="Myriad Pro"/>
                        <w:sz w:val="20"/>
                      </w:rPr>
                    </w:pPr>
                    <w:r>
                      <w:rPr>
                        <w:rFonts w:ascii="Arial" w:hAnsi="Arial"/>
                        <w:color w:val="231F20"/>
                        <w:w w:val="120"/>
                        <w:sz w:val="20"/>
                      </w:rPr>
                      <w:t>z </w:t>
                    </w:r>
                    <w:r>
                      <w:rPr>
                        <w:rFonts w:ascii="Myriad Pro" w:hAnsi="Myriad Pro"/>
                        <w:color w:val="231F20"/>
                        <w:sz w:val="20"/>
                      </w:rPr>
                      <w:t>Les enseignants et autres éducateurs civiques doivent être formés aux politiques et stratégies de promotion du droit des personnes handicapées à participer au processus démocratique à tous les niveaux.</w:t>
                    </w:r>
                  </w:p>
                  <w:p>
                    <w:pPr>
                      <w:spacing w:before="56"/>
                      <w:ind w:left="803" w:right="208" w:hanging="284"/>
                      <w:jc w:val="left"/>
                      <w:rPr>
                        <w:rFonts w:ascii="Myriad Pro" w:hAnsi="Myriad Pro"/>
                        <w:sz w:val="20"/>
                      </w:rPr>
                    </w:pPr>
                    <w:r>
                      <w:rPr>
                        <w:rFonts w:ascii="Arial" w:hAnsi="Arial"/>
                        <w:color w:val="231F20"/>
                        <w:w w:val="120"/>
                        <w:sz w:val="20"/>
                      </w:rPr>
                      <w:t>z </w:t>
                    </w:r>
                    <w:r>
                      <w:rPr>
                        <w:rFonts w:ascii="Myriad Pro" w:hAnsi="Myriad Pro"/>
                        <w:color w:val="231F20"/>
                        <w:sz w:val="20"/>
                      </w:rPr>
                      <w:t>Les programmes d’éducation civique doivent être conçus pour inclure le handicap, garantissant ainsi la diffusion de la voix et de l’image des personnes handicapées en tant que participants au processus démocratique.</w:t>
                    </w:r>
                  </w:p>
                  <w:p>
                    <w:pPr>
                      <w:spacing w:before="56"/>
                      <w:ind w:left="803" w:right="427" w:hanging="284"/>
                      <w:jc w:val="left"/>
                      <w:rPr>
                        <w:rFonts w:ascii="Myriad Pro" w:hAnsi="Myriad Pro"/>
                        <w:sz w:val="20"/>
                      </w:rPr>
                    </w:pPr>
                    <w:r>
                      <w:rPr>
                        <w:rFonts w:ascii="Arial" w:hAnsi="Arial"/>
                        <w:color w:val="231F20"/>
                        <w:w w:val="120"/>
                        <w:sz w:val="20"/>
                      </w:rPr>
                      <w:t>z </w:t>
                    </w:r>
                    <w:r>
                      <w:rPr>
                        <w:rFonts w:ascii="Myriad Pro" w:hAnsi="Myriad Pro"/>
                        <w:color w:val="231F20"/>
                        <w:sz w:val="20"/>
                      </w:rPr>
                      <w:t>Les supports utilisés pour diffuser des informations aux enfants en matière de responsabilité civique et de système politique doivent faire figurer des images de personnes handicapées et les présenter comme électeurs, politiciens et participants actifs à la communauté et à la prise de décisions.</w:t>
                    </w:r>
                  </w:p>
                  <w:p>
                    <w:pPr>
                      <w:spacing w:before="56"/>
                      <w:ind w:left="802" w:right="-6" w:hanging="284"/>
                      <w:jc w:val="left"/>
                      <w:rPr>
                        <w:rFonts w:ascii="Myriad Pro" w:hAnsi="Myriad Pro"/>
                        <w:sz w:val="20"/>
                      </w:rPr>
                    </w:pPr>
                    <w:r>
                      <w:rPr>
                        <w:rFonts w:ascii="Arial" w:hAnsi="Arial"/>
                        <w:color w:val="231F20"/>
                        <w:w w:val="120"/>
                        <w:sz w:val="20"/>
                      </w:rPr>
                      <w:t>z </w:t>
                    </w:r>
                    <w:r>
                      <w:rPr>
                        <w:rFonts w:ascii="Myriad Pro" w:hAnsi="Myriad Pro"/>
                        <w:color w:val="231F20"/>
                        <w:sz w:val="20"/>
                      </w:rPr>
                      <w:t>Les OPH ont un rôle essentiel à jouer dans la conception et la mise en œuvre de programmes d'éducation civique inclusifs.</w:t>
                    </w:r>
                  </w:p>
                </w:txbxContent>
              </v:textbox>
              <w10:wrap type="none"/>
            </v:shape>
            <w10:wrap type="topAndBottom"/>
          </v:group>
        </w:pict>
      </w:r>
    </w:p>
    <w:p>
      <w:pPr>
        <w:pStyle w:val="BodyText"/>
        <w:rPr>
          <w:b w:val="0"/>
          <w:sz w:val="26"/>
        </w:rPr>
      </w:pPr>
    </w:p>
    <w:p>
      <w:pPr>
        <w:pStyle w:val="Heading3"/>
        <w:numPr>
          <w:ilvl w:val="0"/>
          <w:numId w:val="4"/>
        </w:numPr>
        <w:tabs>
          <w:tab w:pos="834" w:val="left" w:leader="none"/>
        </w:tabs>
        <w:spacing w:line="320" w:lineRule="exact" w:before="67" w:after="0"/>
        <w:ind w:left="833" w:right="3525" w:hanging="720"/>
        <w:jc w:val="left"/>
        <w:rPr>
          <w:b/>
        </w:rPr>
      </w:pPr>
      <w:r>
        <w:rPr>
          <w:b/>
          <w:color w:val="F99D25"/>
        </w:rPr>
        <w:t>Former les responsables de la commission électorale</w:t>
      </w:r>
      <w:r>
        <w:rPr>
          <w:b/>
          <w:color w:val="F99D25"/>
          <w:spacing w:val="-15"/>
        </w:rPr>
        <w:t> </w:t>
      </w:r>
      <w:r>
        <w:rPr>
          <w:b/>
          <w:color w:val="F99D25"/>
        </w:rPr>
        <w:t>à l’accessibilité des</w:t>
      </w:r>
      <w:r>
        <w:rPr>
          <w:b/>
          <w:color w:val="F99D25"/>
          <w:spacing w:val="-11"/>
        </w:rPr>
        <w:t> </w:t>
      </w:r>
      <w:r>
        <w:rPr>
          <w:b/>
          <w:color w:val="F99D25"/>
        </w:rPr>
        <w:t>élections</w:t>
      </w:r>
    </w:p>
    <w:p>
      <w:pPr>
        <w:pStyle w:val="BodyText"/>
        <w:spacing w:line="266" w:lineRule="auto" w:before="133"/>
        <w:ind w:left="113" w:right="2880"/>
        <w:rPr>
          <w:b w:val="0"/>
        </w:rPr>
      </w:pPr>
      <w:r>
        <w:rPr>
          <w:b w:val="0"/>
          <w:color w:val="231F20"/>
        </w:rPr>
        <w:t>Les responsables des élections et les organes de gestion des élections ont un rôle important à jouer pour assurer l’accès des élections aux personnes handicapées. Dans de nombreux cas, ils manquent cependant de formation et de connaissances sur la façon d’organiser des élections inclusives. Les mesures suivantes peuvent aider les responsables et les organes de gestion des élections à exercer leurs responsabilités en conformité avec la CDPH :</w:t>
      </w:r>
    </w:p>
    <w:p>
      <w:pPr>
        <w:pStyle w:val="BodyText"/>
        <w:spacing w:line="264" w:lineRule="auto" w:before="19"/>
        <w:ind w:left="793" w:right="2996" w:hanging="341"/>
        <w:rPr>
          <w:b w:val="0"/>
        </w:rPr>
      </w:pPr>
      <w:r>
        <w:rPr>
          <w:rFonts w:ascii="Arial" w:hAnsi="Arial"/>
          <w:color w:val="F99D25"/>
          <w:sz w:val="26"/>
        </w:rPr>
        <w:t>► </w:t>
      </w:r>
      <w:r>
        <w:rPr>
          <w:b w:val="0"/>
          <w:color w:val="231F20"/>
        </w:rPr>
        <w:t>développer des normes et directives sur l’accessibilité des centres d’inscription et de vote ;</w:t>
      </w:r>
    </w:p>
    <w:p>
      <w:pPr>
        <w:pStyle w:val="BodyText"/>
        <w:spacing w:line="264" w:lineRule="auto" w:before="21"/>
        <w:ind w:left="793" w:right="3138" w:hanging="341"/>
        <w:rPr>
          <w:b w:val="0"/>
        </w:rPr>
      </w:pPr>
      <w:r>
        <w:rPr>
          <w:rFonts w:ascii="Arial" w:hAnsi="Arial"/>
          <w:color w:val="F99D25"/>
          <w:sz w:val="26"/>
        </w:rPr>
        <w:t>► </w:t>
      </w:r>
      <w:r>
        <w:rPr>
          <w:b w:val="0"/>
          <w:color w:val="231F20"/>
        </w:rPr>
        <w:t>veiller à ce que le choix des sites d’inscription et de vote tienne compte de tous les aspects d’accessibilité pour les personnes handicapées ;</w:t>
      </w:r>
    </w:p>
    <w:p>
      <w:pPr>
        <w:pStyle w:val="BodyText"/>
        <w:spacing w:line="264" w:lineRule="auto" w:before="21"/>
        <w:ind w:left="793" w:right="2883" w:hanging="341"/>
        <w:rPr>
          <w:b w:val="0"/>
        </w:rPr>
      </w:pPr>
      <w:r>
        <w:rPr>
          <w:rFonts w:ascii="Arial" w:hAnsi="Arial"/>
          <w:color w:val="F99D25"/>
          <w:sz w:val="26"/>
        </w:rPr>
        <w:t>► </w:t>
      </w:r>
      <w:r>
        <w:rPr>
          <w:b w:val="0"/>
          <w:color w:val="231F20"/>
        </w:rPr>
        <w:t>former les responsables des élections aux problèmes d'accessibilité rencontrés par les personnes handicapées dans le contexte des élections ;</w:t>
      </w:r>
    </w:p>
    <w:p>
      <w:pPr>
        <w:pStyle w:val="BodyText"/>
        <w:spacing w:line="264" w:lineRule="auto" w:before="21"/>
        <w:ind w:left="793" w:right="3423" w:hanging="341"/>
        <w:rPr>
          <w:b w:val="0"/>
        </w:rPr>
      </w:pPr>
      <w:r>
        <w:rPr>
          <w:rFonts w:ascii="Arial" w:hAnsi="Arial"/>
          <w:color w:val="F99D25"/>
          <w:sz w:val="26"/>
        </w:rPr>
        <w:t>► </w:t>
      </w:r>
      <w:r>
        <w:rPr>
          <w:b w:val="0"/>
          <w:color w:val="231F20"/>
        </w:rPr>
        <w:t>fournir le matériel d’information et de vote dans des formats accessibles, par exemple sous forme de braille et de textes faciles à lire et à comprendre ;</w:t>
      </w:r>
    </w:p>
    <w:p>
      <w:pPr>
        <w:pStyle w:val="BodyText"/>
        <w:spacing w:line="264" w:lineRule="auto" w:before="21"/>
        <w:ind w:left="793" w:right="2968" w:hanging="341"/>
        <w:rPr>
          <w:b w:val="0"/>
        </w:rPr>
      </w:pPr>
      <w:r>
        <w:rPr>
          <w:rFonts w:ascii="Arial" w:hAnsi="Arial"/>
          <w:color w:val="F99D25"/>
          <w:sz w:val="26"/>
        </w:rPr>
        <w:t>► </w:t>
      </w:r>
      <w:r>
        <w:rPr>
          <w:b w:val="0"/>
          <w:color w:val="231F20"/>
        </w:rPr>
        <w:t>permettre aux électeurs de se faire aider par une personne de leur choix et, en plus, mettre à la disposition des électeurs des guides et des interprètes en langue des signes professionnels afin de faciliter l’accès des bureaux de vote ; et</w:t>
      </w:r>
    </w:p>
    <w:p>
      <w:pPr>
        <w:pStyle w:val="BodyText"/>
        <w:spacing w:line="264" w:lineRule="auto" w:before="22"/>
        <w:ind w:left="793" w:right="3042" w:hanging="341"/>
        <w:jc w:val="both"/>
        <w:rPr>
          <w:b w:val="0"/>
        </w:rPr>
      </w:pPr>
      <w:r>
        <w:rPr>
          <w:rFonts w:ascii="Arial" w:hAnsi="Arial"/>
          <w:color w:val="F99D25"/>
          <w:sz w:val="26"/>
        </w:rPr>
        <w:t>► </w:t>
      </w:r>
      <w:r>
        <w:rPr>
          <w:b w:val="0"/>
          <w:color w:val="231F20"/>
        </w:rPr>
        <w:t>utiliser des technologies accessibles, comme des sites Internet accessibles et des machines de vote électronique qui soient pleinement accessibles aux personnes handicapées.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1"/>
        </w:rPr>
      </w:pPr>
    </w:p>
    <w:p>
      <w:pPr>
        <w:spacing w:before="101"/>
        <w:ind w:left="3917" w:right="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46072"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10</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207.7pt;mso-position-horizontal-relative:page;mso-position-vertical-relative:paragraph;z-index:2512;mso-wrap-distance-left:0;mso-wrap-distance-right:0" coordorigin="2881,365" coordsize="7901,4154">
            <v:rect style="position:absolute;left:2891;top:365;width:7880;height:363" filled="true" fillcolor="#f99d25" stroked="false">
              <v:fill type="solid"/>
            </v:rect>
            <v:rect style="position:absolute;left:2891;top:729;width:7880;height:3780" filled="true" fillcolor="#fff2e3" stroked="false">
              <v:fill type="solid"/>
            </v:rect>
            <v:line style="position:absolute" from="2891,4509" to="10772,4509" stroked="true" strokeweight="1pt" strokecolor="#f99d25"/>
            <v:shape style="position:absolute;left:2881;top:365;width:7901;height:4154" type="#_x0000_t202" filled="false" stroked="false">
              <v:textbox inset="0,0,0,0">
                <w:txbxContent>
                  <w:p>
                    <w:pPr>
                      <w:spacing w:before="32"/>
                      <w:ind w:left="1308" w:right="-6" w:firstLine="0"/>
                      <w:jc w:val="left"/>
                      <w:rPr>
                        <w:rFonts w:ascii="Myriad Pro" w:hAnsi="Myriad Pro"/>
                        <w:b/>
                        <w:sz w:val="22"/>
                      </w:rPr>
                    </w:pPr>
                    <w:r>
                      <w:rPr>
                        <w:rFonts w:ascii="Myriad Pro" w:hAnsi="Myriad Pro"/>
                        <w:b/>
                        <w:color w:val="FFFFFF"/>
                        <w:sz w:val="22"/>
                      </w:rPr>
                      <w:t>Exemple concret : Élections générales au Malawi, 2014</w:t>
                    </w:r>
                  </w:p>
                  <w:p>
                    <w:pPr>
                      <w:spacing w:line="259" w:lineRule="auto" w:before="188"/>
                      <w:ind w:left="180" w:right="594" w:firstLine="0"/>
                      <w:jc w:val="left"/>
                      <w:rPr>
                        <w:rFonts w:ascii="Myriad Pro" w:hAnsi="Myriad Pro"/>
                        <w:sz w:val="20"/>
                      </w:rPr>
                    </w:pPr>
                    <w:r>
                      <w:rPr>
                        <w:rFonts w:ascii="Myriad Pro" w:hAnsi="Myriad Pro"/>
                        <w:color w:val="231F20"/>
                        <w:sz w:val="20"/>
                      </w:rPr>
                      <w:t>En réaction à la non-inclusion des personnes handicapées dans le cycle électoral de 2014, la Fédération des associations de personnes handicapées du Malawi (FEDOMA) a menacé d’entamer des poursuites judiciaires au motif que la commission électorale du Malawi (MEC) n'avait pas fourni d'écrans de vote tactiles. Après les élections, la FEDOMA a collaboré avec la MEC afin d'élaborer des directives électorales basées sur les enseignements tirés du cycle électoral de 2014. Par la suite, la MEC a commencé à</w:t>
                    </w:r>
                  </w:p>
                  <w:p>
                    <w:pPr>
                      <w:spacing w:line="259" w:lineRule="auto" w:before="0"/>
                      <w:ind w:left="180" w:right="295" w:firstLine="0"/>
                      <w:jc w:val="left"/>
                      <w:rPr>
                        <w:rFonts w:ascii="Myriad Pro" w:hAnsi="Myriad Pro"/>
                        <w:sz w:val="20"/>
                      </w:rPr>
                    </w:pPr>
                    <w:r>
                      <w:rPr>
                        <w:rFonts w:ascii="Myriad Pro" w:hAnsi="Myriad Pro"/>
                        <w:color w:val="231F20"/>
                        <w:sz w:val="20"/>
                      </w:rPr>
                      <w:t>inclure une interprétation en langue des signes dans ses messages télévisés et à mettre à disposition des écrans de vote tactiles. Des dispositions ont aussi été prises pour fournir des urnes ajustables.</w:t>
                    </w:r>
                  </w:p>
                  <w:p>
                    <w:pPr>
                      <w:spacing w:line="259" w:lineRule="auto" w:before="113"/>
                      <w:ind w:left="180" w:right="143" w:firstLine="0"/>
                      <w:jc w:val="left"/>
                      <w:rPr>
                        <w:rFonts w:ascii="Myriad Pro" w:hAnsi="Myriad Pro"/>
                        <w:sz w:val="20"/>
                      </w:rPr>
                    </w:pPr>
                    <w:r>
                      <w:rPr>
                        <w:rFonts w:ascii="Myriad Pro" w:hAnsi="Myriad Pro"/>
                        <w:color w:val="231F20"/>
                        <w:sz w:val="20"/>
                      </w:rPr>
                      <w:t>Avant les élections, les OPH du Malawi, regroupées au sein de la FEDOMA, ont aussi impliqué les quatre principaux partis politiques du Malawi afin de garantir que leurs professions de foi incluent les mesures qu’ils comptaient prendre s’ils arrivaient au pouvoir. Ces quatre principaux partis ont signé le contrat social qui leur était proposé.</w:t>
                    </w:r>
                  </w:p>
                </w:txbxContent>
              </v:textbox>
              <w10:wrap type="none"/>
            </v:shape>
            <w10:wrap type="topAndBottom"/>
          </v:group>
        </w:pict>
      </w:r>
    </w:p>
    <w:p>
      <w:pPr>
        <w:pStyle w:val="BodyText"/>
        <w:spacing w:before="7"/>
        <w:rPr>
          <w:rFonts w:ascii="Myriad Pro"/>
          <w:sz w:val="25"/>
        </w:rPr>
      </w:pPr>
    </w:p>
    <w:p>
      <w:pPr>
        <w:pStyle w:val="Heading3"/>
        <w:numPr>
          <w:ilvl w:val="0"/>
          <w:numId w:val="4"/>
        </w:numPr>
        <w:tabs>
          <w:tab w:pos="3612" w:val="left" w:leader="none"/>
        </w:tabs>
        <w:spacing w:line="240" w:lineRule="auto" w:before="51" w:after="0"/>
        <w:ind w:left="3611" w:right="0" w:hanging="720"/>
        <w:jc w:val="left"/>
        <w:rPr>
          <w:b/>
        </w:rPr>
      </w:pPr>
      <w:r>
        <w:rPr>
          <w:b/>
          <w:color w:val="F99D25"/>
        </w:rPr>
        <w:t>Observation et suivi pour des élections</w:t>
      </w:r>
      <w:r>
        <w:rPr>
          <w:b/>
          <w:color w:val="F99D25"/>
          <w:spacing w:val="2"/>
        </w:rPr>
        <w:t> </w:t>
      </w:r>
      <w:r>
        <w:rPr>
          <w:b/>
          <w:color w:val="F99D25"/>
        </w:rPr>
        <w:t>inclusives</w:t>
      </w:r>
    </w:p>
    <w:p>
      <w:pPr>
        <w:pStyle w:val="BodyText"/>
        <w:spacing w:line="266" w:lineRule="auto" w:before="127"/>
        <w:ind w:left="2891" w:right="212"/>
        <w:rPr>
          <w:b w:val="0"/>
        </w:rPr>
      </w:pPr>
      <w:r>
        <w:rPr>
          <w:b w:val="0"/>
          <w:color w:val="231F20"/>
        </w:rPr>
        <w:t>L’observation et le suivi des élections peuvent être entrepris par des intervenants variés. Les observateurs peuvent inclure des membres d’organisations de la société civile locale, des représentants des partis politiques, des journalistes, des organismes réglementaires et de surveillance, et des institution nationales chargées des droits de l’homme (INDH). De plus, des observateurs internationaux représentant des organisations internationales, gouvernementales ou non, peuvent aussi prendre part à l’observation et au suivi des élections.</w:t>
      </w:r>
    </w:p>
    <w:p>
      <w:pPr>
        <w:pStyle w:val="BodyText"/>
        <w:spacing w:before="4"/>
        <w:rPr>
          <w:b w:val="0"/>
          <w:sz w:val="18"/>
        </w:rPr>
      </w:pPr>
      <w:r>
        <w:rPr/>
        <w:pict>
          <v:group style="position:absolute;margin-left:144.066895pt;margin-top:12.835848pt;width:395.05pt;height:330.2pt;mso-position-horizontal-relative:page;mso-position-vertical-relative:paragraph;z-index:2560;mso-wrap-distance-left:0;mso-wrap-distance-right:0" coordorigin="2881,257" coordsize="7901,6604">
            <v:rect style="position:absolute;left:2891;top:257;width:7880;height:653" filled="true" fillcolor="#f99d25" stroked="false">
              <v:fill type="solid"/>
            </v:rect>
            <v:rect style="position:absolute;left:2891;top:910;width:7880;height:5940" filled="true" fillcolor="#fff2e3" stroked="false">
              <v:fill type="solid"/>
            </v:rect>
            <v:line style="position:absolute" from="2891,6850" to="10772,6850" stroked="true" strokeweight="1pt" strokecolor="#f99d25"/>
            <v:shape style="position:absolute;left:2881;top:257;width:7901;height:6604" type="#_x0000_t202" filled="false" stroked="false">
              <v:textbox inset="0,0,0,0">
                <w:txbxContent>
                  <w:p>
                    <w:pPr>
                      <w:spacing w:line="254" w:lineRule="auto" w:before="32"/>
                      <w:ind w:left="2872" w:right="-6" w:hanging="2558"/>
                      <w:jc w:val="left"/>
                      <w:rPr>
                        <w:rFonts w:ascii="Myriad Pro" w:hAnsi="Myriad Pro"/>
                        <w:b/>
                        <w:sz w:val="22"/>
                      </w:rPr>
                    </w:pPr>
                    <w:r>
                      <w:rPr>
                        <w:rFonts w:ascii="Myriad Pro" w:hAnsi="Myriad Pro"/>
                        <w:b/>
                        <w:color w:val="FFFFFF"/>
                        <w:sz w:val="22"/>
                      </w:rPr>
                      <w:t>Comment le suivi et l’observation des élections peuvent-ils encourager des élections accessibles ?</w:t>
                    </w:r>
                  </w:p>
                  <w:p>
                    <w:pPr>
                      <w:spacing w:before="171"/>
                      <w:ind w:left="803" w:right="-6" w:hanging="284"/>
                      <w:jc w:val="left"/>
                      <w:rPr>
                        <w:rFonts w:ascii="Myriad Pro" w:hAnsi="Myriad Pro"/>
                        <w:sz w:val="20"/>
                      </w:rPr>
                    </w:pPr>
                    <w:r>
                      <w:rPr>
                        <w:rFonts w:ascii="Arial" w:hAnsi="Arial"/>
                        <w:color w:val="231F20"/>
                        <w:w w:val="120"/>
                        <w:sz w:val="20"/>
                      </w:rPr>
                      <w:t>z </w:t>
                    </w:r>
                    <w:r>
                      <w:rPr>
                        <w:rFonts w:ascii="Myriad Pro" w:hAnsi="Myriad Pro"/>
                        <w:color w:val="231F20"/>
                        <w:sz w:val="20"/>
                      </w:rPr>
                      <w:t>Pour concevoir une approche inclusive de l’observation et du suivi des élections, les personnes handicapées doivent être incluses à tous les stades des efforts de suivi, ainsi que lors du développement des outils de suivi.</w:t>
                    </w:r>
                  </w:p>
                  <w:p>
                    <w:pPr>
                      <w:spacing w:before="56"/>
                      <w:ind w:left="803" w:right="162" w:hanging="284"/>
                      <w:jc w:val="left"/>
                      <w:rPr>
                        <w:rFonts w:ascii="Myriad Pro" w:hAnsi="Myriad Pro"/>
                        <w:sz w:val="20"/>
                      </w:rPr>
                    </w:pPr>
                    <w:r>
                      <w:rPr>
                        <w:rFonts w:ascii="Arial" w:hAnsi="Arial"/>
                        <w:color w:val="231F20"/>
                        <w:w w:val="120"/>
                        <w:sz w:val="20"/>
                      </w:rPr>
                      <w:t>z </w:t>
                    </w:r>
                    <w:r>
                      <w:rPr>
                        <w:rFonts w:ascii="Myriad Pro" w:hAnsi="Myriad Pro"/>
                        <w:color w:val="231F20"/>
                        <w:sz w:val="20"/>
                      </w:rPr>
                      <w:t>Les supports développés pour guider les processus de suivi électoral doivent intégrer une dimension relative au handicap. Cela peut inclure, par exemple, des guides de référence des observateurs électoraux, des listes de contrôle et des formulaires de rapport qui fournissent des instructions spécifiques sur l'accès au handicap. Les questions qui peuvent être incluses dans un formulaire d’observation électorale comprennent, entre autres :</w:t>
                    </w:r>
                  </w:p>
                  <w:p>
                    <w:pPr>
                      <w:numPr>
                        <w:ilvl w:val="0"/>
                        <w:numId w:val="6"/>
                      </w:numPr>
                      <w:tabs>
                        <w:tab w:pos="974" w:val="left" w:leader="none"/>
                      </w:tabs>
                      <w:spacing w:line="240" w:lineRule="exact" w:before="56"/>
                      <w:ind w:left="973" w:right="0" w:hanging="180"/>
                      <w:jc w:val="left"/>
                      <w:rPr>
                        <w:rFonts w:ascii="Myriad Pro" w:hAnsi="Myriad Pro"/>
                        <w:sz w:val="20"/>
                      </w:rPr>
                    </w:pPr>
                    <w:r>
                      <w:rPr>
                        <w:rFonts w:ascii="Myriad Pro" w:hAnsi="Myriad Pro"/>
                        <w:color w:val="231F20"/>
                        <w:sz w:val="20"/>
                      </w:rPr>
                      <w:t>Accessibilité physique</w:t>
                    </w:r>
                    <w:r>
                      <w:rPr>
                        <w:rFonts w:ascii="Myriad Pro" w:hAnsi="Myriad Pro"/>
                        <w:color w:val="231F20"/>
                        <w:spacing w:val="-14"/>
                        <w:sz w:val="20"/>
                      </w:rPr>
                      <w:t> </w:t>
                    </w:r>
                    <w:r>
                      <w:rPr>
                        <w:rFonts w:ascii="Myriad Pro" w:hAnsi="Myriad Pro"/>
                        <w:color w:val="231F20"/>
                        <w:sz w:val="20"/>
                      </w:rPr>
                      <w:t>:</w:t>
                    </w:r>
                  </w:p>
                  <w:p>
                    <w:pPr>
                      <w:spacing w:before="0"/>
                      <w:ind w:left="973" w:right="208" w:firstLine="0"/>
                      <w:jc w:val="left"/>
                      <w:rPr>
                        <w:rFonts w:ascii="Myriad Pro" w:hAnsi="Myriad Pro"/>
                        <w:sz w:val="20"/>
                      </w:rPr>
                    </w:pPr>
                    <w:r>
                      <w:rPr>
                        <w:rFonts w:ascii="Myriad Pro" w:hAnsi="Myriad Pro"/>
                        <w:color w:val="231F20"/>
                        <w:sz w:val="20"/>
                      </w:rPr>
                      <w:t>Le bureau de vote était-il accessible aux personnes en fauteuil roulant ou à mobilité réduite ? Y avait-il des barrières physiques empêchant l’accès au bureau de vote (par exemple, des escaliers) ? Y avait-il des barrières à l’intérieur du bureau de vote (par exemple, un espace exigu limitant les mouvements) ? Les toilettes étaient-elles accessibles ?</w:t>
                    </w:r>
                  </w:p>
                  <w:p>
                    <w:pPr>
                      <w:numPr>
                        <w:ilvl w:val="0"/>
                        <w:numId w:val="6"/>
                      </w:numPr>
                      <w:tabs>
                        <w:tab w:pos="974" w:val="left" w:leader="none"/>
                      </w:tabs>
                      <w:spacing w:line="240" w:lineRule="exact" w:before="0"/>
                      <w:ind w:left="973" w:right="0" w:hanging="180"/>
                      <w:jc w:val="left"/>
                      <w:rPr>
                        <w:rFonts w:ascii="Myriad Pro"/>
                        <w:sz w:val="20"/>
                      </w:rPr>
                    </w:pPr>
                    <w:r>
                      <w:rPr>
                        <w:rFonts w:ascii="Myriad Pro"/>
                        <w:color w:val="231F20"/>
                        <w:sz w:val="20"/>
                      </w:rPr>
                      <w:t>Assistance</w:t>
                    </w:r>
                    <w:r>
                      <w:rPr>
                        <w:rFonts w:ascii="Myriad Pro"/>
                        <w:color w:val="231F20"/>
                        <w:spacing w:val="-4"/>
                        <w:sz w:val="20"/>
                      </w:rPr>
                      <w:t> </w:t>
                    </w:r>
                    <w:r>
                      <w:rPr>
                        <w:rFonts w:ascii="Myriad Pro"/>
                        <w:color w:val="231F20"/>
                        <w:sz w:val="20"/>
                      </w:rPr>
                      <w:t>:</w:t>
                    </w:r>
                  </w:p>
                  <w:p>
                    <w:pPr>
                      <w:spacing w:before="0"/>
                      <w:ind w:left="973" w:right="-6" w:firstLine="0"/>
                      <w:jc w:val="left"/>
                      <w:rPr>
                        <w:rFonts w:ascii="Myriad Pro" w:hAnsi="Myriad Pro"/>
                        <w:sz w:val="20"/>
                      </w:rPr>
                    </w:pPr>
                    <w:r>
                      <w:rPr>
                        <w:rFonts w:ascii="Myriad Pro" w:hAnsi="Myriad Pro"/>
                        <w:color w:val="231F20"/>
                        <w:sz w:val="20"/>
                      </w:rPr>
                      <w:t>Les électeurs handicapés et autres électeurs nécessitant une assistance étaient-ils autorisés à être aidés par une personne de leur choix ?</w:t>
                    </w:r>
                  </w:p>
                  <w:p>
                    <w:pPr>
                      <w:numPr>
                        <w:ilvl w:val="0"/>
                        <w:numId w:val="6"/>
                      </w:numPr>
                      <w:tabs>
                        <w:tab w:pos="974" w:val="left" w:leader="none"/>
                      </w:tabs>
                      <w:spacing w:line="240" w:lineRule="exact" w:before="0"/>
                      <w:ind w:left="973" w:right="0" w:hanging="180"/>
                      <w:jc w:val="left"/>
                      <w:rPr>
                        <w:rFonts w:ascii="Myriad Pro" w:hAnsi="Myriad Pro"/>
                        <w:sz w:val="20"/>
                      </w:rPr>
                    </w:pPr>
                    <w:r>
                      <w:rPr>
                        <w:rFonts w:ascii="Myriad Pro" w:hAnsi="Myriad Pro"/>
                        <w:color w:val="231F20"/>
                        <w:sz w:val="20"/>
                      </w:rPr>
                      <w:t>Harcèlement/exclusions inadmissibles</w:t>
                    </w:r>
                    <w:r>
                      <w:rPr>
                        <w:rFonts w:ascii="Myriad Pro" w:hAnsi="Myriad Pro"/>
                        <w:color w:val="231F20"/>
                        <w:spacing w:val="-9"/>
                        <w:sz w:val="20"/>
                      </w:rPr>
                      <w:t> </w:t>
                    </w:r>
                    <w:r>
                      <w:rPr>
                        <w:rFonts w:ascii="Myriad Pro" w:hAnsi="Myriad Pro"/>
                        <w:color w:val="231F20"/>
                        <w:sz w:val="20"/>
                      </w:rPr>
                      <w:t>:</w:t>
                    </w:r>
                  </w:p>
                  <w:p>
                    <w:pPr>
                      <w:spacing w:before="0"/>
                      <w:ind w:left="973" w:right="336" w:firstLine="0"/>
                      <w:jc w:val="left"/>
                      <w:rPr>
                        <w:rFonts w:ascii="Myriad Pro" w:hAnsi="Myriad Pro"/>
                        <w:sz w:val="20"/>
                      </w:rPr>
                    </w:pPr>
                    <w:r>
                      <w:rPr>
                        <w:rFonts w:ascii="Myriad Pro" w:hAnsi="Myriad Pro"/>
                        <w:color w:val="231F20"/>
                        <w:sz w:val="20"/>
                      </w:rPr>
                      <w:t>Y a-t-il eu des exemples de harcèlement fondé sur le handicap, notamment vis- à-vis des électeurs présentant un handicap mental et/ou d’exclusion arbitraire fondée sur la perception du handicap mental de la part du responsable du scrutin ?</w:t>
                    </w:r>
                  </w:p>
                </w:txbxContent>
              </v:textbox>
              <w10:wrap type="none"/>
            </v:shape>
            <w10:wrap type="topAndBottom"/>
          </v:group>
        </w:pict>
      </w:r>
    </w:p>
    <w:p>
      <w:pPr>
        <w:pStyle w:val="BodyText"/>
        <w:rPr>
          <w:b w:val="0"/>
          <w:sz w:val="20"/>
        </w:rPr>
      </w:pPr>
    </w:p>
    <w:p>
      <w:pPr>
        <w:pStyle w:val="BodyText"/>
        <w:rPr>
          <w:b w:val="0"/>
          <w:sz w:val="20"/>
        </w:rPr>
      </w:pPr>
    </w:p>
    <w:p>
      <w:pPr>
        <w:pStyle w:val="BodyText"/>
        <w:spacing w:before="2"/>
        <w:rPr>
          <w:b w:val="0"/>
          <w:sz w:val="18"/>
        </w:rPr>
      </w:pPr>
    </w:p>
    <w:p>
      <w:pPr>
        <w:spacing w:before="117"/>
        <w:ind w:left="2891" w:right="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728" coordorigin="9241,0" coordsize="2665,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99D25" w:color="auto" w:val="clear"/>
                      </w:rPr>
                      <w:t> </w:t>
                    </w:r>
                    <w:r>
                      <w:rPr>
                        <w:rFonts w:ascii="Myriad Pro"/>
                        <w:color w:val="FFFFFF"/>
                        <w:sz w:val="26"/>
                        <w:shd w:fill="F99D25" w:color="auto" w:val="clear"/>
                      </w:rPr>
                      <w:t>11</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numPr>
          <w:ilvl w:val="0"/>
          <w:numId w:val="4"/>
        </w:numPr>
        <w:tabs>
          <w:tab w:pos="834" w:val="left" w:leader="none"/>
        </w:tabs>
        <w:spacing w:line="240" w:lineRule="auto" w:before="51" w:after="0"/>
        <w:ind w:left="833" w:right="0" w:hanging="720"/>
        <w:jc w:val="left"/>
        <w:rPr>
          <w:b/>
        </w:rPr>
      </w:pPr>
      <w:r>
        <w:rPr>
          <w:b/>
          <w:color w:val="F99D25"/>
        </w:rPr>
        <w:t>Développer les bulletins de vote</w:t>
      </w:r>
      <w:r>
        <w:rPr>
          <w:b/>
          <w:color w:val="F99D25"/>
          <w:spacing w:val="-17"/>
        </w:rPr>
        <w:t> </w:t>
      </w:r>
      <w:r>
        <w:rPr>
          <w:b/>
          <w:color w:val="F99D25"/>
        </w:rPr>
        <w:t>accessibles</w:t>
      </w:r>
    </w:p>
    <w:p>
      <w:pPr>
        <w:pStyle w:val="BodyText"/>
        <w:spacing w:line="266" w:lineRule="auto" w:before="127"/>
        <w:ind w:left="113" w:right="2913"/>
        <w:rPr>
          <w:b w:val="0"/>
        </w:rPr>
      </w:pPr>
      <w:r>
        <w:rPr>
          <w:b w:val="0"/>
          <w:color w:val="231F20"/>
        </w:rPr>
        <w:t>Afin de garantir le droit de vote, les gouvernements doivent fournir des bulletins de vote accessibles.</w:t>
      </w:r>
      <w:r>
        <w:rPr>
          <w:b w:val="0"/>
          <w:color w:val="231F20"/>
          <w:position w:val="7"/>
          <w:sz w:val="13"/>
        </w:rPr>
        <w:t>12 </w:t>
      </w:r>
      <w:r>
        <w:rPr>
          <w:b w:val="0"/>
          <w:color w:val="231F20"/>
        </w:rPr>
        <w:t>Dans de nombreux pays africains, des efforts ont été faits pour rendre les bulletins papier accessibles par le développement de guides tactiles. Ces guides tactiles en papier sont produits à faible coût. Ils permettent de placer le bulletin papier dans un guide pliant doté d’une fenêtre permettant à l'électeur de savoir où placer son empreinte digitale ou sa signature. Les guides tactiles ont été utilisés en Sierra Leone, au Ghana, au Liberia et ailleurs afin d'aider à assurer un droit de votre secret et indépendant.</w:t>
      </w:r>
      <w:r>
        <w:rPr>
          <w:b w:val="0"/>
          <w:color w:val="231F20"/>
          <w:position w:val="7"/>
          <w:sz w:val="13"/>
        </w:rPr>
        <w:t>13 </w:t>
      </w:r>
      <w:r>
        <w:rPr>
          <w:b w:val="0"/>
          <w:color w:val="231F20"/>
        </w:rPr>
        <w:t>Dans les cas cités, des documents sur l’utilisation des guides ont été élaborés, le personnel des bureaux de vote a été formé à leur utilisation et une campagne de sensibilisation a été menée afin de s'assurer que les électeurs malvoyants soient au courant de leur existence.</w:t>
      </w:r>
    </w:p>
    <w:p>
      <w:pPr>
        <w:pStyle w:val="BodyText"/>
        <w:spacing w:before="4"/>
        <w:rPr>
          <w:b w:val="0"/>
          <w:sz w:val="18"/>
        </w:rPr>
      </w:pPr>
      <w:r>
        <w:rPr/>
        <w:pict>
          <v:group style="position:absolute;margin-left:56.192902pt;margin-top:12.829845pt;width:395.05pt;height:168.2pt;mso-position-horizontal-relative:page;mso-position-vertical-relative:paragraph;z-index:2656;mso-wrap-distance-left:0;mso-wrap-distance-right:0" coordorigin="1124,257" coordsize="7901,3364">
            <v:rect style="position:absolute;left:1134;top:257;width:7880;height:363" filled="true" fillcolor="#f99d25" stroked="false">
              <v:fill type="solid"/>
            </v:rect>
            <v:rect style="position:absolute;left:1134;top:620;width:7880;height:2990" filled="true" fillcolor="#fff2e3" stroked="false">
              <v:fill type="solid"/>
            </v:rect>
            <v:line style="position:absolute" from="1134,3610" to="9014,3610" stroked="true" strokeweight="1pt" strokecolor="#f99d25"/>
            <v:shape style="position:absolute;left:1124;top:257;width:7901;height:3364" type="#_x0000_t202" filled="false" stroked="false">
              <v:textbox inset="0,0,0,0">
                <w:txbxContent>
                  <w:p>
                    <w:pPr>
                      <w:spacing w:before="32"/>
                      <w:ind w:left="1329" w:right="1329" w:firstLine="0"/>
                      <w:jc w:val="center"/>
                      <w:rPr>
                        <w:rFonts w:ascii="Myriad Pro"/>
                        <w:b/>
                        <w:sz w:val="22"/>
                      </w:rPr>
                    </w:pPr>
                    <w:r>
                      <w:rPr>
                        <w:rFonts w:ascii="Myriad Pro"/>
                        <w:b/>
                        <w:color w:val="FFFFFF"/>
                        <w:sz w:val="22"/>
                      </w:rPr>
                      <w:t>Conseils de bonnes pratiques pour un vote accessible</w:t>
                    </w:r>
                  </w:p>
                  <w:p>
                    <w:pPr>
                      <w:spacing w:before="188"/>
                      <w:ind w:left="803" w:right="809" w:hanging="284"/>
                      <w:jc w:val="left"/>
                      <w:rPr>
                        <w:rFonts w:ascii="Myriad Pro" w:hAnsi="Myriad Pro"/>
                        <w:sz w:val="20"/>
                      </w:rPr>
                    </w:pPr>
                    <w:r>
                      <w:rPr>
                        <w:rFonts w:ascii="Arial" w:hAnsi="Arial"/>
                        <w:color w:val="231F20"/>
                        <w:w w:val="120"/>
                        <w:sz w:val="20"/>
                      </w:rPr>
                      <w:t>z </w:t>
                    </w:r>
                    <w:r>
                      <w:rPr>
                        <w:rFonts w:ascii="Myriad Pro" w:hAnsi="Myriad Pro"/>
                        <w:color w:val="231F20"/>
                        <w:sz w:val="20"/>
                      </w:rPr>
                      <w:t>Développement de guides de vote tactiles pour les électeurs non voyants ou malvoyants afin de faciliter un vote secret et sans assistance</w:t>
                    </w:r>
                  </w:p>
                  <w:p>
                    <w:pPr>
                      <w:spacing w:before="56"/>
                      <w:ind w:left="803" w:right="270" w:hanging="284"/>
                      <w:jc w:val="left"/>
                      <w:rPr>
                        <w:rFonts w:ascii="Myriad Pro" w:hAnsi="Myriad Pro"/>
                        <w:sz w:val="20"/>
                      </w:rPr>
                    </w:pPr>
                    <w:r>
                      <w:rPr>
                        <w:rFonts w:ascii="Arial" w:hAnsi="Arial"/>
                        <w:color w:val="231F20"/>
                        <w:w w:val="120"/>
                        <w:sz w:val="20"/>
                      </w:rPr>
                      <w:t>z </w:t>
                    </w:r>
                    <w:r>
                      <w:rPr>
                        <w:rFonts w:ascii="Myriad Pro" w:hAnsi="Myriad Pro"/>
                        <w:color w:val="231F20"/>
                        <w:sz w:val="20"/>
                      </w:rPr>
                      <w:t>Aménagements permettant la signature du bulletin de vote avec les empreintes de pied ou de coude pour les électeurs privés de leurs bras</w:t>
                    </w:r>
                  </w:p>
                  <w:p>
                    <w:pPr>
                      <w:spacing w:before="56"/>
                      <w:ind w:left="803" w:right="332" w:hanging="284"/>
                      <w:jc w:val="left"/>
                      <w:rPr>
                        <w:rFonts w:ascii="Myriad Pro" w:hAnsi="Myriad Pro"/>
                        <w:sz w:val="20"/>
                      </w:rPr>
                    </w:pPr>
                    <w:r>
                      <w:rPr>
                        <w:rFonts w:ascii="Arial" w:hAnsi="Arial"/>
                        <w:color w:val="231F20"/>
                        <w:w w:val="120"/>
                        <w:sz w:val="20"/>
                      </w:rPr>
                      <w:t>z</w:t>
                    </w:r>
                    <w:r>
                      <w:rPr>
                        <w:rFonts w:ascii="Arial" w:hAnsi="Arial"/>
                        <w:color w:val="231F20"/>
                        <w:spacing w:val="-16"/>
                        <w:w w:val="120"/>
                        <w:sz w:val="20"/>
                      </w:rPr>
                      <w:t> </w:t>
                    </w:r>
                    <w:r>
                      <w:rPr>
                        <w:rFonts w:ascii="Myriad Pro" w:hAnsi="Myriad Pro"/>
                        <w:color w:val="231F20"/>
                        <w:w w:val="105"/>
                        <w:sz w:val="20"/>
                      </w:rPr>
                      <w:t>Instructions</w:t>
                    </w:r>
                    <w:r>
                      <w:rPr>
                        <w:rFonts w:ascii="Myriad Pro" w:hAnsi="Myriad Pro"/>
                        <w:color w:val="231F20"/>
                        <w:spacing w:val="-30"/>
                        <w:w w:val="105"/>
                        <w:sz w:val="20"/>
                      </w:rPr>
                      <w:t> </w:t>
                    </w:r>
                    <w:r>
                      <w:rPr>
                        <w:rFonts w:ascii="Myriad Pro" w:hAnsi="Myriad Pro"/>
                        <w:color w:val="231F20"/>
                        <w:spacing w:val="-3"/>
                        <w:w w:val="105"/>
                        <w:sz w:val="20"/>
                      </w:rPr>
                      <w:t>graphiques</w:t>
                    </w:r>
                    <w:r>
                      <w:rPr>
                        <w:rFonts w:ascii="Myriad Pro" w:hAnsi="Myriad Pro"/>
                        <w:color w:val="231F20"/>
                        <w:spacing w:val="-30"/>
                        <w:w w:val="105"/>
                        <w:sz w:val="20"/>
                      </w:rPr>
                      <w:t> </w:t>
                    </w:r>
                    <w:r>
                      <w:rPr>
                        <w:rFonts w:ascii="Myriad Pro" w:hAnsi="Myriad Pro"/>
                        <w:color w:val="231F20"/>
                        <w:w w:val="105"/>
                        <w:sz w:val="20"/>
                      </w:rPr>
                      <w:t>pour</w:t>
                    </w:r>
                    <w:r>
                      <w:rPr>
                        <w:rFonts w:ascii="Myriad Pro" w:hAnsi="Myriad Pro"/>
                        <w:color w:val="231F20"/>
                        <w:spacing w:val="-30"/>
                        <w:w w:val="105"/>
                        <w:sz w:val="20"/>
                      </w:rPr>
                      <w:t> </w:t>
                    </w:r>
                    <w:r>
                      <w:rPr>
                        <w:rFonts w:ascii="Myriad Pro" w:hAnsi="Myriad Pro"/>
                        <w:color w:val="231F20"/>
                        <w:spacing w:val="-3"/>
                        <w:w w:val="105"/>
                        <w:sz w:val="20"/>
                      </w:rPr>
                      <w:t>comprendre</w:t>
                    </w:r>
                    <w:r>
                      <w:rPr>
                        <w:rFonts w:ascii="Myriad Pro" w:hAnsi="Myriad Pro"/>
                        <w:color w:val="231F20"/>
                        <w:spacing w:val="-30"/>
                        <w:w w:val="105"/>
                        <w:sz w:val="20"/>
                      </w:rPr>
                      <w:t> </w:t>
                    </w:r>
                    <w:r>
                      <w:rPr>
                        <w:rFonts w:ascii="Myriad Pro" w:hAnsi="Myriad Pro"/>
                        <w:color w:val="231F20"/>
                        <w:w w:val="105"/>
                        <w:sz w:val="20"/>
                      </w:rPr>
                      <w:t>les</w:t>
                    </w:r>
                    <w:r>
                      <w:rPr>
                        <w:rFonts w:ascii="Myriad Pro" w:hAnsi="Myriad Pro"/>
                        <w:color w:val="231F20"/>
                        <w:spacing w:val="-30"/>
                        <w:w w:val="105"/>
                        <w:sz w:val="20"/>
                      </w:rPr>
                      <w:t> </w:t>
                    </w:r>
                    <w:r>
                      <w:rPr>
                        <w:rFonts w:ascii="Myriad Pro" w:hAnsi="Myriad Pro"/>
                        <w:color w:val="231F20"/>
                        <w:spacing w:val="-3"/>
                        <w:w w:val="105"/>
                        <w:sz w:val="20"/>
                      </w:rPr>
                      <w:t>procédures</w:t>
                    </w:r>
                    <w:r>
                      <w:rPr>
                        <w:rFonts w:ascii="Myriad Pro" w:hAnsi="Myriad Pro"/>
                        <w:color w:val="231F20"/>
                        <w:spacing w:val="-30"/>
                        <w:w w:val="105"/>
                        <w:sz w:val="20"/>
                      </w:rPr>
                      <w:t> </w:t>
                    </w:r>
                    <w:r>
                      <w:rPr>
                        <w:rFonts w:ascii="Myriad Pro" w:hAnsi="Myriad Pro"/>
                        <w:color w:val="231F20"/>
                        <w:w w:val="105"/>
                        <w:sz w:val="20"/>
                      </w:rPr>
                      <w:t>de</w:t>
                    </w:r>
                    <w:r>
                      <w:rPr>
                        <w:rFonts w:ascii="Myriad Pro" w:hAnsi="Myriad Pro"/>
                        <w:color w:val="231F20"/>
                        <w:spacing w:val="-30"/>
                        <w:w w:val="105"/>
                        <w:sz w:val="20"/>
                      </w:rPr>
                      <w:t> </w:t>
                    </w:r>
                    <w:r>
                      <w:rPr>
                        <w:rFonts w:ascii="Myriad Pro" w:hAnsi="Myriad Pro"/>
                        <w:color w:val="231F20"/>
                        <w:spacing w:val="-3"/>
                        <w:w w:val="105"/>
                        <w:sz w:val="20"/>
                      </w:rPr>
                      <w:t>vote,</w:t>
                    </w:r>
                    <w:r>
                      <w:rPr>
                        <w:rFonts w:ascii="Myriad Pro" w:hAnsi="Myriad Pro"/>
                        <w:color w:val="231F20"/>
                        <w:spacing w:val="-30"/>
                        <w:w w:val="105"/>
                        <w:sz w:val="20"/>
                      </w:rPr>
                      <w:t> </w:t>
                    </w:r>
                    <w:r>
                      <w:rPr>
                        <w:rFonts w:ascii="Myriad Pro" w:hAnsi="Myriad Pro"/>
                        <w:color w:val="231F20"/>
                        <w:w w:val="105"/>
                        <w:sz w:val="20"/>
                      </w:rPr>
                      <w:t>à</w:t>
                    </w:r>
                    <w:r>
                      <w:rPr>
                        <w:rFonts w:ascii="Myriad Pro" w:hAnsi="Myriad Pro"/>
                        <w:color w:val="231F20"/>
                        <w:spacing w:val="-30"/>
                        <w:w w:val="105"/>
                        <w:sz w:val="20"/>
                      </w:rPr>
                      <w:t> </w:t>
                    </w:r>
                    <w:r>
                      <w:rPr>
                        <w:rFonts w:ascii="Myriad Pro" w:hAnsi="Myriad Pro"/>
                        <w:color w:val="231F20"/>
                        <w:w w:val="105"/>
                        <w:sz w:val="20"/>
                      </w:rPr>
                      <w:t>destination</w:t>
                    </w:r>
                    <w:r>
                      <w:rPr>
                        <w:rFonts w:ascii="Myriad Pro" w:hAnsi="Myriad Pro"/>
                        <w:color w:val="231F20"/>
                        <w:spacing w:val="-30"/>
                        <w:w w:val="105"/>
                        <w:sz w:val="20"/>
                      </w:rPr>
                      <w:t> </w:t>
                    </w:r>
                    <w:r>
                      <w:rPr>
                        <w:rFonts w:ascii="Myriad Pro" w:hAnsi="Myriad Pro"/>
                        <w:color w:val="231F20"/>
                        <w:spacing w:val="-2"/>
                        <w:w w:val="105"/>
                        <w:sz w:val="20"/>
                      </w:rPr>
                      <w:t>des </w:t>
                    </w:r>
                    <w:r>
                      <w:rPr>
                        <w:rFonts w:ascii="Myriad Pro" w:hAnsi="Myriad Pro"/>
                        <w:color w:val="231F20"/>
                        <w:sz w:val="20"/>
                      </w:rPr>
                      <w:t>électeurs</w:t>
                    </w:r>
                    <w:r>
                      <w:rPr>
                        <w:rFonts w:ascii="Myriad Pro" w:hAnsi="Myriad Pro"/>
                        <w:color w:val="231F20"/>
                        <w:spacing w:val="-16"/>
                        <w:sz w:val="20"/>
                      </w:rPr>
                      <w:t> </w:t>
                    </w:r>
                    <w:r>
                      <w:rPr>
                        <w:rFonts w:ascii="Myriad Pro" w:hAnsi="Myriad Pro"/>
                        <w:color w:val="231F20"/>
                        <w:spacing w:val="-3"/>
                        <w:sz w:val="20"/>
                      </w:rPr>
                      <w:t>sourds</w:t>
                    </w:r>
                  </w:p>
                  <w:p>
                    <w:pPr>
                      <w:spacing w:before="56"/>
                      <w:ind w:left="519" w:right="-6"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Instructions de vote faciles à lire</w:t>
                    </w:r>
                  </w:p>
                  <w:p>
                    <w:pPr>
                      <w:spacing w:before="56"/>
                      <w:ind w:left="519" w:right="-6" w:firstLine="0"/>
                      <w:jc w:val="left"/>
                      <w:rPr>
                        <w:rFonts w:ascii="Myriad Pro"/>
                        <w:sz w:val="20"/>
                      </w:rPr>
                    </w:pPr>
                    <w:r>
                      <w:rPr>
                        <w:rFonts w:ascii="Arial"/>
                        <w:color w:val="231F20"/>
                        <w:w w:val="120"/>
                        <w:sz w:val="20"/>
                      </w:rPr>
                      <w:t>z </w:t>
                    </w:r>
                    <w:r>
                      <w:rPr>
                        <w:rFonts w:ascii="Myriad Pro"/>
                        <w:color w:val="231F20"/>
                        <w:w w:val="105"/>
                        <w:sz w:val="20"/>
                      </w:rPr>
                      <w:t>Placement des urnes sur une table basse pour les personnes en fauteuil roulant</w:t>
                    </w:r>
                  </w:p>
                  <w:p>
                    <w:pPr>
                      <w:spacing w:before="56"/>
                      <w:ind w:left="802" w:right="-6" w:hanging="284"/>
                      <w:jc w:val="left"/>
                      <w:rPr>
                        <w:rFonts w:ascii="Myriad Pro" w:hAnsi="Myriad Pro"/>
                        <w:sz w:val="20"/>
                      </w:rPr>
                    </w:pPr>
                    <w:r>
                      <w:rPr>
                        <w:rFonts w:ascii="Arial" w:hAnsi="Arial"/>
                        <w:color w:val="231F20"/>
                        <w:w w:val="120"/>
                        <w:sz w:val="20"/>
                      </w:rPr>
                      <w:t>z </w:t>
                    </w:r>
                    <w:r>
                      <w:rPr>
                        <w:rFonts w:ascii="Myriad Pro" w:hAnsi="Myriad Pro"/>
                        <w:color w:val="231F20"/>
                        <w:sz w:val="20"/>
                      </w:rPr>
                      <w:t>Garantie </w:t>
                    </w:r>
                    <w:r>
                      <w:rPr>
                        <w:rFonts w:ascii="Myriad Pro" w:hAnsi="Myriad Pro"/>
                        <w:color w:val="231F20"/>
                        <w:spacing w:val="-3"/>
                        <w:sz w:val="20"/>
                      </w:rPr>
                      <w:t>d’accessibilité </w:t>
                    </w:r>
                    <w:r>
                      <w:rPr>
                        <w:rFonts w:ascii="Myriad Pro" w:hAnsi="Myriad Pro"/>
                        <w:color w:val="231F20"/>
                        <w:sz w:val="20"/>
                      </w:rPr>
                      <w:t>des isoloirs individuels pour les personnes en fauteuil </w:t>
                    </w:r>
                    <w:r>
                      <w:rPr>
                        <w:rFonts w:ascii="Myriad Pro" w:hAnsi="Myriad Pro"/>
                        <w:color w:val="231F20"/>
                        <w:spacing w:val="-3"/>
                        <w:sz w:val="20"/>
                      </w:rPr>
                      <w:t>roulant, </w:t>
                    </w:r>
                    <w:r>
                      <w:rPr>
                        <w:rFonts w:ascii="Myriad Pro" w:hAnsi="Myriad Pro"/>
                        <w:color w:val="231F20"/>
                        <w:sz w:val="20"/>
                      </w:rPr>
                      <w:t>équipés de béquilles ou d'autres dispositifs de soutien</w:t>
                    </w:r>
                  </w:p>
                </w:txbxContent>
              </v:textbox>
              <w10:wrap type="none"/>
            </v:shape>
            <w10:wrap type="topAndBottom"/>
          </v:group>
        </w:pict>
      </w:r>
    </w:p>
    <w:p>
      <w:pPr>
        <w:pStyle w:val="BodyText"/>
        <w:rPr>
          <w:b w:val="0"/>
          <w:sz w:val="26"/>
        </w:rPr>
      </w:pPr>
    </w:p>
    <w:p>
      <w:pPr>
        <w:pStyle w:val="Heading3"/>
        <w:numPr>
          <w:ilvl w:val="0"/>
          <w:numId w:val="4"/>
        </w:numPr>
        <w:tabs>
          <w:tab w:pos="834" w:val="left" w:leader="none"/>
        </w:tabs>
        <w:spacing w:line="240" w:lineRule="auto" w:before="51" w:after="0"/>
        <w:ind w:left="833" w:right="0" w:hanging="720"/>
        <w:jc w:val="left"/>
        <w:rPr>
          <w:b/>
        </w:rPr>
      </w:pPr>
      <w:r>
        <w:rPr>
          <w:b/>
          <w:color w:val="F99D25"/>
        </w:rPr>
        <w:t>Garantir la participation de la société</w:t>
      </w:r>
      <w:r>
        <w:rPr>
          <w:b/>
          <w:color w:val="F99D25"/>
          <w:spacing w:val="-1"/>
        </w:rPr>
        <w:t> </w:t>
      </w:r>
      <w:r>
        <w:rPr>
          <w:b/>
          <w:color w:val="F99D25"/>
        </w:rPr>
        <w:t>civile</w:t>
      </w:r>
    </w:p>
    <w:p>
      <w:pPr>
        <w:pStyle w:val="BodyText"/>
        <w:spacing w:line="266" w:lineRule="auto" w:before="127"/>
        <w:ind w:left="113" w:right="2872"/>
        <w:rPr>
          <w:b w:val="0"/>
        </w:rPr>
      </w:pPr>
      <w:r>
        <w:rPr>
          <w:b w:val="0"/>
          <w:color w:val="231F20"/>
        </w:rPr>
        <w:t>Pour promouvoir un processus politique totalement inclusif, il est essentiel que les responsables politiques consultent les organisations de la société civile et, notamment, les OPH. Les OPH sont peut-être les mieux placées pour servir de ressources sur l’accessibilité en matière de processus électoral et, plus généralement, de prises de décisions publiques.</w:t>
      </w:r>
    </w:p>
    <w:p>
      <w:pPr>
        <w:pStyle w:val="BodyText"/>
        <w:spacing w:before="114"/>
        <w:ind w:left="113"/>
        <w:rPr>
          <w:b w:val="0"/>
        </w:rPr>
      </w:pPr>
      <w:r>
        <w:rPr>
          <w:b w:val="0"/>
          <w:color w:val="231F20"/>
        </w:rPr>
        <w:t>Les OPH doivent être considérées comme des ressources expertes pour :</w:t>
      </w:r>
    </w:p>
    <w:p>
      <w:pPr>
        <w:pStyle w:val="BodyText"/>
        <w:spacing w:before="48"/>
        <w:ind w:left="453"/>
        <w:rPr>
          <w:b w:val="0"/>
        </w:rPr>
      </w:pPr>
      <w:r>
        <w:rPr>
          <w:rFonts w:ascii="Arial" w:hAnsi="Arial"/>
          <w:color w:val="F99D25"/>
          <w:sz w:val="26"/>
        </w:rPr>
        <w:t>► </w:t>
      </w:r>
      <w:r>
        <w:rPr>
          <w:b w:val="0"/>
          <w:color w:val="231F20"/>
        </w:rPr>
        <w:t>la formation des responsables des élections ;</w:t>
      </w:r>
    </w:p>
    <w:p>
      <w:pPr>
        <w:pStyle w:val="BodyText"/>
        <w:spacing w:before="47"/>
        <w:ind w:left="453"/>
        <w:rPr>
          <w:b w:val="0"/>
        </w:rPr>
      </w:pPr>
      <w:r>
        <w:rPr>
          <w:rFonts w:ascii="Arial" w:hAnsi="Arial"/>
          <w:color w:val="F99D25"/>
          <w:sz w:val="26"/>
        </w:rPr>
        <w:t>► </w:t>
      </w:r>
      <w:r>
        <w:rPr>
          <w:b w:val="0"/>
          <w:color w:val="231F20"/>
        </w:rPr>
        <w:t>la conception de procédures de vote accessible ;</w:t>
      </w:r>
    </w:p>
    <w:p>
      <w:pPr>
        <w:pStyle w:val="BodyText"/>
        <w:spacing w:before="47"/>
        <w:ind w:left="453"/>
        <w:rPr>
          <w:b w:val="0"/>
        </w:rPr>
      </w:pPr>
      <w:r>
        <w:rPr>
          <w:rFonts w:ascii="Arial" w:hAnsi="Arial"/>
          <w:color w:val="F99D25"/>
          <w:sz w:val="26"/>
        </w:rPr>
        <w:t>► </w:t>
      </w:r>
      <w:r>
        <w:rPr>
          <w:b w:val="0"/>
          <w:color w:val="231F20"/>
        </w:rPr>
        <w:t>l’organisation de l’éducation des électeurs sur les questions d’accès aux élections ;</w:t>
      </w:r>
    </w:p>
    <w:p>
      <w:pPr>
        <w:pStyle w:val="BodyText"/>
        <w:spacing w:line="264" w:lineRule="auto" w:before="47"/>
        <w:ind w:left="793" w:right="3654" w:hanging="341"/>
        <w:rPr>
          <w:b w:val="0"/>
          <w:i/>
        </w:rPr>
      </w:pPr>
      <w:r>
        <w:rPr>
          <w:rFonts w:ascii="Arial" w:hAnsi="Arial"/>
          <w:color w:val="F99D25"/>
          <w:sz w:val="26"/>
        </w:rPr>
        <w:t>► </w:t>
      </w:r>
      <w:r>
        <w:rPr>
          <w:b w:val="0"/>
          <w:color w:val="231F20"/>
        </w:rPr>
        <w:t>le développement d’outils de suivi des élections incluant les questions de handicap ; </w:t>
      </w:r>
      <w:r>
        <w:rPr>
          <w:b w:val="0"/>
          <w:i/>
          <w:color w:val="231F20"/>
        </w:rPr>
        <w:t>et</w:t>
      </w:r>
    </w:p>
    <w:p>
      <w:pPr>
        <w:pStyle w:val="BodyText"/>
        <w:spacing w:before="21"/>
        <w:ind w:left="453"/>
        <w:rPr>
          <w:b w:val="0"/>
        </w:rPr>
      </w:pPr>
      <w:r>
        <w:rPr>
          <w:rFonts w:ascii="Arial" w:hAnsi="Arial"/>
          <w:color w:val="F99D25"/>
          <w:sz w:val="26"/>
        </w:rPr>
        <w:t>► </w:t>
      </w:r>
      <w:r>
        <w:rPr>
          <w:b w:val="0"/>
          <w:color w:val="231F20"/>
        </w:rPr>
        <w:t>la conception de sites Internet et de supports accessibles pour les élections.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1"/>
        </w:rPr>
      </w:pPr>
      <w:r>
        <w:rPr/>
        <w:pict>
          <v:line style="position:absolute;mso-position-horizontal-relative:page;mso-position-vertical-relative:paragraph;z-index:2680;mso-wrap-distance-left:0;mso-wrap-distance-right:0" from="56.692902pt,15.020516pt" to="155.905902pt,15.020516pt" stroked="true" strokeweight=".5pt" strokecolor="#231f20">
            <w10:wrap type="topAndBottom"/>
          </v:line>
        </w:pict>
      </w:r>
    </w:p>
    <w:p>
      <w:pPr>
        <w:spacing w:line="180" w:lineRule="exact" w:before="87"/>
        <w:ind w:left="373" w:right="3138" w:hanging="260"/>
        <w:jc w:val="left"/>
        <w:rPr>
          <w:b w:val="0"/>
          <w:sz w:val="17"/>
        </w:rPr>
      </w:pPr>
      <w:r>
        <w:rPr>
          <w:b w:val="0"/>
          <w:color w:val="231F20"/>
          <w:position w:val="6"/>
          <w:sz w:val="10"/>
        </w:rPr>
        <w:t>12 </w:t>
      </w:r>
      <w:r>
        <w:rPr>
          <w:b w:val="0"/>
          <w:color w:val="231F20"/>
          <w:sz w:val="17"/>
        </w:rPr>
        <w:t>Les bulletins de vote sont des tickets ou des morceaux de papier utilisés pour voter lors d'une élection. De plus en plus, ce terme désigne aussi des écrans ou autres dispositifs électroniques permettant d’enregistrer ou de compter les votes.</w:t>
      </w:r>
    </w:p>
    <w:p>
      <w:pPr>
        <w:spacing w:line="180" w:lineRule="exact" w:before="56"/>
        <w:ind w:left="373" w:right="2913" w:hanging="260"/>
        <w:jc w:val="left"/>
        <w:rPr>
          <w:b w:val="0"/>
          <w:sz w:val="17"/>
        </w:rPr>
      </w:pPr>
      <w:r>
        <w:rPr>
          <w:b w:val="0"/>
          <w:color w:val="231F20"/>
          <w:position w:val="6"/>
          <w:sz w:val="10"/>
        </w:rPr>
        <w:t>13 </w:t>
      </w:r>
      <w:r>
        <w:rPr>
          <w:b w:val="0"/>
          <w:color w:val="231F20"/>
          <w:sz w:val="17"/>
        </w:rPr>
        <w:t>Voir par exemple, Modern Ghana.com, Tactile Balloting to Help Blind Voter in Election, 23 sept. 2004, </w:t>
      </w:r>
      <w:hyperlink r:id="rId19">
        <w:r>
          <w:rPr>
            <w:b w:val="0"/>
            <w:color w:val="F99D25"/>
            <w:sz w:val="17"/>
          </w:rPr>
          <w:t>http://www.</w:t>
        </w:r>
      </w:hyperlink>
      <w:r>
        <w:rPr>
          <w:b w:val="0"/>
          <w:color w:val="F99D25"/>
          <w:sz w:val="17"/>
        </w:rPr>
        <w:t> </w:t>
      </w:r>
      <w:hyperlink r:id="rId19">
        <w:r>
          <w:rPr>
            <w:b w:val="0"/>
            <w:color w:val="F99D25"/>
            <w:sz w:val="17"/>
          </w:rPr>
          <w:t>modernghana.com/news/63517/1/tactile-balloting-to-help-blind-voters-in-election.html</w:t>
        </w:r>
      </w:hyperlink>
      <w:r>
        <w:rPr>
          <w:b w:val="0"/>
          <w:color w:val="231F20"/>
          <w:sz w:val="17"/>
        </w:rPr>
        <w:t>. Pour des exemples de guides sur les bulletins tactiles, voir Global Initiative to Enfranchise People with Disabilities, </w:t>
      </w:r>
      <w:hyperlink r:id="rId20">
        <w:r>
          <w:rPr>
            <w:b w:val="0"/>
            <w:color w:val="F99D25"/>
            <w:sz w:val="17"/>
          </w:rPr>
          <w:t>http://www.</w:t>
        </w:r>
      </w:hyperlink>
      <w:r>
        <w:rPr>
          <w:b w:val="0"/>
          <w:color w:val="F99D25"/>
          <w:sz w:val="17"/>
        </w:rPr>
        <w:t> </w:t>
      </w:r>
      <w:hyperlink r:id="rId20">
        <w:r>
          <w:rPr>
            <w:b w:val="0"/>
            <w:color w:val="F99D25"/>
            <w:sz w:val="17"/>
          </w:rPr>
          <w:t>electionaccess.org</w:t>
        </w:r>
      </w:hyperlink>
    </w:p>
    <w:p>
      <w:pPr>
        <w:pStyle w:val="BodyText"/>
        <w:spacing w:before="11"/>
        <w:rPr>
          <w:b w:val="0"/>
          <w:sz w:val="29"/>
        </w:rPr>
      </w:pPr>
    </w:p>
    <w:p>
      <w:pPr>
        <w:spacing w:before="101"/>
        <w:ind w:left="3917" w:right="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45808"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12</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267.55pt;mso-position-horizontal-relative:page;mso-position-vertical-relative:paragraph;z-index:2776;mso-wrap-distance-left:0;mso-wrap-distance-right:0" coordorigin="2881,365" coordsize="7901,5351">
            <v:rect style="position:absolute;left:2891;top:365;width:7880;height:363" filled="true" fillcolor="#f99d25" stroked="false">
              <v:fill type="solid"/>
            </v:rect>
            <v:rect style="position:absolute;left:2891;top:729;width:7880;height:4977" filled="true" fillcolor="#fff2e3" stroked="false">
              <v:fill type="solid"/>
            </v:rect>
            <v:line style="position:absolute" from="2891,5706" to="10772,5706" stroked="true" strokeweight="1pt" strokecolor="#f99d25"/>
            <v:shape style="position:absolute;left:2881;top:365;width:7901;height:5351" type="#_x0000_t202" filled="false" stroked="false">
              <v:textbox inset="0,0,0,0">
                <w:txbxContent>
                  <w:p>
                    <w:pPr>
                      <w:spacing w:before="32"/>
                      <w:ind w:left="125" w:right="-6" w:firstLine="0"/>
                      <w:jc w:val="left"/>
                      <w:rPr>
                        <w:rFonts w:ascii="Myriad Pro" w:hAnsi="Myriad Pro"/>
                        <w:b/>
                        <w:sz w:val="22"/>
                      </w:rPr>
                    </w:pPr>
                    <w:r>
                      <w:rPr>
                        <w:rFonts w:ascii="Myriad Pro" w:hAnsi="Myriad Pro"/>
                        <w:b/>
                        <w:color w:val="FFFFFF"/>
                        <w:sz w:val="22"/>
                      </w:rPr>
                      <w:t>Étude de cas : Liberia : Participation des OPH libériennes à l’accès aux élections</w:t>
                    </w:r>
                  </w:p>
                  <w:p>
                    <w:pPr>
                      <w:spacing w:line="259" w:lineRule="auto" w:before="188"/>
                      <w:ind w:left="180" w:right="143" w:firstLine="0"/>
                      <w:jc w:val="left"/>
                      <w:rPr>
                        <w:rFonts w:ascii="Myriad Pro" w:hAnsi="Myriad Pro"/>
                        <w:sz w:val="20"/>
                      </w:rPr>
                    </w:pPr>
                    <w:r>
                      <w:rPr>
                        <w:rFonts w:ascii="Myriad Pro" w:hAnsi="Myriad Pro"/>
                        <w:color w:val="231F20"/>
                        <w:sz w:val="20"/>
                      </w:rPr>
                      <w:t>Au Liberia, les organisations de personnes handicapées et la Commission électorale nationale ont travaillé ensemble lors des élections historiques de 2004, afin d'améliorer la participation politique des Libériens handicapés. Les mesures prises incluaient :</w:t>
                    </w:r>
                  </w:p>
                  <w:p>
                    <w:pPr>
                      <w:spacing w:before="37"/>
                      <w:ind w:left="803" w:right="295" w:hanging="284"/>
                      <w:jc w:val="left"/>
                      <w:rPr>
                        <w:rFonts w:ascii="Myriad Pro" w:hAnsi="Myriad Pro"/>
                        <w:sz w:val="20"/>
                      </w:rPr>
                    </w:pPr>
                    <w:r>
                      <w:rPr>
                        <w:rFonts w:ascii="Arial" w:hAnsi="Arial"/>
                        <w:color w:val="231F20"/>
                        <w:w w:val="120"/>
                        <w:sz w:val="20"/>
                      </w:rPr>
                      <w:t>z </w:t>
                    </w:r>
                    <w:r>
                      <w:rPr>
                        <w:rFonts w:ascii="Myriad Pro" w:hAnsi="Myriad Pro"/>
                        <w:color w:val="231F20"/>
                        <w:sz w:val="20"/>
                      </w:rPr>
                      <w:t>La formation de plus de 100 responsables des élections à l’accès aux élections, au droit et à la politique en la matière ;</w:t>
                    </w:r>
                  </w:p>
                  <w:p>
                    <w:pPr>
                      <w:spacing w:before="56"/>
                      <w:ind w:left="803" w:right="295" w:hanging="284"/>
                      <w:jc w:val="left"/>
                      <w:rPr>
                        <w:rFonts w:ascii="Myriad Pro" w:hAnsi="Myriad Pro"/>
                        <w:sz w:val="20"/>
                      </w:rPr>
                    </w:pPr>
                    <w:r>
                      <w:rPr>
                        <w:rFonts w:ascii="Arial" w:hAnsi="Arial"/>
                        <w:color w:val="231F20"/>
                        <w:w w:val="120"/>
                        <w:sz w:val="20"/>
                      </w:rPr>
                      <w:t>z </w:t>
                    </w:r>
                    <w:r>
                      <w:rPr>
                        <w:rFonts w:ascii="Myriad Pro" w:hAnsi="Myriad Pro"/>
                        <w:color w:val="231F20"/>
                        <w:sz w:val="20"/>
                      </w:rPr>
                      <w:t>le lobbying auprès de la présidente de la Commission électorale en faveur d’un accès amélioré pour les électeurs ;</w:t>
                    </w:r>
                  </w:p>
                  <w:p>
                    <w:pPr>
                      <w:spacing w:before="56"/>
                      <w:ind w:left="803" w:right="315" w:hanging="284"/>
                      <w:jc w:val="left"/>
                      <w:rPr>
                        <w:rFonts w:ascii="Myriad Pro" w:hAnsi="Myriad Pro"/>
                        <w:sz w:val="20"/>
                      </w:rPr>
                    </w:pPr>
                    <w:r>
                      <w:rPr>
                        <w:rFonts w:ascii="Arial" w:hAnsi="Arial"/>
                        <w:color w:val="231F20"/>
                        <w:w w:val="120"/>
                        <w:sz w:val="20"/>
                      </w:rPr>
                      <w:t>z</w:t>
                    </w:r>
                    <w:r>
                      <w:rPr>
                        <w:rFonts w:ascii="Arial" w:hAnsi="Arial"/>
                        <w:color w:val="231F20"/>
                        <w:spacing w:val="2"/>
                        <w:w w:val="120"/>
                        <w:sz w:val="20"/>
                      </w:rPr>
                      <w:t> </w:t>
                    </w:r>
                    <w:r>
                      <w:rPr>
                        <w:rFonts w:ascii="Myriad Pro" w:hAnsi="Myriad Pro"/>
                        <w:color w:val="231F20"/>
                        <w:w w:val="105"/>
                        <w:sz w:val="20"/>
                      </w:rPr>
                      <w:t>la</w:t>
                    </w:r>
                    <w:r>
                      <w:rPr>
                        <w:rFonts w:ascii="Myriad Pro" w:hAnsi="Myriad Pro"/>
                        <w:color w:val="231F20"/>
                        <w:spacing w:val="-23"/>
                        <w:w w:val="105"/>
                        <w:sz w:val="20"/>
                      </w:rPr>
                      <w:t> </w:t>
                    </w:r>
                    <w:r>
                      <w:rPr>
                        <w:rFonts w:ascii="Myriad Pro" w:hAnsi="Myriad Pro"/>
                        <w:color w:val="231F20"/>
                        <w:w w:val="105"/>
                        <w:sz w:val="20"/>
                      </w:rPr>
                      <w:t>production</w:t>
                    </w:r>
                    <w:r>
                      <w:rPr>
                        <w:rFonts w:ascii="Myriad Pro" w:hAnsi="Myriad Pro"/>
                        <w:color w:val="231F20"/>
                        <w:spacing w:val="-23"/>
                        <w:w w:val="105"/>
                        <w:sz w:val="20"/>
                      </w:rPr>
                      <w:t> </w:t>
                    </w:r>
                    <w:r>
                      <w:rPr>
                        <w:rFonts w:ascii="Myriad Pro" w:hAnsi="Myriad Pro"/>
                        <w:color w:val="231F20"/>
                        <w:w w:val="105"/>
                        <w:sz w:val="20"/>
                      </w:rPr>
                      <w:t>d’un</w:t>
                    </w:r>
                    <w:r>
                      <w:rPr>
                        <w:rFonts w:ascii="Myriad Pro" w:hAnsi="Myriad Pro"/>
                        <w:color w:val="231F20"/>
                        <w:spacing w:val="-23"/>
                        <w:w w:val="105"/>
                        <w:sz w:val="20"/>
                      </w:rPr>
                      <w:t> </w:t>
                    </w:r>
                    <w:r>
                      <w:rPr>
                        <w:rFonts w:ascii="Myriad Pro" w:hAnsi="Myriad Pro"/>
                        <w:color w:val="231F20"/>
                        <w:w w:val="105"/>
                        <w:sz w:val="20"/>
                      </w:rPr>
                      <w:t>guide</w:t>
                    </w:r>
                    <w:r>
                      <w:rPr>
                        <w:rFonts w:ascii="Myriad Pro" w:hAnsi="Myriad Pro"/>
                        <w:color w:val="231F20"/>
                        <w:spacing w:val="-23"/>
                        <w:w w:val="105"/>
                        <w:sz w:val="20"/>
                      </w:rPr>
                      <w:t> </w:t>
                    </w:r>
                    <w:r>
                      <w:rPr>
                        <w:rFonts w:ascii="Myriad Pro" w:hAnsi="Myriad Pro"/>
                        <w:color w:val="231F20"/>
                        <w:w w:val="105"/>
                        <w:sz w:val="20"/>
                      </w:rPr>
                      <w:t>d’accès</w:t>
                    </w:r>
                    <w:r>
                      <w:rPr>
                        <w:rFonts w:ascii="Myriad Pro" w:hAnsi="Myriad Pro"/>
                        <w:color w:val="231F20"/>
                        <w:spacing w:val="-23"/>
                        <w:w w:val="105"/>
                        <w:sz w:val="20"/>
                      </w:rPr>
                      <w:t> </w:t>
                    </w:r>
                    <w:r>
                      <w:rPr>
                        <w:rFonts w:ascii="Myriad Pro" w:hAnsi="Myriad Pro"/>
                        <w:color w:val="231F20"/>
                        <w:w w:val="105"/>
                        <w:sz w:val="20"/>
                      </w:rPr>
                      <w:t>aux</w:t>
                    </w:r>
                    <w:r>
                      <w:rPr>
                        <w:rFonts w:ascii="Myriad Pro" w:hAnsi="Myriad Pro"/>
                        <w:color w:val="231F20"/>
                        <w:spacing w:val="-23"/>
                        <w:w w:val="105"/>
                        <w:sz w:val="20"/>
                      </w:rPr>
                      <w:t> </w:t>
                    </w:r>
                    <w:r>
                      <w:rPr>
                        <w:rFonts w:ascii="Myriad Pro" w:hAnsi="Myriad Pro"/>
                        <w:color w:val="231F20"/>
                        <w:w w:val="105"/>
                        <w:sz w:val="20"/>
                      </w:rPr>
                      <w:t>élections</w:t>
                    </w:r>
                    <w:r>
                      <w:rPr>
                        <w:rFonts w:ascii="Myriad Pro" w:hAnsi="Myriad Pro"/>
                        <w:color w:val="231F20"/>
                        <w:spacing w:val="-23"/>
                        <w:w w:val="105"/>
                        <w:sz w:val="20"/>
                      </w:rPr>
                      <w:t> </w:t>
                    </w:r>
                    <w:r>
                      <w:rPr>
                        <w:rFonts w:ascii="Myriad Pro" w:hAnsi="Myriad Pro"/>
                        <w:color w:val="231F20"/>
                        <w:w w:val="105"/>
                        <w:sz w:val="20"/>
                      </w:rPr>
                      <w:t>destiné</w:t>
                    </w:r>
                    <w:r>
                      <w:rPr>
                        <w:rFonts w:ascii="Myriad Pro" w:hAnsi="Myriad Pro"/>
                        <w:color w:val="231F20"/>
                        <w:spacing w:val="-23"/>
                        <w:w w:val="105"/>
                        <w:sz w:val="20"/>
                      </w:rPr>
                      <w:t> </w:t>
                    </w:r>
                    <w:r>
                      <w:rPr>
                        <w:rFonts w:ascii="Myriad Pro" w:hAnsi="Myriad Pro"/>
                        <w:color w:val="231F20"/>
                        <w:w w:val="105"/>
                        <w:sz w:val="20"/>
                      </w:rPr>
                      <w:t>à</w:t>
                    </w:r>
                    <w:r>
                      <w:rPr>
                        <w:rFonts w:ascii="Myriad Pro" w:hAnsi="Myriad Pro"/>
                        <w:color w:val="231F20"/>
                        <w:spacing w:val="-23"/>
                        <w:w w:val="105"/>
                        <w:sz w:val="20"/>
                      </w:rPr>
                      <w:t> </w:t>
                    </w:r>
                    <w:r>
                      <w:rPr>
                        <w:rFonts w:ascii="Myriad Pro" w:hAnsi="Myriad Pro"/>
                        <w:color w:val="231F20"/>
                        <w:w w:val="105"/>
                        <w:sz w:val="20"/>
                      </w:rPr>
                      <w:t>la</w:t>
                    </w:r>
                    <w:r>
                      <w:rPr>
                        <w:rFonts w:ascii="Myriad Pro" w:hAnsi="Myriad Pro"/>
                        <w:color w:val="231F20"/>
                        <w:spacing w:val="-23"/>
                        <w:w w:val="105"/>
                        <w:sz w:val="20"/>
                      </w:rPr>
                      <w:t> </w:t>
                    </w:r>
                    <w:r>
                      <w:rPr>
                        <w:rFonts w:ascii="Myriad Pro" w:hAnsi="Myriad Pro"/>
                        <w:color w:val="231F20"/>
                        <w:w w:val="105"/>
                        <w:sz w:val="20"/>
                      </w:rPr>
                      <w:t>Commission</w:t>
                    </w:r>
                    <w:r>
                      <w:rPr>
                        <w:rFonts w:ascii="Myriad Pro" w:hAnsi="Myriad Pro"/>
                        <w:color w:val="231F20"/>
                        <w:spacing w:val="-23"/>
                        <w:w w:val="105"/>
                        <w:sz w:val="20"/>
                      </w:rPr>
                      <w:t> </w:t>
                    </w:r>
                    <w:r>
                      <w:rPr>
                        <w:rFonts w:ascii="Myriad Pro" w:hAnsi="Myriad Pro"/>
                        <w:color w:val="231F20"/>
                        <w:w w:val="105"/>
                        <w:sz w:val="20"/>
                      </w:rPr>
                      <w:t>électorale du</w:t>
                    </w:r>
                    <w:r>
                      <w:rPr>
                        <w:rFonts w:ascii="Myriad Pro" w:hAnsi="Myriad Pro"/>
                        <w:color w:val="231F20"/>
                        <w:spacing w:val="-23"/>
                        <w:w w:val="105"/>
                        <w:sz w:val="20"/>
                      </w:rPr>
                      <w:t> </w:t>
                    </w:r>
                    <w:r>
                      <w:rPr>
                        <w:rFonts w:ascii="Myriad Pro" w:hAnsi="Myriad Pro"/>
                        <w:color w:val="231F20"/>
                        <w:w w:val="105"/>
                        <w:sz w:val="20"/>
                      </w:rPr>
                      <w:t>Liberia</w:t>
                    </w:r>
                    <w:r>
                      <w:rPr>
                        <w:rFonts w:ascii="Myriad Pro" w:hAnsi="Myriad Pro"/>
                        <w:color w:val="231F20"/>
                        <w:spacing w:val="-23"/>
                        <w:w w:val="105"/>
                        <w:sz w:val="20"/>
                      </w:rPr>
                      <w:t> </w:t>
                    </w:r>
                    <w:r>
                      <w:rPr>
                        <w:rFonts w:ascii="Myriad Pro" w:hAnsi="Myriad Pro"/>
                        <w:color w:val="231F20"/>
                        <w:w w:val="105"/>
                        <w:sz w:val="20"/>
                      </w:rPr>
                      <w:t>;</w:t>
                    </w:r>
                  </w:p>
                  <w:p>
                    <w:pPr>
                      <w:spacing w:before="56"/>
                      <w:ind w:left="802" w:right="143" w:hanging="284"/>
                      <w:jc w:val="left"/>
                      <w:rPr>
                        <w:rFonts w:ascii="Myriad Pro" w:hAnsi="Myriad Pro"/>
                        <w:sz w:val="20"/>
                      </w:rPr>
                    </w:pPr>
                    <w:r>
                      <w:rPr>
                        <w:rFonts w:ascii="Arial" w:hAnsi="Arial"/>
                        <w:color w:val="231F20"/>
                        <w:w w:val="120"/>
                        <w:sz w:val="20"/>
                      </w:rPr>
                      <w:t>z </w:t>
                    </w:r>
                    <w:r>
                      <w:rPr>
                        <w:rFonts w:ascii="Myriad Pro" w:hAnsi="Myriad Pro"/>
                        <w:color w:val="231F20"/>
                        <w:sz w:val="20"/>
                      </w:rPr>
                      <w:t>la conception de supports d’éducation des électeurs utilisant la voix et l’image pour les électeurs handicapés ;</w:t>
                    </w:r>
                  </w:p>
                  <w:p>
                    <w:pPr>
                      <w:spacing w:before="56"/>
                      <w:ind w:left="519" w:right="-6"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l’organisation de l'éducation des électeurs ;</w:t>
                    </w:r>
                  </w:p>
                  <w:p>
                    <w:pPr>
                      <w:spacing w:before="56"/>
                      <w:ind w:left="519" w:right="-6"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le pilotage d’un guide tactile pour les bulletins de vote ; et</w:t>
                    </w:r>
                  </w:p>
                  <w:p>
                    <w:pPr>
                      <w:spacing w:before="56"/>
                      <w:ind w:left="802" w:right="280" w:hanging="284"/>
                      <w:jc w:val="left"/>
                      <w:rPr>
                        <w:rFonts w:ascii="Myriad Pro" w:hAnsi="Myriad Pro"/>
                        <w:sz w:val="20"/>
                      </w:rPr>
                    </w:pPr>
                    <w:r>
                      <w:rPr>
                        <w:rFonts w:ascii="Arial" w:hAnsi="Arial"/>
                        <w:color w:val="231F20"/>
                        <w:w w:val="120"/>
                        <w:sz w:val="20"/>
                      </w:rPr>
                      <w:t>z</w:t>
                    </w:r>
                    <w:r>
                      <w:rPr>
                        <w:rFonts w:ascii="Arial" w:hAnsi="Arial"/>
                        <w:color w:val="231F20"/>
                        <w:spacing w:val="-3"/>
                        <w:w w:val="120"/>
                        <w:sz w:val="20"/>
                      </w:rPr>
                      <w:t> </w:t>
                    </w:r>
                    <w:r>
                      <w:rPr>
                        <w:rFonts w:ascii="Myriad Pro" w:hAnsi="Myriad Pro"/>
                        <w:color w:val="231F20"/>
                        <w:w w:val="105"/>
                        <w:sz w:val="20"/>
                      </w:rPr>
                      <w:t>la</w:t>
                    </w:r>
                    <w:r>
                      <w:rPr>
                        <w:rFonts w:ascii="Myriad Pro" w:hAnsi="Myriad Pro"/>
                        <w:color w:val="231F20"/>
                        <w:spacing w:val="-24"/>
                        <w:w w:val="105"/>
                        <w:sz w:val="20"/>
                      </w:rPr>
                      <w:t> </w:t>
                    </w:r>
                    <w:r>
                      <w:rPr>
                        <w:rFonts w:ascii="Myriad Pro" w:hAnsi="Myriad Pro"/>
                        <w:color w:val="231F20"/>
                        <w:w w:val="105"/>
                        <w:sz w:val="20"/>
                      </w:rPr>
                      <w:t>conception</w:t>
                    </w:r>
                    <w:r>
                      <w:rPr>
                        <w:rFonts w:ascii="Myriad Pro" w:hAnsi="Myriad Pro"/>
                        <w:color w:val="231F20"/>
                        <w:spacing w:val="-24"/>
                        <w:w w:val="105"/>
                        <w:sz w:val="20"/>
                      </w:rPr>
                      <w:t> </w:t>
                    </w:r>
                    <w:r>
                      <w:rPr>
                        <w:rFonts w:ascii="Myriad Pro" w:hAnsi="Myriad Pro"/>
                        <w:color w:val="231F20"/>
                        <w:w w:val="105"/>
                        <w:sz w:val="20"/>
                      </w:rPr>
                      <w:t>de</w:t>
                    </w:r>
                    <w:r>
                      <w:rPr>
                        <w:rFonts w:ascii="Myriad Pro" w:hAnsi="Myriad Pro"/>
                        <w:color w:val="231F20"/>
                        <w:spacing w:val="-24"/>
                        <w:w w:val="105"/>
                        <w:sz w:val="20"/>
                      </w:rPr>
                      <w:t> </w:t>
                    </w:r>
                    <w:r>
                      <w:rPr>
                        <w:rFonts w:ascii="Myriad Pro" w:hAnsi="Myriad Pro"/>
                        <w:color w:val="231F20"/>
                        <w:w w:val="105"/>
                        <w:sz w:val="20"/>
                      </w:rPr>
                      <w:t>questions</w:t>
                    </w:r>
                    <w:r>
                      <w:rPr>
                        <w:rFonts w:ascii="Myriad Pro" w:hAnsi="Myriad Pro"/>
                        <w:color w:val="231F20"/>
                        <w:spacing w:val="-24"/>
                        <w:w w:val="105"/>
                        <w:sz w:val="20"/>
                      </w:rPr>
                      <w:t> </w:t>
                    </w:r>
                    <w:r>
                      <w:rPr>
                        <w:rFonts w:ascii="Myriad Pro" w:hAnsi="Myriad Pro"/>
                        <w:color w:val="231F20"/>
                        <w:w w:val="105"/>
                        <w:sz w:val="20"/>
                      </w:rPr>
                      <w:t>relatives</w:t>
                    </w:r>
                    <w:r>
                      <w:rPr>
                        <w:rFonts w:ascii="Myriad Pro" w:hAnsi="Myriad Pro"/>
                        <w:color w:val="231F20"/>
                        <w:spacing w:val="-24"/>
                        <w:w w:val="105"/>
                        <w:sz w:val="20"/>
                      </w:rPr>
                      <w:t> </w:t>
                    </w:r>
                    <w:r>
                      <w:rPr>
                        <w:rFonts w:ascii="Myriad Pro" w:hAnsi="Myriad Pro"/>
                        <w:color w:val="231F20"/>
                        <w:w w:val="105"/>
                        <w:sz w:val="20"/>
                      </w:rPr>
                      <w:t>au</w:t>
                    </w:r>
                    <w:r>
                      <w:rPr>
                        <w:rFonts w:ascii="Myriad Pro" w:hAnsi="Myriad Pro"/>
                        <w:color w:val="231F20"/>
                        <w:spacing w:val="-24"/>
                        <w:w w:val="105"/>
                        <w:sz w:val="20"/>
                      </w:rPr>
                      <w:t> </w:t>
                    </w:r>
                    <w:r>
                      <w:rPr>
                        <w:rFonts w:ascii="Myriad Pro" w:hAnsi="Myriad Pro"/>
                        <w:color w:val="231F20"/>
                        <w:w w:val="105"/>
                        <w:sz w:val="20"/>
                      </w:rPr>
                      <w:t>handicap</w:t>
                    </w:r>
                    <w:r>
                      <w:rPr>
                        <w:rFonts w:ascii="Myriad Pro" w:hAnsi="Myriad Pro"/>
                        <w:color w:val="231F20"/>
                        <w:spacing w:val="-24"/>
                        <w:w w:val="105"/>
                        <w:sz w:val="20"/>
                      </w:rPr>
                      <w:t> </w:t>
                    </w:r>
                    <w:r>
                      <w:rPr>
                        <w:rFonts w:ascii="Myriad Pro" w:hAnsi="Myriad Pro"/>
                        <w:color w:val="231F20"/>
                        <w:w w:val="105"/>
                        <w:sz w:val="20"/>
                      </w:rPr>
                      <w:t>pour</w:t>
                    </w:r>
                    <w:r>
                      <w:rPr>
                        <w:rFonts w:ascii="Myriad Pro" w:hAnsi="Myriad Pro"/>
                        <w:color w:val="231F20"/>
                        <w:spacing w:val="-24"/>
                        <w:w w:val="105"/>
                        <w:sz w:val="20"/>
                      </w:rPr>
                      <w:t> </w:t>
                    </w:r>
                    <w:r>
                      <w:rPr>
                        <w:rFonts w:ascii="Myriad Pro" w:hAnsi="Myriad Pro"/>
                        <w:color w:val="231F20"/>
                        <w:w w:val="105"/>
                        <w:sz w:val="20"/>
                      </w:rPr>
                      <w:t>la</w:t>
                    </w:r>
                    <w:r>
                      <w:rPr>
                        <w:rFonts w:ascii="Myriad Pro" w:hAnsi="Myriad Pro"/>
                        <w:color w:val="231F20"/>
                        <w:spacing w:val="-24"/>
                        <w:w w:val="105"/>
                        <w:sz w:val="20"/>
                      </w:rPr>
                      <w:t> </w:t>
                    </w:r>
                    <w:r>
                      <w:rPr>
                        <w:rFonts w:ascii="Myriad Pro" w:hAnsi="Myriad Pro"/>
                        <w:color w:val="231F20"/>
                        <w:w w:val="105"/>
                        <w:sz w:val="20"/>
                      </w:rPr>
                      <w:t>formation</w:t>
                    </w:r>
                    <w:r>
                      <w:rPr>
                        <w:rFonts w:ascii="Myriad Pro" w:hAnsi="Myriad Pro"/>
                        <w:color w:val="231F20"/>
                        <w:spacing w:val="-24"/>
                        <w:w w:val="105"/>
                        <w:sz w:val="20"/>
                      </w:rPr>
                      <w:t> </w:t>
                    </w:r>
                    <w:r>
                      <w:rPr>
                        <w:rFonts w:ascii="Myriad Pro" w:hAnsi="Myriad Pro"/>
                        <w:color w:val="231F20"/>
                        <w:w w:val="105"/>
                        <w:sz w:val="20"/>
                      </w:rPr>
                      <w:t>à</w:t>
                    </w:r>
                    <w:r>
                      <w:rPr>
                        <w:rFonts w:ascii="Myriad Pro" w:hAnsi="Myriad Pro"/>
                        <w:color w:val="231F20"/>
                        <w:spacing w:val="-24"/>
                        <w:w w:val="105"/>
                        <w:sz w:val="20"/>
                      </w:rPr>
                      <w:t> </w:t>
                    </w:r>
                    <w:r>
                      <w:rPr>
                        <w:rFonts w:ascii="Myriad Pro" w:hAnsi="Myriad Pro"/>
                        <w:color w:val="231F20"/>
                        <w:w w:val="105"/>
                        <w:sz w:val="20"/>
                      </w:rPr>
                      <w:t>l’observation </w:t>
                    </w:r>
                    <w:r>
                      <w:rPr>
                        <w:rFonts w:ascii="Myriad Pro" w:hAnsi="Myriad Pro"/>
                        <w:color w:val="231F20"/>
                        <w:sz w:val="20"/>
                      </w:rPr>
                      <w:t>des</w:t>
                    </w:r>
                    <w:r>
                      <w:rPr>
                        <w:rFonts w:ascii="Myriad Pro" w:hAnsi="Myriad Pro"/>
                        <w:color w:val="231F20"/>
                        <w:spacing w:val="-1"/>
                        <w:sz w:val="20"/>
                      </w:rPr>
                      <w:t> </w:t>
                    </w:r>
                    <w:r>
                      <w:rPr>
                        <w:rFonts w:ascii="Myriad Pro" w:hAnsi="Myriad Pro"/>
                        <w:color w:val="231F20"/>
                        <w:sz w:val="20"/>
                      </w:rPr>
                      <w:t>élections.</w:t>
                    </w:r>
                  </w:p>
                  <w:p>
                    <w:pPr>
                      <w:spacing w:line="264" w:lineRule="auto" w:before="136"/>
                      <w:ind w:left="178" w:right="-6" w:firstLine="0"/>
                      <w:jc w:val="left"/>
                      <w:rPr>
                        <w:b w:val="0"/>
                        <w:i/>
                        <w:sz w:val="20"/>
                      </w:rPr>
                    </w:pPr>
                    <w:r>
                      <w:rPr>
                        <w:b w:val="0"/>
                        <w:i/>
                        <w:color w:val="231F20"/>
                        <w:sz w:val="20"/>
                      </w:rPr>
                      <w:t>Source : J. Lord et al, Facilitating an Equal Right to Vote for Persons with Disabilities 6 Human Rights </w:t>
                    </w:r>
                    <w:r>
                      <w:rPr>
                        <w:b w:val="0"/>
                        <w:i/>
                        <w:color w:val="231F20"/>
                        <w:sz w:val="20"/>
                      </w:rPr>
                      <w:t>Practice (Mars 2014).</w:t>
                    </w:r>
                  </w:p>
                </w:txbxContent>
              </v:textbox>
              <w10:wrap type="none"/>
            </v:shape>
            <w10:wrap type="topAndBottom"/>
          </v:group>
        </w:pict>
      </w:r>
    </w:p>
    <w:p>
      <w:pPr>
        <w:pStyle w:val="BodyText"/>
        <w:spacing w:before="7"/>
        <w:rPr>
          <w:rFonts w:ascii="Myriad Pro"/>
          <w:sz w:val="25"/>
        </w:rPr>
      </w:pPr>
    </w:p>
    <w:p>
      <w:pPr>
        <w:pStyle w:val="Heading3"/>
        <w:numPr>
          <w:ilvl w:val="0"/>
          <w:numId w:val="4"/>
        </w:numPr>
        <w:tabs>
          <w:tab w:pos="3612" w:val="left" w:leader="none"/>
        </w:tabs>
        <w:spacing w:line="240" w:lineRule="auto" w:before="51" w:after="0"/>
        <w:ind w:left="3611" w:right="0" w:hanging="720"/>
        <w:jc w:val="left"/>
        <w:rPr>
          <w:b/>
        </w:rPr>
      </w:pPr>
      <w:r>
        <w:rPr>
          <w:b/>
          <w:color w:val="F99D25"/>
        </w:rPr>
        <w:t>Garantir des systèmes de plaintes électorales</w:t>
      </w:r>
      <w:r>
        <w:rPr>
          <w:b/>
          <w:color w:val="F99D25"/>
          <w:spacing w:val="-20"/>
        </w:rPr>
        <w:t> </w:t>
      </w:r>
      <w:r>
        <w:rPr>
          <w:b/>
          <w:color w:val="F99D25"/>
        </w:rPr>
        <w:t>accessibles</w:t>
      </w:r>
    </w:p>
    <w:p>
      <w:pPr>
        <w:pStyle w:val="BodyText"/>
        <w:spacing w:line="266" w:lineRule="auto" w:before="127"/>
        <w:ind w:left="2891" w:right="95"/>
        <w:rPr>
          <w:b w:val="0"/>
        </w:rPr>
      </w:pPr>
      <w:r>
        <w:rPr>
          <w:b w:val="0"/>
          <w:color w:val="231F20"/>
        </w:rPr>
        <w:t>La pleine jouissance par les personnes handicapées de leur droit à participer à la vie politique et publique requiert qu’elles aient accès aux mécanismes de plaintes électorales. Dans le cas où les personnes handicapées pensent avoir été victimes de discrimination fondée sur le handicap dans un contexte électoral, elles doivent pouvoir déposer plainte auprès d’un tel organisme ou mécanisme. Notamment, les personnes handicapées doivent pouvoir mettre en cause les restrictions et limitations de leurs droits politiques et électoraux, y compris lorsqu’elles briguent un mandat politique, lorsqu’elles soutiennent des partis politiques et leurs candidats et lorsqu’elles souhaitent être inscrites sur les listes électorales et voter.</w:t>
      </w:r>
    </w:p>
    <w:p>
      <w:pPr>
        <w:pStyle w:val="BodyText"/>
        <w:spacing w:before="4"/>
        <w:rPr>
          <w:b w:val="0"/>
          <w:sz w:val="18"/>
        </w:rPr>
      </w:pPr>
      <w:r>
        <w:rPr/>
        <w:pict>
          <v:group style="position:absolute;margin-left:144.066895pt;margin-top:12.840347pt;width:395.05pt;height:213.05pt;mso-position-horizontal-relative:page;mso-position-vertical-relative:paragraph;z-index:2824;mso-wrap-distance-left:0;mso-wrap-distance-right:0" coordorigin="2881,257" coordsize="7901,4261">
            <v:rect style="position:absolute;left:2891;top:257;width:7880;height:653" filled="true" fillcolor="#f99d25" stroked="false">
              <v:fill type="solid"/>
            </v:rect>
            <v:rect style="position:absolute;left:2891;top:910;width:7880;height:3597" filled="true" fillcolor="#fff2e3" stroked="false">
              <v:fill type="solid"/>
            </v:rect>
            <v:line style="position:absolute" from="2891,4507" to="10772,4507" stroked="true" strokeweight="1pt" strokecolor="#f99d25"/>
            <v:shape style="position:absolute;left:2881;top:257;width:7901;height:4261" type="#_x0000_t202" filled="false" stroked="false">
              <v:textbox inset="0,0,0,0">
                <w:txbxContent>
                  <w:p>
                    <w:pPr>
                      <w:spacing w:line="254" w:lineRule="auto" w:before="32"/>
                      <w:ind w:left="2176" w:right="-6" w:hanging="1463"/>
                      <w:jc w:val="left"/>
                      <w:rPr>
                        <w:rFonts w:ascii="Myriad Pro" w:hAnsi="Myriad Pro"/>
                        <w:b/>
                        <w:sz w:val="22"/>
                      </w:rPr>
                    </w:pPr>
                    <w:r>
                      <w:rPr>
                        <w:rFonts w:ascii="Myriad Pro" w:hAnsi="Myriad Pro"/>
                        <w:b/>
                        <w:color w:val="FFFFFF"/>
                        <w:sz w:val="22"/>
                      </w:rPr>
                      <w:t>Questions clés à prendre en compte pour assurer l'accessibilité des mécanismes de plaintes électorales :</w:t>
                    </w:r>
                  </w:p>
                  <w:p>
                    <w:pPr>
                      <w:spacing w:before="171"/>
                      <w:ind w:left="803" w:right="324" w:hanging="284"/>
                      <w:jc w:val="left"/>
                      <w:rPr>
                        <w:rFonts w:ascii="Myriad Pro" w:hAnsi="Myriad Pro"/>
                        <w:sz w:val="20"/>
                      </w:rPr>
                    </w:pPr>
                    <w:r>
                      <w:rPr>
                        <w:rFonts w:ascii="Arial" w:hAnsi="Arial"/>
                        <w:color w:val="231F20"/>
                        <w:w w:val="120"/>
                        <w:sz w:val="20"/>
                      </w:rPr>
                      <w:t>z </w:t>
                    </w:r>
                    <w:r>
                      <w:rPr>
                        <w:rFonts w:ascii="Myriad Pro" w:hAnsi="Myriad Pro"/>
                        <w:color w:val="231F20"/>
                        <w:sz w:val="20"/>
                      </w:rPr>
                      <w:t>La clarté et la disponibilité des informations accessibles concernant le format et les conditions formelles de dépôt d’une plainte, visant notamment à savoir qui peut déposer une plainte et pour quels motifs.</w:t>
                    </w:r>
                  </w:p>
                  <w:p>
                    <w:pPr>
                      <w:spacing w:before="56"/>
                      <w:ind w:left="803" w:right="323" w:hanging="284"/>
                      <w:jc w:val="left"/>
                      <w:rPr>
                        <w:rFonts w:ascii="Myriad Pro" w:hAnsi="Myriad Pro"/>
                        <w:sz w:val="20"/>
                      </w:rPr>
                    </w:pPr>
                    <w:r>
                      <w:rPr>
                        <w:rFonts w:ascii="Arial" w:hAnsi="Arial"/>
                        <w:color w:val="231F20"/>
                        <w:w w:val="120"/>
                        <w:sz w:val="20"/>
                      </w:rPr>
                      <w:t>z </w:t>
                    </w:r>
                    <w:r>
                      <w:rPr>
                        <w:rFonts w:ascii="Myriad Pro" w:hAnsi="Myriad Pro"/>
                        <w:color w:val="231F20"/>
                        <w:spacing w:val="-3"/>
                        <w:sz w:val="20"/>
                      </w:rPr>
                      <w:t>Les formulaires </w:t>
                    </w:r>
                    <w:r>
                      <w:rPr>
                        <w:rFonts w:ascii="Myriad Pro" w:hAnsi="Myriad Pro"/>
                        <w:color w:val="231F20"/>
                        <w:sz w:val="20"/>
                      </w:rPr>
                      <w:t>officiels </w:t>
                    </w:r>
                    <w:r>
                      <w:rPr>
                        <w:rFonts w:ascii="Myriad Pro" w:hAnsi="Myriad Pro"/>
                        <w:color w:val="231F20"/>
                        <w:spacing w:val="-3"/>
                        <w:sz w:val="20"/>
                      </w:rPr>
                      <w:t>fournis </w:t>
                    </w:r>
                    <w:r>
                      <w:rPr>
                        <w:rFonts w:ascii="Myriad Pro" w:hAnsi="Myriad Pro"/>
                        <w:color w:val="231F20"/>
                        <w:sz w:val="20"/>
                      </w:rPr>
                      <w:t>pour déposer une </w:t>
                    </w:r>
                    <w:r>
                      <w:rPr>
                        <w:rFonts w:ascii="Myriad Pro" w:hAnsi="Myriad Pro"/>
                        <w:color w:val="231F20"/>
                        <w:spacing w:val="-3"/>
                        <w:sz w:val="20"/>
                      </w:rPr>
                      <w:t>plainte </w:t>
                    </w:r>
                    <w:r>
                      <w:rPr>
                        <w:rFonts w:ascii="Myriad Pro" w:hAnsi="Myriad Pro"/>
                        <w:color w:val="231F20"/>
                        <w:sz w:val="20"/>
                      </w:rPr>
                      <w:t>électorale </w:t>
                    </w:r>
                    <w:r>
                      <w:rPr>
                        <w:rFonts w:ascii="Myriad Pro" w:hAnsi="Myriad Pro"/>
                        <w:color w:val="231F20"/>
                        <w:spacing w:val="-3"/>
                        <w:sz w:val="20"/>
                      </w:rPr>
                      <w:t>doivent </w:t>
                    </w:r>
                    <w:r>
                      <w:rPr>
                        <w:rFonts w:ascii="Myriad Pro" w:hAnsi="Myriad Pro"/>
                        <w:color w:val="231F20"/>
                        <w:sz w:val="20"/>
                      </w:rPr>
                      <w:t>être faciles à </w:t>
                    </w:r>
                    <w:r>
                      <w:rPr>
                        <w:rFonts w:ascii="Myriad Pro" w:hAnsi="Myriad Pro"/>
                        <w:color w:val="231F20"/>
                        <w:spacing w:val="-3"/>
                        <w:sz w:val="20"/>
                      </w:rPr>
                      <w:t>trouver </w:t>
                    </w:r>
                    <w:r>
                      <w:rPr>
                        <w:rFonts w:ascii="Myriad Pro" w:hAnsi="Myriad Pro"/>
                        <w:color w:val="231F20"/>
                        <w:sz w:val="20"/>
                      </w:rPr>
                      <w:t>sur un site </w:t>
                    </w:r>
                    <w:r>
                      <w:rPr>
                        <w:rFonts w:ascii="Myriad Pro" w:hAnsi="Myriad Pro"/>
                        <w:color w:val="231F20"/>
                        <w:spacing w:val="-3"/>
                        <w:sz w:val="20"/>
                      </w:rPr>
                      <w:t>Internet, </w:t>
                    </w:r>
                    <w:r>
                      <w:rPr>
                        <w:rFonts w:ascii="Myriad Pro" w:hAnsi="Myriad Pro"/>
                        <w:color w:val="231F20"/>
                        <w:sz w:val="20"/>
                      </w:rPr>
                      <w:t>disponibles en </w:t>
                    </w:r>
                    <w:r>
                      <w:rPr>
                        <w:rFonts w:ascii="Myriad Pro" w:hAnsi="Myriad Pro"/>
                        <w:color w:val="231F20"/>
                        <w:spacing w:val="-3"/>
                        <w:sz w:val="20"/>
                      </w:rPr>
                      <w:t>format accessible </w:t>
                    </w:r>
                    <w:r>
                      <w:rPr>
                        <w:rFonts w:ascii="Myriad Pro" w:hAnsi="Myriad Pro"/>
                        <w:color w:val="231F20"/>
                        <w:sz w:val="20"/>
                      </w:rPr>
                      <w:t>(par </w:t>
                    </w:r>
                    <w:r>
                      <w:rPr>
                        <w:rFonts w:ascii="Myriad Pro" w:hAnsi="Myriad Pro"/>
                        <w:color w:val="231F20"/>
                        <w:spacing w:val="-3"/>
                        <w:sz w:val="20"/>
                      </w:rPr>
                      <w:t>exemple, </w:t>
                    </w:r>
                    <w:r>
                      <w:rPr>
                        <w:rFonts w:ascii="Myriad Pro" w:hAnsi="Myriad Pro"/>
                        <w:color w:val="231F20"/>
                        <w:sz w:val="20"/>
                      </w:rPr>
                      <w:t>utilisables </w:t>
                    </w:r>
                    <w:r>
                      <w:rPr>
                        <w:rFonts w:ascii="Myriad Pro" w:hAnsi="Myriad Pro"/>
                        <w:color w:val="231F20"/>
                        <w:spacing w:val="-3"/>
                        <w:sz w:val="20"/>
                      </w:rPr>
                      <w:t>avec </w:t>
                    </w:r>
                    <w:r>
                      <w:rPr>
                        <w:rFonts w:ascii="Myriad Pro" w:hAnsi="Myriad Pro"/>
                        <w:color w:val="231F20"/>
                        <w:sz w:val="20"/>
                      </w:rPr>
                      <w:t>les </w:t>
                    </w:r>
                    <w:r>
                      <w:rPr>
                        <w:rFonts w:ascii="Myriad Pro" w:hAnsi="Myriad Pro"/>
                        <w:color w:val="231F20"/>
                        <w:spacing w:val="-3"/>
                        <w:sz w:val="20"/>
                      </w:rPr>
                      <w:t>technologies </w:t>
                    </w:r>
                    <w:r>
                      <w:rPr>
                        <w:rFonts w:ascii="Myriad Pro" w:hAnsi="Myriad Pro"/>
                        <w:color w:val="231F20"/>
                        <w:sz w:val="20"/>
                      </w:rPr>
                      <w:t>de lecture </w:t>
                    </w:r>
                    <w:r>
                      <w:rPr>
                        <w:rFonts w:ascii="Myriad Pro" w:hAnsi="Myriad Pro"/>
                        <w:color w:val="231F20"/>
                        <w:spacing w:val="-3"/>
                        <w:sz w:val="20"/>
                      </w:rPr>
                      <w:t>d'écran) </w:t>
                    </w:r>
                    <w:r>
                      <w:rPr>
                        <w:rFonts w:ascii="Myriad Pro" w:hAnsi="Myriad Pro"/>
                        <w:color w:val="231F20"/>
                        <w:sz w:val="20"/>
                      </w:rPr>
                      <w:t>et rédigés dans un langage </w:t>
                    </w:r>
                    <w:r>
                      <w:rPr>
                        <w:rFonts w:ascii="Myriad Pro" w:hAnsi="Myriad Pro"/>
                        <w:color w:val="231F20"/>
                        <w:spacing w:val="-3"/>
                        <w:sz w:val="20"/>
                      </w:rPr>
                      <w:t>simple.</w:t>
                    </w:r>
                  </w:p>
                  <w:p>
                    <w:pPr>
                      <w:spacing w:before="56"/>
                      <w:ind w:left="803" w:right="465" w:hanging="284"/>
                      <w:jc w:val="left"/>
                      <w:rPr>
                        <w:rFonts w:ascii="Myriad Pro" w:hAnsi="Myriad Pro"/>
                        <w:sz w:val="20"/>
                      </w:rPr>
                    </w:pPr>
                    <w:r>
                      <w:rPr>
                        <w:rFonts w:ascii="Arial" w:hAnsi="Arial"/>
                        <w:color w:val="231F20"/>
                        <w:w w:val="120"/>
                        <w:sz w:val="20"/>
                      </w:rPr>
                      <w:t>z </w:t>
                    </w:r>
                    <w:r>
                      <w:rPr>
                        <w:rFonts w:ascii="Myriad Pro" w:hAnsi="Myriad Pro"/>
                        <w:color w:val="231F20"/>
                        <w:spacing w:val="-3"/>
                        <w:sz w:val="20"/>
                      </w:rPr>
                      <w:t>Les </w:t>
                    </w:r>
                    <w:r>
                      <w:rPr>
                        <w:rFonts w:ascii="Myriad Pro" w:hAnsi="Myriad Pro"/>
                        <w:color w:val="231F20"/>
                        <w:sz w:val="20"/>
                      </w:rPr>
                      <w:t>supports </w:t>
                    </w:r>
                    <w:r>
                      <w:rPr>
                        <w:rFonts w:ascii="Myriad Pro" w:hAnsi="Myriad Pro"/>
                        <w:color w:val="231F20"/>
                        <w:spacing w:val="-3"/>
                        <w:sz w:val="20"/>
                      </w:rPr>
                      <w:t>d’information </w:t>
                    </w:r>
                    <w:r>
                      <w:rPr>
                        <w:rFonts w:ascii="Myriad Pro" w:hAnsi="Myriad Pro"/>
                        <w:color w:val="231F20"/>
                        <w:sz w:val="20"/>
                      </w:rPr>
                      <w:t>sur les </w:t>
                    </w:r>
                    <w:r>
                      <w:rPr>
                        <w:rFonts w:ascii="Myriad Pro" w:hAnsi="Myriad Pro"/>
                        <w:color w:val="231F20"/>
                        <w:spacing w:val="-3"/>
                        <w:sz w:val="20"/>
                      </w:rPr>
                      <w:t>fondements </w:t>
                    </w:r>
                    <w:r>
                      <w:rPr>
                        <w:rFonts w:ascii="Myriad Pro" w:hAnsi="Myriad Pro"/>
                        <w:color w:val="231F20"/>
                        <w:sz w:val="20"/>
                      </w:rPr>
                      <w:t>juridiques du dépôt de </w:t>
                    </w:r>
                    <w:r>
                      <w:rPr>
                        <w:rFonts w:ascii="Myriad Pro" w:hAnsi="Myriad Pro"/>
                        <w:color w:val="231F20"/>
                        <w:spacing w:val="-3"/>
                        <w:sz w:val="20"/>
                      </w:rPr>
                      <w:t>plainte doivent </w:t>
                    </w:r>
                    <w:r>
                      <w:rPr>
                        <w:rFonts w:ascii="Myriad Pro" w:hAnsi="Myriad Pro"/>
                        <w:color w:val="231F20"/>
                        <w:sz w:val="20"/>
                      </w:rPr>
                      <w:t>inclure des </w:t>
                    </w:r>
                    <w:r>
                      <w:rPr>
                        <w:rFonts w:ascii="Myriad Pro" w:hAnsi="Myriad Pro"/>
                        <w:color w:val="231F20"/>
                        <w:spacing w:val="-3"/>
                        <w:sz w:val="20"/>
                      </w:rPr>
                      <w:t>exemples </w:t>
                    </w:r>
                    <w:r>
                      <w:rPr>
                        <w:rFonts w:ascii="Myriad Pro" w:hAnsi="Myriad Pro"/>
                        <w:color w:val="231F20"/>
                        <w:sz w:val="20"/>
                      </w:rPr>
                      <w:t>de </w:t>
                    </w:r>
                    <w:r>
                      <w:rPr>
                        <w:rFonts w:ascii="Myriad Pro" w:hAnsi="Myriad Pro"/>
                        <w:color w:val="231F20"/>
                        <w:spacing w:val="-2"/>
                        <w:sz w:val="20"/>
                      </w:rPr>
                      <w:t>problèmes </w:t>
                    </w:r>
                    <w:r>
                      <w:rPr>
                        <w:rFonts w:ascii="Myriad Pro" w:hAnsi="Myriad Pro"/>
                        <w:color w:val="231F20"/>
                        <w:spacing w:val="-3"/>
                        <w:sz w:val="20"/>
                      </w:rPr>
                      <w:t>d’accès, </w:t>
                    </w:r>
                    <w:r>
                      <w:rPr>
                        <w:rFonts w:ascii="Myriad Pro" w:hAnsi="Myriad Pro"/>
                        <w:color w:val="231F20"/>
                        <w:sz w:val="20"/>
                      </w:rPr>
                      <w:t>tels que le refus </w:t>
                    </w:r>
                    <w:r>
                      <w:rPr>
                        <w:rFonts w:ascii="Myriad Pro" w:hAnsi="Myriad Pro"/>
                        <w:color w:val="231F20"/>
                        <w:spacing w:val="-3"/>
                        <w:sz w:val="20"/>
                      </w:rPr>
                      <w:t>d’inscription </w:t>
                    </w:r>
                    <w:r>
                      <w:rPr>
                        <w:rFonts w:ascii="Myriad Pro" w:hAnsi="Myriad Pro"/>
                        <w:color w:val="231F20"/>
                        <w:sz w:val="20"/>
                      </w:rPr>
                      <w:t>d’un</w:t>
                    </w:r>
                    <w:r>
                      <w:rPr>
                        <w:rFonts w:ascii="Myriad Pro" w:hAnsi="Myriad Pro"/>
                        <w:color w:val="231F20"/>
                        <w:spacing w:val="-11"/>
                        <w:sz w:val="20"/>
                      </w:rPr>
                      <w:t> </w:t>
                    </w:r>
                    <w:r>
                      <w:rPr>
                        <w:rFonts w:ascii="Myriad Pro" w:hAnsi="Myriad Pro"/>
                        <w:color w:val="231F20"/>
                        <w:sz w:val="20"/>
                      </w:rPr>
                      <w:t>électeur</w:t>
                    </w:r>
                    <w:r>
                      <w:rPr>
                        <w:rFonts w:ascii="Myriad Pro" w:hAnsi="Myriad Pro"/>
                        <w:color w:val="231F20"/>
                        <w:spacing w:val="-11"/>
                        <w:sz w:val="20"/>
                      </w:rPr>
                      <w:t> </w:t>
                    </w:r>
                    <w:r>
                      <w:rPr>
                        <w:rFonts w:ascii="Myriad Pro" w:hAnsi="Myriad Pro"/>
                        <w:color w:val="231F20"/>
                        <w:sz w:val="20"/>
                      </w:rPr>
                      <w:t>en</w:t>
                    </w:r>
                    <w:r>
                      <w:rPr>
                        <w:rFonts w:ascii="Myriad Pro" w:hAnsi="Myriad Pro"/>
                        <w:color w:val="231F20"/>
                        <w:spacing w:val="-11"/>
                        <w:sz w:val="20"/>
                      </w:rPr>
                      <w:t> </w:t>
                    </w:r>
                    <w:r>
                      <w:rPr>
                        <w:rFonts w:ascii="Myriad Pro" w:hAnsi="Myriad Pro"/>
                        <w:color w:val="231F20"/>
                        <w:sz w:val="20"/>
                      </w:rPr>
                      <w:t>raison</w:t>
                    </w:r>
                    <w:r>
                      <w:rPr>
                        <w:rFonts w:ascii="Myriad Pro" w:hAnsi="Myriad Pro"/>
                        <w:color w:val="231F20"/>
                        <w:spacing w:val="-11"/>
                        <w:sz w:val="20"/>
                      </w:rPr>
                      <w:t> </w:t>
                    </w:r>
                    <w:r>
                      <w:rPr>
                        <w:rFonts w:ascii="Myriad Pro" w:hAnsi="Myriad Pro"/>
                        <w:color w:val="231F20"/>
                        <w:sz w:val="20"/>
                      </w:rPr>
                      <w:t>de</w:t>
                    </w:r>
                    <w:r>
                      <w:rPr>
                        <w:rFonts w:ascii="Myriad Pro" w:hAnsi="Myriad Pro"/>
                        <w:color w:val="231F20"/>
                        <w:spacing w:val="-11"/>
                        <w:sz w:val="20"/>
                      </w:rPr>
                      <w:t> </w:t>
                    </w:r>
                    <w:r>
                      <w:rPr>
                        <w:rFonts w:ascii="Myriad Pro" w:hAnsi="Myriad Pro"/>
                        <w:color w:val="231F20"/>
                        <w:sz w:val="20"/>
                      </w:rPr>
                      <w:t>son</w:t>
                    </w:r>
                    <w:r>
                      <w:rPr>
                        <w:rFonts w:ascii="Myriad Pro" w:hAnsi="Myriad Pro"/>
                        <w:color w:val="231F20"/>
                        <w:spacing w:val="-11"/>
                        <w:sz w:val="20"/>
                      </w:rPr>
                      <w:t> </w:t>
                    </w:r>
                    <w:r>
                      <w:rPr>
                        <w:rFonts w:ascii="Myriad Pro" w:hAnsi="Myriad Pro"/>
                        <w:color w:val="231F20"/>
                        <w:sz w:val="20"/>
                      </w:rPr>
                      <w:t>handicap</w:t>
                    </w:r>
                    <w:r>
                      <w:rPr>
                        <w:rFonts w:ascii="Myriad Pro" w:hAnsi="Myriad Pro"/>
                        <w:color w:val="231F20"/>
                        <w:spacing w:val="-11"/>
                        <w:sz w:val="20"/>
                      </w:rPr>
                      <w:t> </w:t>
                    </w:r>
                    <w:r>
                      <w:rPr>
                        <w:rFonts w:ascii="Myriad Pro" w:hAnsi="Myriad Pro"/>
                        <w:color w:val="231F20"/>
                        <w:sz w:val="20"/>
                      </w:rPr>
                      <w:t>ou</w:t>
                    </w:r>
                    <w:r>
                      <w:rPr>
                        <w:rFonts w:ascii="Myriad Pro" w:hAnsi="Myriad Pro"/>
                        <w:color w:val="231F20"/>
                        <w:spacing w:val="-11"/>
                        <w:sz w:val="20"/>
                      </w:rPr>
                      <w:t> </w:t>
                    </w:r>
                    <w:r>
                      <w:rPr>
                        <w:rFonts w:ascii="Myriad Pro" w:hAnsi="Myriad Pro"/>
                        <w:color w:val="231F20"/>
                        <w:sz w:val="20"/>
                      </w:rPr>
                      <w:t>de</w:t>
                    </w:r>
                    <w:r>
                      <w:rPr>
                        <w:rFonts w:ascii="Myriad Pro" w:hAnsi="Myriad Pro"/>
                        <w:color w:val="231F20"/>
                        <w:spacing w:val="-11"/>
                        <w:sz w:val="20"/>
                      </w:rPr>
                      <w:t> </w:t>
                    </w:r>
                    <w:r>
                      <w:rPr>
                        <w:rFonts w:ascii="Myriad Pro" w:hAnsi="Myriad Pro"/>
                        <w:color w:val="231F20"/>
                        <w:sz w:val="20"/>
                      </w:rPr>
                      <w:t>son</w:t>
                    </w:r>
                    <w:r>
                      <w:rPr>
                        <w:rFonts w:ascii="Myriad Pro" w:hAnsi="Myriad Pro"/>
                        <w:color w:val="231F20"/>
                        <w:spacing w:val="-11"/>
                        <w:sz w:val="20"/>
                      </w:rPr>
                      <w:t> </w:t>
                    </w:r>
                    <w:r>
                      <w:rPr>
                        <w:rFonts w:ascii="Myriad Pro" w:hAnsi="Myriad Pro"/>
                        <w:color w:val="231F20"/>
                        <w:sz w:val="20"/>
                      </w:rPr>
                      <w:t>incapacité</w:t>
                    </w:r>
                    <w:r>
                      <w:rPr>
                        <w:rFonts w:ascii="Myriad Pro" w:hAnsi="Myriad Pro"/>
                        <w:color w:val="231F20"/>
                        <w:spacing w:val="-11"/>
                        <w:sz w:val="20"/>
                      </w:rPr>
                      <w:t> </w:t>
                    </w:r>
                    <w:r>
                      <w:rPr>
                        <w:rFonts w:ascii="Myriad Pro" w:hAnsi="Myriad Pro"/>
                        <w:color w:val="231F20"/>
                        <w:sz w:val="20"/>
                      </w:rPr>
                      <w:t>à</w:t>
                    </w:r>
                    <w:r>
                      <w:rPr>
                        <w:rFonts w:ascii="Myriad Pro" w:hAnsi="Myriad Pro"/>
                        <w:color w:val="231F20"/>
                        <w:spacing w:val="-11"/>
                        <w:sz w:val="20"/>
                      </w:rPr>
                      <w:t> </w:t>
                    </w:r>
                    <w:r>
                      <w:rPr>
                        <w:rFonts w:ascii="Myriad Pro" w:hAnsi="Myriad Pro"/>
                        <w:color w:val="231F20"/>
                        <w:spacing w:val="-3"/>
                        <w:sz w:val="20"/>
                      </w:rPr>
                      <w:t>voter</w:t>
                    </w:r>
                    <w:r>
                      <w:rPr>
                        <w:rFonts w:ascii="Myriad Pro" w:hAnsi="Myriad Pro"/>
                        <w:color w:val="231F20"/>
                        <w:spacing w:val="-11"/>
                        <w:sz w:val="20"/>
                      </w:rPr>
                      <w:t> </w:t>
                    </w:r>
                    <w:r>
                      <w:rPr>
                        <w:rFonts w:ascii="Myriad Pro" w:hAnsi="Myriad Pro"/>
                        <w:color w:val="231F20"/>
                        <w:sz w:val="20"/>
                      </w:rPr>
                      <w:t>du</w:t>
                    </w:r>
                    <w:r>
                      <w:rPr>
                        <w:rFonts w:ascii="Myriad Pro" w:hAnsi="Myriad Pro"/>
                        <w:color w:val="231F20"/>
                        <w:spacing w:val="-11"/>
                        <w:sz w:val="20"/>
                      </w:rPr>
                      <w:t> </w:t>
                    </w:r>
                    <w:r>
                      <w:rPr>
                        <w:rFonts w:ascii="Myriad Pro" w:hAnsi="Myriad Pro"/>
                        <w:color w:val="231F20"/>
                        <w:sz w:val="20"/>
                      </w:rPr>
                      <w:t>fait</w:t>
                    </w:r>
                    <w:r>
                      <w:rPr>
                        <w:rFonts w:ascii="Myriad Pro" w:hAnsi="Myriad Pro"/>
                        <w:color w:val="231F20"/>
                        <w:spacing w:val="-11"/>
                        <w:sz w:val="20"/>
                      </w:rPr>
                      <w:t> </w:t>
                    </w:r>
                    <w:r>
                      <w:rPr>
                        <w:rFonts w:ascii="Myriad Pro" w:hAnsi="Myriad Pro"/>
                        <w:color w:val="231F20"/>
                        <w:sz w:val="20"/>
                      </w:rPr>
                      <w:t>d’une </w:t>
                    </w:r>
                    <w:r>
                      <w:rPr>
                        <w:rFonts w:ascii="Myriad Pro" w:hAnsi="Myriad Pro"/>
                        <w:color w:val="231F20"/>
                        <w:spacing w:val="-3"/>
                        <w:sz w:val="20"/>
                      </w:rPr>
                      <w:t>procédure </w:t>
                    </w:r>
                    <w:r>
                      <w:rPr>
                        <w:rFonts w:ascii="Myriad Pro" w:hAnsi="Myriad Pro"/>
                        <w:color w:val="231F20"/>
                        <w:sz w:val="20"/>
                      </w:rPr>
                      <w:t>de </w:t>
                    </w:r>
                    <w:r>
                      <w:rPr>
                        <w:rFonts w:ascii="Myriad Pro" w:hAnsi="Myriad Pro"/>
                        <w:color w:val="231F20"/>
                        <w:spacing w:val="-3"/>
                        <w:sz w:val="20"/>
                      </w:rPr>
                      <w:t>vote</w:t>
                    </w:r>
                    <w:r>
                      <w:rPr>
                        <w:rFonts w:ascii="Myriad Pro" w:hAnsi="Myriad Pro"/>
                        <w:color w:val="231F20"/>
                        <w:spacing w:val="4"/>
                        <w:sz w:val="20"/>
                      </w:rPr>
                      <w:t> </w:t>
                    </w:r>
                    <w:r>
                      <w:rPr>
                        <w:rFonts w:ascii="Myriad Pro" w:hAnsi="Myriad Pro"/>
                        <w:color w:val="231F20"/>
                        <w:spacing w:val="-3"/>
                        <w:sz w:val="20"/>
                      </w:rPr>
                      <w:t>inaccessible.</w:t>
                    </w:r>
                  </w:p>
                  <w:p>
                    <w:pPr>
                      <w:spacing w:before="56"/>
                      <w:ind w:left="802" w:right="269" w:hanging="284"/>
                      <w:jc w:val="left"/>
                      <w:rPr>
                        <w:rFonts w:ascii="Myriad Pro" w:hAnsi="Myriad Pro"/>
                        <w:sz w:val="20"/>
                      </w:rPr>
                    </w:pPr>
                    <w:r>
                      <w:rPr>
                        <w:rFonts w:ascii="Arial" w:hAnsi="Arial"/>
                        <w:color w:val="231F20"/>
                        <w:w w:val="120"/>
                        <w:sz w:val="20"/>
                      </w:rPr>
                      <w:t>z </w:t>
                    </w:r>
                    <w:r>
                      <w:rPr>
                        <w:rFonts w:ascii="Myriad Pro" w:hAnsi="Myriad Pro"/>
                        <w:color w:val="231F20"/>
                        <w:sz w:val="20"/>
                      </w:rPr>
                      <w:t>Les décisions des mécanismes de plaintes doivent être disponibles, tout comme les raisons qui les ont motivées.</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25"/>
        </w:rPr>
      </w:pPr>
    </w:p>
    <w:p>
      <w:pPr>
        <w:spacing w:before="117"/>
        <w:ind w:left="2891" w:right="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016" coordorigin="9241,0" coordsize="2665,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830;top:1244;width:1107;height:1310" coordorigin="9830,1244" coordsize="1107,1310" path="m10212,2553l10212,2361,10158,2361,10110,2358,10018,2320,9964,2262,9940,2200,9937,2169,9937,2051,9874,2051,9860,2051,9851,2047,9843,2040,9830,2028,9830,2021,9830,2005,9844,1962,9876,1880,9909,1798,9926,1757,9933,1737,9937,1722,9939,1707,9942,1685,9946,1645,9965,1568,9995,1503,10029,1451,10070,1405,10130,1351,10196,1308,10265,1275,10339,1253,10415,1244,10460,1244,10533,1252,10601,1271,10687,1309,10748,1352,10805,1405,10809,1409,10812,1413,10815,1416,10816,1417,10819,1420,10858,1473,10890,1531,10916,1597,10930,1658,10936,1726,10937,1766,10934,1801,10918,1881,10882,1972,10823,2062,10781,2106,10772,2116,10760,2128,10750,2138,10745,2145,10745,2544e" filled="false" stroked="true" strokeweight="3.457pt" strokecolor="#f99d25">
              <v:path arrowok="t"/>
            </v:shape>
            <v:shape style="position:absolute;left:10050;top:1345;width:722;height:526" coordorigin="10050,1345" coordsize="722,526" path="m10210,1829l10150,1829,10153,1833,10155,1839,10157,1851,10159,1863,10162,1871,10199,1871,10200,1861,10202,1851,10203,1841,10206,1833,10210,1829xm10101,1637l10083,1655,10076,1665,10077,1669,10085,1679,10089,1685,10093,1691,10098,1697,10094,1703,10093,1707,10089,1717,10084,1717,10081,1719,10069,1721,10050,1725,10051,1763,10061,1763,10071,1765,10084,1767,10085,1767,10091,1769,10091,1773,10096,1785,10095,1791,10091,1799,10076,1819,10077,1825,10086,1833,10102,1847,10109,1841,10120,1833,10134,1823,10134,1823,10280,1823,10284,1819,10278,1813,10272,1803,10261,1789,10261,1787,10263,1783,10170,1783,10145,1771,10133,1745,10140,1719,10161,1701,10263,1701,10261,1697,10265,1691,10274,1677,10278,1671,10496,1671,10501,1669,10585,1669,10587,1667,10747,1667,10748,1665,10747,1663,10136,1663,10126,1655,10118,1649,10109,1645,10101,1637xm10280,1823l10224,1823,10232,1829,10241,1835,10250,1841,10258,1847,10280,1823xm10687,1799l10649,1799,10651,1805,10655,1831,10682,1829,10684,1821,10683,1813,10687,1799xm10224,1823l10135,1823,10134,1823,10146,1829,10215,1829,10224,1823xm10747,1667l10587,1667,10600,1683,10601,1691,10598,1697,10595,1709,10585,1711,10574,1711,10565,1715,10566,1741,10593,1745,10598,1751,10596,1759,10604,1765,10600,1769,10596,1775,10594,1779,10588,1789,10589,1793,10594,1799,10606,1809,10613,1801,10621,1799,10628,1791,10749,1791,10750,1789,10748,1787,10734,1769,10662,1769,10639,1757,10630,1745,10627,1729,10630,1713,10638,1699,10663,1685,10735,1685,10744,1671,10747,1667xm10749,1791l10707,1791,10711,1795,10717,1799,10721,1801,10729,1807,10734,1807,10740,1801,10749,1791xm10707,1791l10628,1791,10633,1795,10637,1797,10642,1799,10647,1801,10649,1799,10687,1799,10687,1797,10700,1797,10707,1791xm10700,1797l10687,1797,10698,1799,10700,1797xm10263,1701l10191,1701,10202,1707,10211,1717,10216,1729,10218,1739,10211,1763,10194,1779,10170,1783,10263,1783,10267,1773,10267,1769,10286,1765,10308,1761,10307,1723,10303,1721,10303,1721,10277,1719,10269,1715,10267,1709,10263,1701xm10735,1685l10663,1685,10688,1691,10706,1707,10712,1729,10703,1755,10684,1769,10734,1769,10734,1767,10733,1765,10740,1749,10742,1745,10746,1745,10752,1743,10754,1743,10762,1741,10766,1741,10771,1739,10770,1713,10761,1711,10751,1711,10742,1709,10740,1705,10740,1701,10735,1691,10732,1691,10735,1685xm10496,1671l10363,1671,10377,1677,10383,1681,10389,1681,10400,1727,10401,1733,10401,1739,10404,1743,10461,1743,10463,1733,10467,1703,10469,1693,10470,1683,10485,1677,10491,1673,10496,1671xm10358,1671l10278,1671,10313,1705,10327,1695,10333,1689,10358,1671xm10585,1669l10501,1669,10527,1687,10541,1695,10552,1703,10585,1669xm10734,1689l10732,1691,10735,1691,10734,1689xm10154,1651l10137,1659,10136,1663,10228,1663,10219,1657,10209,1653,10154,1653,10154,1651xm10255,1637l10252,1641,10247,1645,10232,1655,10228,1663,10632,1663,10625,1659,10591,1659,10589,1657,10275,1657,10255,1637xm10695,1655l10642,1655,10632,1659,10632,1663,10747,1663,10746,1661,10704,1661,10700,1659,10695,1655xm10730,1645l10710,1661,10746,1661,10744,1657,10730,1645xm10604,1645l10591,1659,10625,1659,10607,1647,10604,1645xm10310,1383l10270,1427,10277,1435,10283,1443,10290,1453,10296,1461,10301,1467,10307,1471,10303,1479,10298,1491,10295,1499,10291,1503,10283,1507,10244,1513,10231,1517,10232,1573,10243,1575,10252,1577,10262,1579,10288,1581,10292,1585,10295,1593,10302,1609,10304,1615,10300,1623,10288,1639,10284,1645,10281,1651,10275,1657,10589,1657,10585,1653,10579,1643,10568,1629,10562,1621,10557,1615,10569,1585,10428,1585,10412,1583,10399,1575,10396,1571,10390,1563,10389,1559,10385,1547,10386,1535,10391,1523,10399,1511,10428,1499,10568,1499,10568,1497,10562,1479,10556,1473,10564,1463,10575,1449,10585,1433,10591,1421,10589,1419,10361,1419,10353,1411,10343,1407,10328,1395,10318,1389,10315,1387,10310,1383xm10680,1623l10654,1625,10652,1635,10652,1643,10649,1653,10645,1655,10691,1655,10686,1653,10684,1643,10682,1635,10680,1623xm10205,1651l10155,1651,10154,1653,10209,1653,10205,1651xm10197,1613l10160,1613,10158,1617,10158,1621,10154,1651,10155,1651,10205,1651,10203,1645,10201,1633,10199,1619,10197,1613xm10568,1499l10428,1499,10457,1513,10470,1539,10457,1573,10443,1581,10428,1585,10569,1585,10570,1583,10609,1575,10622,1575,10630,1571,10628,1513,10569,1505,10568,1499xm10458,1345l10401,1345,10394,1391,10393,1395,10392,1405,10388,1407,10387,1407,10380,1409,10380,1409,10370,1413,10366,1415,10361,1419,10504,1419,10497,1415,10483,1409,10475,1407,10471,1403,10469,1397,10458,1345xm10550,1381l10541,1389,10532,1395,10515,1409,10508,1413,10504,1419,10589,1419,10550,1381xe" filled="true" fillcolor="#f99d25"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99D25" w:color="auto" w:val="clear"/>
                      </w:rPr>
                      <w:t> </w:t>
                    </w:r>
                    <w:r>
                      <w:rPr>
                        <w:rFonts w:ascii="Myriad Pro"/>
                        <w:color w:val="FFFFFF"/>
                        <w:sz w:val="26"/>
                        <w:shd w:fill="F99D25" w:color="auto" w:val="clear"/>
                      </w:rPr>
                      <w:t>13</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9"/>
        <w:rPr>
          <w:rFonts w:ascii="Myriad Pro"/>
          <w:sz w:val="26"/>
        </w:rPr>
      </w:pPr>
      <w:r>
        <w:rPr/>
        <w:pict>
          <v:line style="position:absolute;mso-position-horizontal-relative:page;mso-position-vertical-relative:paragraph;z-index:2896;mso-wrap-distance-left:0;mso-wrap-distance-right:0" from="56.692902pt,19.046606pt" to="450.708902pt,19.046606pt" stroked="true" strokeweight="2pt" strokecolor="#f99d25">
            <w10:wrap type="topAndBottom"/>
          </v:line>
        </w:pict>
      </w:r>
    </w:p>
    <w:p>
      <w:pPr>
        <w:spacing w:line="271" w:lineRule="exact" w:before="0"/>
        <w:ind w:left="571" w:right="3335" w:firstLine="0"/>
        <w:jc w:val="center"/>
        <w:rPr>
          <w:rFonts w:ascii="Myriad Pro" w:hAnsi="Myriad Pro"/>
          <w:b/>
          <w:i/>
          <w:sz w:val="24"/>
        </w:rPr>
      </w:pPr>
      <w:r>
        <w:rPr>
          <w:rFonts w:ascii="Myriad Pro" w:hAnsi="Myriad Pro"/>
          <w:b/>
          <w:color w:val="F99D25"/>
          <w:sz w:val="24"/>
        </w:rPr>
        <w:t>Voir l’activité d’apprentissage 2.C. </w:t>
      </w:r>
      <w:r>
        <w:rPr>
          <w:rFonts w:ascii="Myriad Pro" w:hAnsi="Myriad Pro"/>
          <w:b/>
          <w:i/>
          <w:color w:val="F99D25"/>
          <w:sz w:val="24"/>
        </w:rPr>
        <w:t>Intitulée Garantir des processus</w:t>
      </w:r>
    </w:p>
    <w:p>
      <w:pPr>
        <w:spacing w:line="293" w:lineRule="exact" w:before="0"/>
        <w:ind w:left="580" w:right="3335" w:firstLine="0"/>
        <w:jc w:val="center"/>
        <w:rPr>
          <w:rFonts w:ascii="Myriad Pro"/>
          <w:b/>
          <w:i/>
          <w:sz w:val="24"/>
        </w:rPr>
      </w:pPr>
      <w:r>
        <w:rPr/>
        <w:pict>
          <v:line style="position:absolute;mso-position-horizontal-relative:page;mso-position-vertical-relative:paragraph;z-index:2920;mso-wrap-distance-left:0;mso-wrap-distance-right:0" from="56.692902pt,17.843287pt" to="450.708902pt,17.843287pt" stroked="true" strokeweight="1pt" strokecolor="#f99d25">
            <w10:wrap type="topAndBottom"/>
          </v:line>
        </w:pict>
      </w:r>
      <w:r>
        <w:rPr>
          <w:rFonts w:ascii="Myriad Pro"/>
          <w:b/>
          <w:i/>
          <w:color w:val="F99D25"/>
          <w:sz w:val="24"/>
        </w:rPr>
        <w:t>politiques inclusifs.</w:t>
      </w:r>
    </w:p>
    <w:p>
      <w:pPr>
        <w:pStyle w:val="BodyText"/>
        <w:rPr>
          <w:rFonts w:ascii="Myriad Pro"/>
          <w:b/>
          <w:i/>
          <w:sz w:val="24"/>
        </w:rPr>
      </w:pPr>
    </w:p>
    <w:p>
      <w:pPr>
        <w:pStyle w:val="BodyText"/>
        <w:spacing w:before="3"/>
        <w:rPr>
          <w:rFonts w:ascii="Myriad Pro"/>
          <w:b/>
          <w:i/>
          <w:sz w:val="19"/>
        </w:rPr>
      </w:pPr>
    </w:p>
    <w:p>
      <w:pPr>
        <w:pStyle w:val="ListParagraph"/>
        <w:numPr>
          <w:ilvl w:val="1"/>
          <w:numId w:val="2"/>
        </w:numPr>
        <w:tabs>
          <w:tab w:pos="854" w:val="left" w:leader="none"/>
        </w:tabs>
        <w:spacing w:line="340" w:lineRule="exact" w:before="1" w:after="0"/>
        <w:ind w:left="853" w:right="3165" w:hanging="720"/>
        <w:jc w:val="left"/>
        <w:rPr>
          <w:b/>
          <w:sz w:val="32"/>
        </w:rPr>
      </w:pPr>
      <w:r>
        <w:rPr>
          <w:b/>
          <w:color w:val="231F20"/>
          <w:sz w:val="32"/>
        </w:rPr>
        <w:t>Le droit de se présenter aux élections et </w:t>
      </w:r>
      <w:r>
        <w:rPr>
          <w:b/>
          <w:color w:val="231F20"/>
          <w:spacing w:val="-4"/>
          <w:sz w:val="32"/>
        </w:rPr>
        <w:t>d’occuper </w:t>
      </w:r>
      <w:r>
        <w:rPr>
          <w:b/>
          <w:color w:val="231F20"/>
          <w:sz w:val="32"/>
        </w:rPr>
        <w:t>une fonction publique</w:t>
      </w:r>
    </w:p>
    <w:p>
      <w:pPr>
        <w:pStyle w:val="BodyText"/>
        <w:spacing w:line="266" w:lineRule="auto" w:before="130"/>
        <w:ind w:left="133" w:right="3388"/>
        <w:rPr>
          <w:b w:val="0"/>
        </w:rPr>
      </w:pPr>
      <w:r>
        <w:rPr>
          <w:b w:val="0"/>
          <w:color w:val="231F20"/>
        </w:rPr>
        <w:t>Les personnes handicapées ont le droit de se présenter aux élections et d’occuper une fonction publique. Les États peuvent limiter la participation des personnes à ces</w:t>
      </w:r>
    </w:p>
    <w:p>
      <w:pPr>
        <w:pStyle w:val="BodyText"/>
        <w:spacing w:line="266" w:lineRule="auto"/>
        <w:ind w:left="133" w:right="2904"/>
        <w:rPr>
          <w:b w:val="0"/>
        </w:rPr>
      </w:pPr>
      <w:r>
        <w:rPr>
          <w:b w:val="0"/>
          <w:color w:val="231F20"/>
        </w:rPr>
        <w:t>processus au motif, par exemple, qu’elles n’ont pas atteint l’âge minimum. Ces restrictions doivent être justifiables et raisonnables. Le handicap ne peut pas être considéré comme justifiant une restriction.</w:t>
      </w:r>
    </w:p>
    <w:p>
      <w:pPr>
        <w:pStyle w:val="BodyText"/>
        <w:spacing w:before="8"/>
        <w:rPr>
          <w:b w:val="0"/>
          <w:sz w:val="28"/>
        </w:rPr>
      </w:pPr>
    </w:p>
    <w:p>
      <w:pPr>
        <w:pStyle w:val="BodyText"/>
        <w:spacing w:line="266" w:lineRule="auto" w:before="1"/>
        <w:ind w:left="133" w:right="3261"/>
        <w:rPr>
          <w:b w:val="0"/>
        </w:rPr>
      </w:pPr>
      <w:r>
        <w:rPr>
          <w:b w:val="0"/>
          <w:color w:val="231F20"/>
        </w:rPr>
        <w:t>Les personnes handicapées doivent aussi bénéficier d’un accès égal aux postes dans le service public et la fonction publique ainsi qu’aux responsabilités de représentant du gouvernement au niveau international, auprès des Nations Unies, par exemple. De nombreux représentants élus et fonctionnaires handicapés, y compris du continent</w:t>
      </w:r>
    </w:p>
    <w:p>
      <w:pPr>
        <w:pStyle w:val="BodyText"/>
        <w:spacing w:line="266" w:lineRule="auto"/>
        <w:ind w:left="133" w:right="3029"/>
        <w:jc w:val="both"/>
        <w:rPr>
          <w:b w:val="0"/>
        </w:rPr>
      </w:pPr>
      <w:r>
        <w:rPr>
          <w:b w:val="0"/>
          <w:color w:val="231F20"/>
        </w:rPr>
        <w:t>africain, ont participé aux négociations de l’ONU qui ont abouti à l’adoption de la CDPH. Une telle inclusion aide à garantir que le gouvernement, à tous les niveaux, tient compte des besoins des personnes handicapées.</w:t>
      </w:r>
    </w:p>
    <w:p>
      <w:pPr>
        <w:pStyle w:val="BodyText"/>
        <w:spacing w:before="8"/>
        <w:rPr>
          <w:b w:val="0"/>
          <w:sz w:val="28"/>
        </w:rPr>
      </w:pPr>
    </w:p>
    <w:p>
      <w:pPr>
        <w:pStyle w:val="BodyText"/>
        <w:spacing w:line="266" w:lineRule="auto" w:before="1"/>
        <w:ind w:left="133" w:right="2841"/>
        <w:rPr>
          <w:b w:val="0"/>
        </w:rPr>
      </w:pPr>
      <w:r>
        <w:rPr>
          <w:b w:val="0"/>
          <w:color w:val="231F20"/>
        </w:rPr>
        <w:t>Dans certains pays, les OPH ont défendu l’adoption de mesures positives afin de s’assurer que leurs intérêts soient effectivement représentés par leurs élus. En Ouganda, par exemple, la Constitution exige qu'un certain pourcentage de sièges au Parlement soit accordé à des élus handicapés. Dans d'autres pays, l’exécutif peut réserver un certain nombre de sièges parlementaires. En Namibie, cette politique a permis la nomination par le Président de représentants handicapés au Parlement. Dans d’autres cas, les personnes handicapées peuvent être représentées grâce à un commissaire siégeant à la commission nationale chargée des droits de l’homme. C’est le cas, par exemple, en Afrique du Sud.</w:t>
      </w:r>
    </w:p>
    <w:p>
      <w:pPr>
        <w:pStyle w:val="BodyText"/>
        <w:spacing w:before="5"/>
        <w:rPr>
          <w:b w:val="0"/>
          <w:sz w:val="18"/>
        </w:rPr>
      </w:pPr>
      <w:r>
        <w:rPr/>
        <w:pict>
          <v:group style="position:absolute;margin-left:56.192902pt;margin-top:12.865237pt;width:395.05pt;height:233.7pt;mso-position-horizontal-relative:page;mso-position-vertical-relative:paragraph;z-index:2968;mso-wrap-distance-left:0;mso-wrap-distance-right:0" coordorigin="1124,257" coordsize="7901,4674">
            <v:rect style="position:absolute;left:1134;top:257;width:7880;height:363" filled="true" fillcolor="#f99d25" stroked="false">
              <v:fill type="solid"/>
            </v:rect>
            <v:rect style="position:absolute;left:1134;top:621;width:7880;height:4300" filled="true" fillcolor="#fff2e3" stroked="false">
              <v:fill type="solid"/>
            </v:rect>
            <v:line style="position:absolute" from="1134,4921" to="9014,4921" stroked="true" strokeweight="1pt" strokecolor="#f99d25"/>
            <v:shape style="position:absolute;left:1124;top:257;width:7901;height:4674" type="#_x0000_t202" filled="false" stroked="false">
              <v:textbox inset="0,0,0,0">
                <w:txbxContent>
                  <w:p>
                    <w:pPr>
                      <w:spacing w:before="32"/>
                      <w:ind w:left="570" w:right="-6" w:firstLine="0"/>
                      <w:jc w:val="left"/>
                      <w:rPr>
                        <w:rFonts w:ascii="Myriad Pro" w:hAnsi="Myriad Pro"/>
                        <w:b/>
                        <w:sz w:val="22"/>
                      </w:rPr>
                    </w:pPr>
                    <w:r>
                      <w:rPr>
                        <w:rFonts w:ascii="Myriad Pro" w:hAnsi="Myriad Pro"/>
                        <w:b/>
                        <w:color w:val="FFFFFF"/>
                        <w:sz w:val="22"/>
                      </w:rPr>
                      <w:t>Représentation parlementaire des personnes handicapées en Afrique</w:t>
                    </w:r>
                  </w:p>
                  <w:p>
                    <w:pPr>
                      <w:spacing w:before="180"/>
                      <w:ind w:left="180" w:right="-6" w:firstLine="0"/>
                      <w:jc w:val="left"/>
                      <w:rPr>
                        <w:rFonts w:ascii="Myriad Pro"/>
                        <w:b/>
                        <w:sz w:val="20"/>
                      </w:rPr>
                    </w:pPr>
                    <w:r>
                      <w:rPr>
                        <w:rFonts w:ascii="Myriad Pro"/>
                        <w:b/>
                        <w:color w:val="231F20"/>
                        <w:sz w:val="20"/>
                      </w:rPr>
                      <w:t>Ouganda</w:t>
                    </w:r>
                  </w:p>
                  <w:p>
                    <w:pPr>
                      <w:spacing w:line="259" w:lineRule="auto" w:before="133"/>
                      <w:ind w:left="180" w:right="427" w:firstLine="0"/>
                      <w:jc w:val="left"/>
                      <w:rPr>
                        <w:rFonts w:ascii="Myriad Pro" w:hAnsi="Myriad Pro"/>
                        <w:sz w:val="20"/>
                      </w:rPr>
                    </w:pPr>
                    <w:r>
                      <w:rPr>
                        <w:rFonts w:ascii="Myriad Pro" w:hAnsi="Myriad Pro"/>
                        <w:color w:val="231F20"/>
                        <w:sz w:val="20"/>
                      </w:rPr>
                      <w:t>La Constitution de l’Ouganda prévoit que cinq membres du Parlement national aient une expérience personnelle du handicap. Le Local Government Act de 1997 prévoit l'élection d’une femme et d’un homme handicapés dans chaque conseil de village, de paroisse, de sous-comté et de district. Ainsi, même si cela peut paraître surprenant, 47 000 élus siègent dans des organes élus directement, ce qui constitue, de loin, le groupe de politiciens handicapés le plus important du monde. Les membres handicapés</w:t>
                    </w:r>
                  </w:p>
                  <w:p>
                    <w:pPr>
                      <w:spacing w:line="259" w:lineRule="auto" w:before="0"/>
                      <w:ind w:left="180" w:right="354" w:firstLine="0"/>
                      <w:jc w:val="left"/>
                      <w:rPr>
                        <w:rFonts w:ascii="Myriad Pro" w:hAnsi="Myriad Pro"/>
                        <w:sz w:val="20"/>
                      </w:rPr>
                    </w:pPr>
                    <w:r>
                      <w:rPr>
                        <w:rFonts w:ascii="Myriad Pro" w:hAnsi="Myriad Pro"/>
                        <w:color w:val="231F20"/>
                        <w:sz w:val="20"/>
                      </w:rPr>
                      <w:t>du Parlement participent à une variété de comités parlementaires, y compris ceux chargés des nominations présidentielles, des règles et privilèges, des affaires juridiques et parlementaires, des commissions, des autorisations législatives, des entreprises publiques, des services sociaux, des services publics, des questions de genre, ou encore, du gouvernement local. L'accessibilité du Parlement pour les personnes qui y siègent s’est améliorée depuis que les règles ont été modifiées afin de permettre aux chiens guides et aux interprètes en langue des signes d'assister aux réunions et aux sessions parlementaires.</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1"/>
        </w:rPr>
      </w:pPr>
    </w:p>
    <w:p>
      <w:pPr>
        <w:spacing w:before="0"/>
        <w:ind w:left="3937" w:right="374"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45568"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14</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267.9pt;mso-position-horizontal-relative:page;mso-position-vertical-relative:paragraph;z-index:3064;mso-wrap-distance-left:0;mso-wrap-distance-right:0" coordorigin="2881,365" coordsize="7901,5358">
            <v:rect style="position:absolute;left:2891;top:375;width:7880;height:5337" filled="true" fillcolor="#fff2e3" stroked="false">
              <v:fill type="solid"/>
            </v:rect>
            <v:rect style="position:absolute;left:2891;top:365;width:7880;height:20" filled="true" fillcolor="#f99d25" stroked="false">
              <v:fill type="solid"/>
            </v:rect>
            <v:line style="position:absolute" from="2891,5713" to="10772,5713" stroked="true" strokeweight="1pt" strokecolor="#f99d25"/>
            <v:shape style="position:absolute;left:2891;top:375;width:7881;height:5338" type="#_x0000_t202" filled="false" stroked="false">
              <v:textbox inset="0,0,0,0">
                <w:txbxContent>
                  <w:p>
                    <w:pPr>
                      <w:spacing w:before="122"/>
                      <w:ind w:left="170" w:right="227" w:firstLine="0"/>
                      <w:jc w:val="left"/>
                      <w:rPr>
                        <w:rFonts w:ascii="Myriad Pro"/>
                        <w:b/>
                        <w:sz w:val="20"/>
                      </w:rPr>
                    </w:pPr>
                    <w:r>
                      <w:rPr>
                        <w:rFonts w:ascii="Myriad Pro"/>
                        <w:b/>
                        <w:color w:val="231F20"/>
                        <w:sz w:val="20"/>
                      </w:rPr>
                      <w:t>Afrique du Sud</w:t>
                    </w:r>
                  </w:p>
                  <w:p>
                    <w:pPr>
                      <w:spacing w:line="259" w:lineRule="auto" w:before="133"/>
                      <w:ind w:left="170" w:right="227" w:firstLine="0"/>
                      <w:jc w:val="left"/>
                      <w:rPr>
                        <w:rFonts w:ascii="Myriad Pro" w:hAnsi="Myriad Pro"/>
                        <w:sz w:val="20"/>
                      </w:rPr>
                    </w:pPr>
                    <w:r>
                      <w:rPr>
                        <w:rFonts w:ascii="Myriad Pro" w:hAnsi="Myriad Pro"/>
                        <w:color w:val="231F20"/>
                        <w:sz w:val="20"/>
                      </w:rPr>
                      <w:t>Les chiffres de 2012 concernant l’autoreprésentation des personnes handicapées en tant que représentants public sont les suivants :</w:t>
                    </w:r>
                  </w:p>
                  <w:p>
                    <w:pPr>
                      <w:spacing w:before="37"/>
                      <w:ind w:left="510" w:right="227"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Parlement (Assemblée nationale et Conseil national des provinces) : 16</w:t>
                    </w:r>
                  </w:p>
                  <w:p>
                    <w:pPr>
                      <w:spacing w:before="56"/>
                      <w:ind w:left="793" w:right="638" w:hanging="284"/>
                      <w:jc w:val="left"/>
                      <w:rPr>
                        <w:rFonts w:ascii="Myriad Pro" w:hAnsi="Myriad Pro"/>
                        <w:sz w:val="20"/>
                      </w:rPr>
                    </w:pPr>
                    <w:r>
                      <w:rPr>
                        <w:rFonts w:ascii="Arial" w:hAnsi="Arial"/>
                        <w:color w:val="231F20"/>
                        <w:w w:val="120"/>
                        <w:sz w:val="20"/>
                      </w:rPr>
                      <w:t>z </w:t>
                    </w:r>
                    <w:r>
                      <w:rPr>
                        <w:rFonts w:ascii="Myriad Pro" w:hAnsi="Myriad Pro"/>
                        <w:color w:val="231F20"/>
                        <w:w w:val="105"/>
                        <w:sz w:val="20"/>
                      </w:rPr>
                      <w:t>Cabinet</w:t>
                    </w:r>
                    <w:r>
                      <w:rPr>
                        <w:rFonts w:ascii="Myriad Pro" w:hAnsi="Myriad Pro"/>
                        <w:color w:val="231F20"/>
                        <w:spacing w:val="-24"/>
                        <w:w w:val="105"/>
                        <w:sz w:val="20"/>
                      </w:rPr>
                      <w:t> </w:t>
                    </w:r>
                    <w:r>
                      <w:rPr>
                        <w:rFonts w:ascii="Myriad Pro" w:hAnsi="Myriad Pro"/>
                        <w:color w:val="231F20"/>
                        <w:w w:val="105"/>
                        <w:sz w:val="20"/>
                      </w:rPr>
                      <w:t>national</w:t>
                    </w:r>
                    <w:r>
                      <w:rPr>
                        <w:rFonts w:ascii="Myriad Pro" w:hAnsi="Myriad Pro"/>
                        <w:color w:val="231F20"/>
                        <w:spacing w:val="-24"/>
                        <w:w w:val="105"/>
                        <w:sz w:val="20"/>
                      </w:rPr>
                      <w:t> </w:t>
                    </w:r>
                    <w:r>
                      <w:rPr>
                        <w:rFonts w:ascii="Myriad Pro" w:hAnsi="Myriad Pro"/>
                        <w:color w:val="231F20"/>
                        <w:w w:val="105"/>
                        <w:sz w:val="20"/>
                      </w:rPr>
                      <w:t>(Ministre</w:t>
                    </w:r>
                    <w:r>
                      <w:rPr>
                        <w:rFonts w:ascii="Myriad Pro" w:hAnsi="Myriad Pro"/>
                        <w:color w:val="231F20"/>
                        <w:spacing w:val="-24"/>
                        <w:w w:val="105"/>
                        <w:sz w:val="20"/>
                      </w:rPr>
                      <w:t> </w:t>
                    </w:r>
                    <w:r>
                      <w:rPr>
                        <w:rFonts w:ascii="Myriad Pro" w:hAnsi="Myriad Pro"/>
                        <w:color w:val="231F20"/>
                        <w:w w:val="105"/>
                        <w:sz w:val="20"/>
                      </w:rPr>
                      <w:t>délégué</w:t>
                    </w:r>
                    <w:r>
                      <w:rPr>
                        <w:rFonts w:ascii="Myriad Pro" w:hAnsi="Myriad Pro"/>
                        <w:color w:val="231F20"/>
                        <w:spacing w:val="-24"/>
                        <w:w w:val="105"/>
                        <w:sz w:val="20"/>
                      </w:rPr>
                      <w:t> </w:t>
                    </w:r>
                    <w:r>
                      <w:rPr>
                        <w:rFonts w:ascii="Myriad Pro" w:hAnsi="Myriad Pro"/>
                        <w:color w:val="231F20"/>
                        <w:w w:val="105"/>
                        <w:sz w:val="20"/>
                      </w:rPr>
                      <w:t>aux</w:t>
                    </w:r>
                    <w:r>
                      <w:rPr>
                        <w:rFonts w:ascii="Myriad Pro" w:hAnsi="Myriad Pro"/>
                        <w:color w:val="231F20"/>
                        <w:spacing w:val="-24"/>
                        <w:w w:val="105"/>
                        <w:sz w:val="20"/>
                      </w:rPr>
                      <w:t> </w:t>
                    </w:r>
                    <w:r>
                      <w:rPr>
                        <w:rFonts w:ascii="Myriad Pro" w:hAnsi="Myriad Pro"/>
                        <w:color w:val="231F20"/>
                        <w:w w:val="105"/>
                        <w:sz w:val="20"/>
                      </w:rPr>
                      <w:t>femmes,</w:t>
                    </w:r>
                    <w:r>
                      <w:rPr>
                        <w:rFonts w:ascii="Myriad Pro" w:hAnsi="Myriad Pro"/>
                        <w:color w:val="231F20"/>
                        <w:spacing w:val="-24"/>
                        <w:w w:val="105"/>
                        <w:sz w:val="20"/>
                      </w:rPr>
                      <w:t> </w:t>
                    </w:r>
                    <w:r>
                      <w:rPr>
                        <w:rFonts w:ascii="Myriad Pro" w:hAnsi="Myriad Pro"/>
                        <w:color w:val="231F20"/>
                        <w:w w:val="105"/>
                        <w:sz w:val="20"/>
                      </w:rPr>
                      <w:t>aux</w:t>
                    </w:r>
                    <w:r>
                      <w:rPr>
                        <w:rFonts w:ascii="Myriad Pro" w:hAnsi="Myriad Pro"/>
                        <w:color w:val="231F20"/>
                        <w:spacing w:val="-24"/>
                        <w:w w:val="105"/>
                        <w:sz w:val="20"/>
                      </w:rPr>
                      <w:t> </w:t>
                    </w:r>
                    <w:r>
                      <w:rPr>
                        <w:rFonts w:ascii="Myriad Pro" w:hAnsi="Myriad Pro"/>
                        <w:color w:val="231F20"/>
                        <w:w w:val="105"/>
                        <w:sz w:val="20"/>
                      </w:rPr>
                      <w:t>enfants</w:t>
                    </w:r>
                    <w:r>
                      <w:rPr>
                        <w:rFonts w:ascii="Myriad Pro" w:hAnsi="Myriad Pro"/>
                        <w:color w:val="231F20"/>
                        <w:spacing w:val="-24"/>
                        <w:w w:val="105"/>
                        <w:sz w:val="20"/>
                      </w:rPr>
                      <w:t> </w:t>
                    </w:r>
                    <w:r>
                      <w:rPr>
                        <w:rFonts w:ascii="Myriad Pro" w:hAnsi="Myriad Pro"/>
                        <w:color w:val="231F20"/>
                        <w:w w:val="105"/>
                        <w:sz w:val="20"/>
                      </w:rPr>
                      <w:t>et</w:t>
                    </w:r>
                    <w:r>
                      <w:rPr>
                        <w:rFonts w:ascii="Myriad Pro" w:hAnsi="Myriad Pro"/>
                        <w:color w:val="231F20"/>
                        <w:spacing w:val="-24"/>
                        <w:w w:val="105"/>
                        <w:sz w:val="20"/>
                      </w:rPr>
                      <w:t> </w:t>
                    </w:r>
                    <w:r>
                      <w:rPr>
                        <w:rFonts w:ascii="Myriad Pro" w:hAnsi="Myriad Pro"/>
                        <w:color w:val="231F20"/>
                        <w:w w:val="105"/>
                        <w:sz w:val="20"/>
                      </w:rPr>
                      <w:t>aux</w:t>
                    </w:r>
                    <w:r>
                      <w:rPr>
                        <w:rFonts w:ascii="Myriad Pro" w:hAnsi="Myriad Pro"/>
                        <w:color w:val="231F20"/>
                        <w:spacing w:val="-24"/>
                        <w:w w:val="105"/>
                        <w:sz w:val="20"/>
                      </w:rPr>
                      <w:t> </w:t>
                    </w:r>
                    <w:r>
                      <w:rPr>
                        <w:rFonts w:ascii="Myriad Pro" w:hAnsi="Myriad Pro"/>
                        <w:color w:val="231F20"/>
                        <w:w w:val="105"/>
                        <w:sz w:val="20"/>
                      </w:rPr>
                      <w:t>personnes </w:t>
                    </w:r>
                    <w:r>
                      <w:rPr>
                        <w:rFonts w:ascii="Myriad Pro" w:hAnsi="Myriad Pro"/>
                        <w:color w:val="231F20"/>
                        <w:sz w:val="20"/>
                      </w:rPr>
                      <w:t>handicapées) : 1</w:t>
                    </w:r>
                  </w:p>
                  <w:p>
                    <w:pPr>
                      <w:spacing w:before="56"/>
                      <w:ind w:left="509" w:right="227" w:firstLine="0"/>
                      <w:jc w:val="left"/>
                      <w:rPr>
                        <w:rFonts w:ascii="Myriad Pro"/>
                        <w:sz w:val="20"/>
                      </w:rPr>
                    </w:pPr>
                    <w:r>
                      <w:rPr>
                        <w:rFonts w:ascii="Arial"/>
                        <w:color w:val="231F20"/>
                        <w:w w:val="120"/>
                        <w:sz w:val="20"/>
                      </w:rPr>
                      <w:t>z </w:t>
                    </w:r>
                    <w:r>
                      <w:rPr>
                        <w:rFonts w:ascii="Myriad Pro"/>
                        <w:color w:val="231F20"/>
                        <w:w w:val="105"/>
                        <w:sz w:val="20"/>
                      </w:rPr>
                      <w:t>Neuf parlements provinciaux : 8</w:t>
                    </w:r>
                  </w:p>
                  <w:p>
                    <w:pPr>
                      <w:spacing w:before="56"/>
                      <w:ind w:left="509" w:right="227"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Conseils exécutifs provinciaux : 3 et</w:t>
                    </w:r>
                  </w:p>
                  <w:p>
                    <w:pPr>
                      <w:spacing w:before="56"/>
                      <w:ind w:left="792" w:right="463" w:hanging="284"/>
                      <w:jc w:val="left"/>
                      <w:rPr>
                        <w:rFonts w:ascii="Myriad Pro" w:hAnsi="Myriad Pro"/>
                        <w:sz w:val="20"/>
                      </w:rPr>
                    </w:pPr>
                    <w:r>
                      <w:rPr>
                        <w:rFonts w:ascii="Arial" w:hAnsi="Arial"/>
                        <w:color w:val="231F20"/>
                        <w:w w:val="120"/>
                        <w:sz w:val="20"/>
                      </w:rPr>
                      <w:t>z</w:t>
                    </w:r>
                    <w:r>
                      <w:rPr>
                        <w:rFonts w:ascii="Arial" w:hAnsi="Arial"/>
                        <w:color w:val="231F20"/>
                        <w:spacing w:val="-3"/>
                        <w:w w:val="120"/>
                        <w:sz w:val="20"/>
                      </w:rPr>
                      <w:t> </w:t>
                    </w:r>
                    <w:r>
                      <w:rPr>
                        <w:rFonts w:ascii="Myriad Pro" w:hAnsi="Myriad Pro"/>
                        <w:color w:val="231F20"/>
                        <w:w w:val="105"/>
                        <w:sz w:val="20"/>
                      </w:rPr>
                      <w:t>Municipalités</w:t>
                    </w:r>
                    <w:r>
                      <w:rPr>
                        <w:rFonts w:ascii="Myriad Pro" w:hAnsi="Myriad Pro"/>
                        <w:color w:val="231F20"/>
                        <w:spacing w:val="-25"/>
                        <w:w w:val="105"/>
                        <w:sz w:val="20"/>
                      </w:rPr>
                      <w:t> </w:t>
                    </w:r>
                    <w:r>
                      <w:rPr>
                        <w:rFonts w:ascii="Myriad Pro" w:hAnsi="Myriad Pro"/>
                        <w:color w:val="231F20"/>
                        <w:w w:val="105"/>
                        <w:sz w:val="20"/>
                      </w:rPr>
                      <w:t>(huit</w:t>
                    </w:r>
                    <w:r>
                      <w:rPr>
                        <w:rFonts w:ascii="Myriad Pro" w:hAnsi="Myriad Pro"/>
                        <w:color w:val="231F20"/>
                        <w:spacing w:val="-25"/>
                        <w:w w:val="105"/>
                        <w:sz w:val="20"/>
                      </w:rPr>
                      <w:t> </w:t>
                    </w:r>
                    <w:r>
                      <w:rPr>
                        <w:rFonts w:ascii="Myriad Pro" w:hAnsi="Myriad Pro"/>
                        <w:color w:val="231F20"/>
                        <w:w w:val="105"/>
                        <w:sz w:val="20"/>
                      </w:rPr>
                      <w:t>conseils</w:t>
                    </w:r>
                    <w:r>
                      <w:rPr>
                        <w:rFonts w:ascii="Myriad Pro" w:hAnsi="Myriad Pro"/>
                        <w:color w:val="231F20"/>
                        <w:spacing w:val="-25"/>
                        <w:w w:val="105"/>
                        <w:sz w:val="20"/>
                      </w:rPr>
                      <w:t> </w:t>
                    </w:r>
                    <w:r>
                      <w:rPr>
                        <w:rFonts w:ascii="Myriad Pro" w:hAnsi="Myriad Pro"/>
                        <w:color w:val="231F20"/>
                        <w:w w:val="105"/>
                        <w:sz w:val="20"/>
                      </w:rPr>
                      <w:t>métropolitains,</w:t>
                    </w:r>
                    <w:r>
                      <w:rPr>
                        <w:rFonts w:ascii="Myriad Pro" w:hAnsi="Myriad Pro"/>
                        <w:color w:val="231F20"/>
                        <w:spacing w:val="-25"/>
                        <w:w w:val="105"/>
                        <w:sz w:val="20"/>
                      </w:rPr>
                      <w:t> </w:t>
                    </w:r>
                    <w:r>
                      <w:rPr>
                        <w:rFonts w:ascii="Myriad Pro" w:hAnsi="Myriad Pro"/>
                        <w:color w:val="231F20"/>
                        <w:w w:val="105"/>
                        <w:sz w:val="20"/>
                      </w:rPr>
                      <w:t>226</w:t>
                    </w:r>
                    <w:r>
                      <w:rPr>
                        <w:rFonts w:ascii="Myriad Pro" w:hAnsi="Myriad Pro"/>
                        <w:color w:val="231F20"/>
                        <w:spacing w:val="-25"/>
                        <w:w w:val="105"/>
                        <w:sz w:val="20"/>
                      </w:rPr>
                      <w:t> </w:t>
                    </w:r>
                    <w:r>
                      <w:rPr>
                        <w:rFonts w:ascii="Myriad Pro" w:hAnsi="Myriad Pro"/>
                        <w:color w:val="231F20"/>
                        <w:w w:val="105"/>
                        <w:sz w:val="20"/>
                      </w:rPr>
                      <w:t>conseils</w:t>
                    </w:r>
                    <w:r>
                      <w:rPr>
                        <w:rFonts w:ascii="Myriad Pro" w:hAnsi="Myriad Pro"/>
                        <w:color w:val="231F20"/>
                        <w:spacing w:val="-25"/>
                        <w:w w:val="105"/>
                        <w:sz w:val="20"/>
                      </w:rPr>
                      <w:t> </w:t>
                    </w:r>
                    <w:r>
                      <w:rPr>
                        <w:rFonts w:ascii="Myriad Pro" w:hAnsi="Myriad Pro"/>
                        <w:color w:val="231F20"/>
                        <w:w w:val="105"/>
                        <w:sz w:val="20"/>
                      </w:rPr>
                      <w:t>locaux</w:t>
                    </w:r>
                    <w:r>
                      <w:rPr>
                        <w:rFonts w:ascii="Myriad Pro" w:hAnsi="Myriad Pro"/>
                        <w:color w:val="231F20"/>
                        <w:spacing w:val="-25"/>
                        <w:w w:val="105"/>
                        <w:sz w:val="20"/>
                      </w:rPr>
                      <w:t> </w:t>
                    </w:r>
                    <w:r>
                      <w:rPr>
                        <w:rFonts w:ascii="Myriad Pro" w:hAnsi="Myriad Pro"/>
                        <w:color w:val="231F20"/>
                        <w:w w:val="105"/>
                        <w:sz w:val="20"/>
                      </w:rPr>
                      <w:t>et</w:t>
                    </w:r>
                    <w:r>
                      <w:rPr>
                        <w:rFonts w:ascii="Myriad Pro" w:hAnsi="Myriad Pro"/>
                        <w:color w:val="231F20"/>
                        <w:spacing w:val="-25"/>
                        <w:w w:val="105"/>
                        <w:sz w:val="20"/>
                      </w:rPr>
                      <w:t> </w:t>
                    </w:r>
                    <w:r>
                      <w:rPr>
                        <w:rFonts w:ascii="Myriad Pro" w:hAnsi="Myriad Pro"/>
                        <w:color w:val="231F20"/>
                        <w:w w:val="105"/>
                        <w:sz w:val="20"/>
                      </w:rPr>
                      <w:t>44</w:t>
                    </w:r>
                    <w:r>
                      <w:rPr>
                        <w:rFonts w:ascii="Myriad Pro" w:hAnsi="Myriad Pro"/>
                        <w:color w:val="231F20"/>
                        <w:spacing w:val="-25"/>
                        <w:w w:val="105"/>
                        <w:sz w:val="20"/>
                      </w:rPr>
                      <w:t> </w:t>
                    </w:r>
                    <w:r>
                      <w:rPr>
                        <w:rFonts w:ascii="Myriad Pro" w:hAnsi="Myriad Pro"/>
                        <w:color w:val="231F20"/>
                        <w:w w:val="105"/>
                        <w:sz w:val="20"/>
                      </w:rPr>
                      <w:t>conseils</w:t>
                    </w:r>
                    <w:r>
                      <w:rPr>
                        <w:rFonts w:ascii="Myriad Pro" w:hAnsi="Myriad Pro"/>
                        <w:color w:val="231F20"/>
                        <w:spacing w:val="-25"/>
                        <w:w w:val="105"/>
                        <w:sz w:val="20"/>
                      </w:rPr>
                      <w:t> </w:t>
                    </w:r>
                    <w:r>
                      <w:rPr>
                        <w:rFonts w:ascii="Myriad Pro" w:hAnsi="Myriad Pro"/>
                        <w:color w:val="231F20"/>
                        <w:w w:val="105"/>
                        <w:sz w:val="20"/>
                      </w:rPr>
                      <w:t>de district)</w:t>
                    </w:r>
                    <w:r>
                      <w:rPr>
                        <w:rFonts w:ascii="Myriad Pro" w:hAnsi="Myriad Pro"/>
                        <w:color w:val="231F20"/>
                        <w:spacing w:val="-24"/>
                        <w:w w:val="105"/>
                        <w:sz w:val="20"/>
                      </w:rPr>
                      <w:t> </w:t>
                    </w:r>
                    <w:r>
                      <w:rPr>
                        <w:rFonts w:ascii="Myriad Pro" w:hAnsi="Myriad Pro"/>
                        <w:color w:val="231F20"/>
                        <w:w w:val="105"/>
                        <w:sz w:val="20"/>
                      </w:rPr>
                      <w:t>:</w:t>
                    </w:r>
                    <w:r>
                      <w:rPr>
                        <w:rFonts w:ascii="Myriad Pro" w:hAnsi="Myriad Pro"/>
                        <w:color w:val="231F20"/>
                        <w:spacing w:val="-24"/>
                        <w:w w:val="105"/>
                        <w:sz w:val="20"/>
                      </w:rPr>
                      <w:t> </w:t>
                    </w:r>
                    <w:r>
                      <w:rPr>
                        <w:rFonts w:ascii="Myriad Pro" w:hAnsi="Myriad Pro"/>
                        <w:color w:val="231F20"/>
                        <w:w w:val="105"/>
                        <w:sz w:val="20"/>
                      </w:rPr>
                      <w:t>72</w:t>
                    </w:r>
                  </w:p>
                  <w:p>
                    <w:pPr>
                      <w:spacing w:line="259" w:lineRule="auto" w:before="133"/>
                      <w:ind w:left="169" w:right="227" w:firstLine="0"/>
                      <w:jc w:val="left"/>
                      <w:rPr>
                        <w:rFonts w:ascii="Myriad Pro" w:hAnsi="Myriad Pro"/>
                        <w:sz w:val="20"/>
                      </w:rPr>
                    </w:pPr>
                    <w:r>
                      <w:rPr>
                        <w:rFonts w:ascii="Myriad Pro" w:hAnsi="Myriad Pro"/>
                        <w:color w:val="231F20"/>
                        <w:sz w:val="20"/>
                      </w:rPr>
                      <w:t>De plus, les personnes handicapées représentent les intérêts du secteur du handicap dans un certain nombre d’autres institutions publiques comme la Commission sud-africaine des droits de l'homme (SAHRC), la Commission pour l’égalité des sexes (CGE), </w:t>
                    </w:r>
                    <w:r>
                      <w:rPr>
                        <w:rFonts w:ascii="Myriad Pro" w:hAnsi="Myriad Pro"/>
                        <w:color w:val="231F20"/>
                        <w:spacing w:val="-3"/>
                        <w:sz w:val="20"/>
                      </w:rPr>
                      <w:t>l’Agence </w:t>
                    </w:r>
                    <w:r>
                      <w:rPr>
                        <w:rFonts w:ascii="Myriad Pro" w:hAnsi="Myriad Pro"/>
                        <w:color w:val="231F20"/>
                        <w:sz w:val="20"/>
                      </w:rPr>
                      <w:t>nationale de développement de la jeunesse, la Commission du service public, le Conseil national de développement économique et du travail (NEDLAC), la Loterie nationale et</w:t>
                    </w:r>
                    <w:r>
                      <w:rPr>
                        <w:rFonts w:ascii="Myriad Pro" w:hAnsi="Myriad Pro"/>
                        <w:color w:val="231F20"/>
                        <w:spacing w:val="-17"/>
                        <w:sz w:val="20"/>
                      </w:rPr>
                      <w:t> </w:t>
                    </w:r>
                    <w:r>
                      <w:rPr>
                        <w:rFonts w:ascii="Myriad Pro" w:hAnsi="Myriad Pro"/>
                        <w:color w:val="231F20"/>
                        <w:sz w:val="20"/>
                      </w:rPr>
                      <w:t>ses</w:t>
                    </w:r>
                  </w:p>
                  <w:p>
                    <w:pPr>
                      <w:spacing w:line="259" w:lineRule="auto" w:before="0"/>
                      <w:ind w:left="169" w:right="0" w:firstLine="0"/>
                      <w:jc w:val="left"/>
                      <w:rPr>
                        <w:rFonts w:ascii="Myriad Pro" w:hAnsi="Myriad Pro"/>
                        <w:sz w:val="20"/>
                      </w:rPr>
                    </w:pPr>
                    <w:r>
                      <w:rPr>
                        <w:rFonts w:ascii="Myriad Pro" w:hAnsi="Myriad Pro"/>
                        <w:color w:val="231F20"/>
                        <w:sz w:val="20"/>
                      </w:rPr>
                      <w:t>agences de distribution, la caisse d’assurance chômage (UIF), la Commission sur l’équité de l’emploi, l’Agence nationale de développement, le Comité linguistique pan-sud-africain, la National Skills Authority et le Conseil national sud-africain de lutte contre le sida (SANAC).</w:t>
                    </w:r>
                  </w:p>
                </w:txbxContent>
              </v:textbox>
              <w10:wrap type="none"/>
            </v:shape>
            <w10:wrap type="topAndBottom"/>
          </v:group>
        </w:pict>
      </w:r>
    </w:p>
    <w:p>
      <w:pPr>
        <w:pStyle w:val="BodyText"/>
        <w:rPr>
          <w:rFonts w:ascii="Myriad Pro"/>
          <w:sz w:val="20"/>
        </w:rPr>
      </w:pPr>
    </w:p>
    <w:p>
      <w:pPr>
        <w:pStyle w:val="BodyText"/>
        <w:spacing w:before="4"/>
        <w:rPr>
          <w:rFonts w:ascii="Myriad Pro"/>
          <w:sz w:val="19"/>
        </w:rPr>
      </w:pPr>
    </w:p>
    <w:p>
      <w:pPr>
        <w:pStyle w:val="Heading2"/>
        <w:numPr>
          <w:ilvl w:val="1"/>
          <w:numId w:val="2"/>
        </w:numPr>
        <w:tabs>
          <w:tab w:pos="3612" w:val="left" w:leader="none"/>
        </w:tabs>
        <w:spacing w:line="240" w:lineRule="auto" w:before="44" w:after="0"/>
        <w:ind w:left="3611" w:right="0" w:hanging="720"/>
        <w:jc w:val="left"/>
        <w:rPr>
          <w:b/>
        </w:rPr>
      </w:pPr>
      <w:bookmarkStart w:name="_TOC_250006" w:id="6"/>
      <w:r>
        <w:rPr>
          <w:b/>
          <w:color w:val="231F20"/>
        </w:rPr>
        <w:t>Le droit de former et de rejoindre des</w:t>
      </w:r>
      <w:r>
        <w:rPr>
          <w:b/>
          <w:color w:val="231F20"/>
          <w:spacing w:val="-22"/>
        </w:rPr>
        <w:t> </w:t>
      </w:r>
      <w:bookmarkEnd w:id="6"/>
      <w:r>
        <w:rPr>
          <w:b/>
          <w:color w:val="231F20"/>
        </w:rPr>
        <w:t>organisations</w:t>
      </w:r>
    </w:p>
    <w:p>
      <w:pPr>
        <w:pStyle w:val="BodyText"/>
        <w:spacing w:line="266" w:lineRule="auto" w:before="117"/>
        <w:ind w:left="2891"/>
        <w:rPr>
          <w:b w:val="0"/>
        </w:rPr>
      </w:pPr>
      <w:r>
        <w:rPr>
          <w:b w:val="0"/>
          <w:color w:val="231F20"/>
        </w:rPr>
        <w:t>Les OPH jouent un rôle important dans la représentation du point de vue des personnes handicapées et peuvent servir de mécanisme permettant aux personnes handicapées d’apporter leur contribution à la vie politique et au service public grâce à leur implication dans les OPH. La CDPH reconnaît le droit des personnes handicapées à former et rejoindre des OPH à des fins de représentation, à tous les niveaux. Cela reflète le droit de chacun</w:t>
      </w:r>
    </w:p>
    <w:p>
      <w:pPr>
        <w:pStyle w:val="BodyText"/>
        <w:spacing w:line="266" w:lineRule="auto"/>
        <w:ind w:left="2891" w:right="272"/>
        <w:rPr>
          <w:b w:val="0"/>
        </w:rPr>
      </w:pPr>
      <w:r>
        <w:rPr>
          <w:b w:val="0"/>
          <w:color w:val="231F20"/>
        </w:rPr>
        <w:t>à fonder une association avec d'autres personnes autour d’un sujet particulier ou de rejoindre une association existante. Former une association et la rejoindre en tant que membre doit être une démarche volontaire : personne ne peut être forcé à adhérer à une association. Les États doivent mettre en place un cadre légal d’établissement des associations et protéger le droit de se constituer en association.</w:t>
      </w:r>
    </w:p>
    <w:p>
      <w:pPr>
        <w:pStyle w:val="BodyText"/>
        <w:spacing w:line="266" w:lineRule="auto" w:before="114"/>
        <w:ind w:left="2891" w:right="272"/>
        <w:rPr>
          <w:b w:val="0"/>
        </w:rPr>
      </w:pPr>
      <w:r>
        <w:rPr>
          <w:b w:val="0"/>
          <w:color w:val="231F20"/>
        </w:rPr>
        <w:t>Les OPH sont explicitement mentionnées dans la CDPH parce qu’il s’agit d’organisations établies par et pour des personnes qui sont elles-mêmes handicapées. Les associations constituées et dirigées par des personnes ayant fait l’expérience du handicap sont les mieux placées pour garantir que la voix des personnes handicapées sera entendue dans les processus de décision. Les OPH ont pris une part importante dans la rédaction de</w:t>
      </w:r>
    </w:p>
    <w:p>
      <w:pPr>
        <w:pStyle w:val="BodyText"/>
        <w:spacing w:line="266" w:lineRule="auto"/>
        <w:ind w:left="2891" w:right="79"/>
        <w:rPr>
          <w:b w:val="0"/>
        </w:rPr>
      </w:pPr>
      <w:r>
        <w:rPr>
          <w:b w:val="0"/>
          <w:color w:val="231F20"/>
        </w:rPr>
        <w:t>la CDPH et continuent à jouer un rôle essentiel dans l'application du traité au niveau national. Il est en effet essentiel que les OPH travaillent ensemble et avec d'autres acteurs de la société civile afin de défendre et de suivre les mesures nationales prises en faveur du handicap.</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18"/>
        </w:rPr>
      </w:pPr>
    </w:p>
    <w:p>
      <w:pPr>
        <w:spacing w:before="117"/>
        <w:ind w:left="2891" w:right="0"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184" coordorigin="9241,0" coordsize="2665,16838">
            <v:shape style="position:absolute;left:9241;top:0;width:2665;height:16838" type="#_x0000_t75" stroked="false">
              <v:imagedata r:id="rId12" o:title=""/>
            </v:shape>
            <v:rect style="position:absolute;left:11509;top:0;width:397;height:16838" filled="true" fillcolor="#f99d25" stroked="false">
              <v:fill type="solid"/>
            </v:rect>
            <v:shape style="position:absolute;left:9671;top:1248;width:1402;height:1402" coordorigin="9671,1248" coordsize="1402,1402" path="m10372,1248l10295,1252,10222,1264,10150,1283,10082,1310,10018,1343,9958,1383,9902,1428,9852,1479,9806,1534,9767,1595,9733,1659,9707,1727,9687,1798,9675,1872,9671,1948,9675,2025,9687,2099,9707,2170,9733,2238,9767,2302,9806,2362,9852,2418,9902,2468,9958,2514,10018,2553,10082,2587,10150,2613,10222,2633,10295,2645,10372,2649,10448,2645,10522,2633,10593,2613,10661,2587,10726,2553,10786,2514,10841,2468,10892,2418,10937,2362,10977,2302,11010,2238,11037,2170,11056,2099,11068,2025,11073,1948,11068,1872,11056,1798,11037,1727,11010,1659,10977,1595,10937,1534,10892,1479,10841,1428,10786,1383,10726,1343,10661,1310,10593,1283,10522,1264,10448,1252,10372,1248xe" filled="true" fillcolor="#f99d25" stroked="false">
              <v:path arrowok="t"/>
              <v:fill type="solid"/>
            </v:shape>
            <v:shape style="position:absolute;left:10320;top:1563;width:500;height:125" coordorigin="10320,1563" coordsize="500,125" path="m10771,1563l10369,1563,10350,1567,10334,1577,10324,1592,10320,1611,10320,1639,10324,1658,10334,1673,10350,1683,10369,1687,10771,1687,10790,1683,10806,1673,10816,1658,10820,1639,10820,1611,10816,1592,10806,1577,10790,1567,10771,1563xe" filled="true" fillcolor="#ffffff" stroked="false">
              <v:path arrowok="t"/>
              <v:fill type="solid"/>
            </v:shape>
            <v:shape style="position:absolute;left:10320;top:1883;width:500;height:125" coordorigin="10320,1883" coordsize="500,125" path="m10771,1883l10369,1883,10350,1887,10334,1897,10324,1913,10320,1932,10320,1959,10324,1978,10334,1994,10350,2004,10369,2008,10771,2008,10790,2004,10806,1994,10816,1978,10820,1959,10820,1932,10816,1913,10806,1897,10790,1887,10771,1883xe" filled="true" fillcolor="#ffffff" stroked="false">
              <v:path arrowok="t"/>
              <v:fill type="solid"/>
            </v:shape>
            <v:shape style="position:absolute;left:10320;top:2204;width:500;height:125" coordorigin="10320,2204" coordsize="500,125" path="m10771,2204l10369,2204,10350,2207,10334,2218,10324,2233,10320,2252,10320,2280,10324,2299,10334,2314,10350,2324,10369,2328,10771,2328,10790,2324,10806,2314,10816,2299,10820,2280,10820,2252,10816,2233,10806,2218,10790,2207,10771,2204xe" filled="true" fillcolor="#ffffff" stroked="false">
              <v:path arrowok="t"/>
              <v:fill type="solid"/>
            </v:shape>
            <v:shape style="position:absolute;left:9891;top:1431;width:370;height:963" type="#_x0000_t75" stroked="false">
              <v:imagedata r:id="rId21" o:title=""/>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F99D25" w:color="auto" w:val="clear"/>
                      </w:rPr>
                      <w:t> </w:t>
                    </w:r>
                    <w:r>
                      <w:rPr>
                        <w:rFonts w:ascii="Myriad Pro"/>
                        <w:color w:val="FFFFFF"/>
                        <w:sz w:val="26"/>
                        <w:shd w:fill="F99D25" w:color="auto" w:val="clear"/>
                      </w:rPr>
                      <w:t>15</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420" w:lineRule="exact" w:before="98" w:after="0"/>
        <w:ind w:left="853" w:right="5704" w:hanging="720"/>
        <w:jc w:val="left"/>
        <w:rPr>
          <w:b/>
        </w:rPr>
      </w:pPr>
      <w:r>
        <w:rPr/>
        <w:pict>
          <v:line style="position:absolute;mso-position-horizontal-relative:page;mso-position-vertical-relative:paragraph;z-index:3136;mso-wrap-distance-left:0;mso-wrap-distance-right:0" from="56.692902pt,50.536625pt" to="450.708902pt,50.536625pt" stroked="true" strokeweight="1.5pt" strokecolor="#f99d25">
            <w10:wrap type="topAndBottom"/>
          </v:line>
        </w:pict>
      </w:r>
      <w:bookmarkStart w:name="_TOC_250005" w:id="7"/>
      <w:r>
        <w:rPr>
          <w:b/>
          <w:color w:val="F99D25"/>
        </w:rPr>
        <w:t>RÉSUMÉ ET </w:t>
      </w:r>
      <w:r>
        <w:rPr>
          <w:b/>
          <w:color w:val="F99D25"/>
          <w:spacing w:val="-5"/>
        </w:rPr>
        <w:t>PRINCIPAUX </w:t>
      </w:r>
      <w:bookmarkEnd w:id="7"/>
      <w:r>
        <w:rPr>
          <w:b/>
          <w:color w:val="F99D25"/>
        </w:rPr>
        <w:t>ENSEIGNEMENTS</w:t>
      </w:r>
    </w:p>
    <w:p>
      <w:pPr>
        <w:pStyle w:val="BodyText"/>
        <w:spacing w:before="2"/>
        <w:rPr>
          <w:b/>
          <w:sz w:val="32"/>
        </w:rPr>
      </w:pPr>
    </w:p>
    <w:p>
      <w:pPr>
        <w:pStyle w:val="BodyText"/>
        <w:spacing w:line="266" w:lineRule="auto"/>
        <w:ind w:left="133" w:right="3100"/>
        <w:rPr>
          <w:b w:val="0"/>
        </w:rPr>
      </w:pPr>
      <w:r>
        <w:rPr>
          <w:b w:val="0"/>
          <w:color w:val="231F20"/>
        </w:rPr>
        <w:t>Les informations fournies dans ce module se concentrent sur la participation à la vie politique et publique et présentent les différents contextes dans lesquels l’inclusion des personnes handicapées doit être envisagée, conformément aux normes internationales relatives à l’inclusion.</w:t>
      </w:r>
    </w:p>
    <w:p>
      <w:pPr>
        <w:pStyle w:val="BodyText"/>
        <w:spacing w:line="266" w:lineRule="auto" w:before="114"/>
        <w:ind w:left="133" w:right="2841"/>
        <w:rPr>
          <w:b w:val="0"/>
        </w:rPr>
      </w:pPr>
      <w:r>
        <w:rPr>
          <w:b w:val="0"/>
          <w:color w:val="231F20"/>
        </w:rPr>
        <w:t>Les recommandations clés que les gouvernements doivent mettre en œuvre pour faciliter l’inclusion des personnes handicapées dans les processus politiques sont les suivantes:</w:t>
      </w:r>
    </w:p>
    <w:p>
      <w:pPr>
        <w:pStyle w:val="BodyText"/>
        <w:spacing w:line="264" w:lineRule="auto" w:before="19"/>
        <w:ind w:left="813" w:right="3047" w:hanging="341"/>
        <w:rPr>
          <w:b w:val="0"/>
        </w:rPr>
      </w:pPr>
      <w:r>
        <w:rPr>
          <w:rFonts w:ascii="Arial" w:hAnsi="Arial"/>
          <w:color w:val="F99D25"/>
          <w:sz w:val="26"/>
        </w:rPr>
        <w:t>► </w:t>
      </w:r>
      <w:r>
        <w:rPr>
          <w:b w:val="0"/>
          <w:color w:val="231F20"/>
        </w:rPr>
        <w:t>Examiner l’intégralité des cadres juridiques, y compris les codes électoraux, les dispositions relatives à la capacité juridique et les dispositions constitutionnelles, afin de garantir l'absence de tout conflit avec l’article 29 de la CDPH.</w:t>
      </w:r>
    </w:p>
    <w:p>
      <w:pPr>
        <w:pStyle w:val="BodyText"/>
        <w:spacing w:line="264" w:lineRule="auto" w:before="22"/>
        <w:ind w:left="813" w:right="3278" w:hanging="341"/>
        <w:rPr>
          <w:b w:val="0"/>
        </w:rPr>
      </w:pPr>
      <w:r>
        <w:rPr>
          <w:rFonts w:ascii="Arial" w:hAnsi="Arial"/>
          <w:color w:val="F99D25"/>
          <w:sz w:val="26"/>
        </w:rPr>
        <w:t>► </w:t>
      </w:r>
      <w:r>
        <w:rPr>
          <w:b w:val="0"/>
          <w:color w:val="231F20"/>
        </w:rPr>
        <w:t>Former les responsables des élections sur la façon d'accueillir efficacement les électeurs handicapés.</w:t>
      </w:r>
    </w:p>
    <w:p>
      <w:pPr>
        <w:pStyle w:val="BodyText"/>
        <w:spacing w:line="264" w:lineRule="auto" w:before="21"/>
        <w:ind w:left="813" w:right="2945" w:hanging="341"/>
        <w:rPr>
          <w:b w:val="0"/>
        </w:rPr>
      </w:pPr>
      <w:r>
        <w:rPr>
          <w:rFonts w:ascii="Arial" w:hAnsi="Arial"/>
          <w:color w:val="F99D25"/>
          <w:sz w:val="26"/>
        </w:rPr>
        <w:t>► </w:t>
      </w:r>
      <w:r>
        <w:rPr>
          <w:b w:val="0"/>
          <w:color w:val="231F20"/>
        </w:rPr>
        <w:t>Garantir que l’inscription sur les listes électorales n’est refusée à personne en raison du handicap.</w:t>
      </w:r>
    </w:p>
    <w:p>
      <w:pPr>
        <w:pStyle w:val="BodyText"/>
        <w:spacing w:line="264" w:lineRule="auto" w:before="21"/>
        <w:ind w:left="813" w:right="3741" w:hanging="341"/>
        <w:rPr>
          <w:b w:val="0"/>
        </w:rPr>
      </w:pPr>
      <w:r>
        <w:rPr>
          <w:rFonts w:ascii="Arial" w:hAnsi="Arial"/>
          <w:color w:val="F99D25"/>
          <w:sz w:val="26"/>
        </w:rPr>
        <w:t>► </w:t>
      </w:r>
      <w:r>
        <w:rPr>
          <w:b w:val="0"/>
          <w:color w:val="231F20"/>
        </w:rPr>
        <w:t>Concevoir une éducation civique permettant de traiter de l’inclusion des personnes handicapées dans la vie politique et publique.</w:t>
      </w:r>
    </w:p>
    <w:p>
      <w:pPr>
        <w:pStyle w:val="BodyText"/>
        <w:spacing w:line="264" w:lineRule="auto" w:before="21"/>
        <w:ind w:left="813" w:right="3159" w:hanging="341"/>
        <w:rPr>
          <w:b w:val="0"/>
        </w:rPr>
      </w:pPr>
      <w:r>
        <w:rPr>
          <w:rFonts w:ascii="Arial" w:hAnsi="Arial"/>
          <w:color w:val="F99D25"/>
          <w:sz w:val="26"/>
        </w:rPr>
        <w:t>► </w:t>
      </w:r>
      <w:r>
        <w:rPr>
          <w:b w:val="0"/>
          <w:color w:val="231F20"/>
        </w:rPr>
        <w:t>Inclure les organisations de personnes handicapées en tant que participants et experts dans les programmes d'éducation civique et d'éducation des électeurs.</w:t>
      </w:r>
    </w:p>
    <w:p>
      <w:pPr>
        <w:pStyle w:val="BodyText"/>
        <w:spacing w:line="264" w:lineRule="auto" w:before="21"/>
        <w:ind w:left="813" w:right="2957" w:hanging="341"/>
        <w:rPr>
          <w:b w:val="0"/>
        </w:rPr>
      </w:pPr>
      <w:r>
        <w:rPr>
          <w:rFonts w:ascii="Arial" w:hAnsi="Arial"/>
          <w:color w:val="F99D25"/>
          <w:sz w:val="26"/>
        </w:rPr>
        <w:t>► </w:t>
      </w:r>
      <w:r>
        <w:rPr>
          <w:b w:val="0"/>
          <w:color w:val="231F20"/>
        </w:rPr>
        <w:t>Fournir des informations sur l’inscription sur les listes électorales dans des formats accessibles aux personnes handicapées (personnes présentant un handicap visuel, sensoriel et intellectuel).</w:t>
      </w:r>
    </w:p>
    <w:p>
      <w:pPr>
        <w:pStyle w:val="BodyText"/>
        <w:spacing w:before="22"/>
        <w:ind w:left="473" w:right="374"/>
        <w:rPr>
          <w:b w:val="0"/>
        </w:rPr>
      </w:pPr>
      <w:r>
        <w:rPr>
          <w:rFonts w:ascii="Arial" w:hAnsi="Arial"/>
          <w:color w:val="F99D25"/>
          <w:sz w:val="26"/>
        </w:rPr>
        <w:t>► </w:t>
      </w:r>
      <w:r>
        <w:rPr>
          <w:b w:val="0"/>
          <w:color w:val="231F20"/>
        </w:rPr>
        <w:t>Mettre en œuvre des campagnes électorales accessibles.</w:t>
      </w:r>
    </w:p>
    <w:p>
      <w:pPr>
        <w:pStyle w:val="BodyText"/>
        <w:spacing w:line="264" w:lineRule="auto" w:before="47"/>
        <w:ind w:left="813" w:right="3624" w:hanging="341"/>
        <w:rPr>
          <w:b w:val="0"/>
        </w:rPr>
      </w:pPr>
      <w:r>
        <w:rPr>
          <w:rFonts w:ascii="Arial" w:hAnsi="Arial"/>
          <w:color w:val="F99D25"/>
          <w:sz w:val="26"/>
        </w:rPr>
        <w:t>► </w:t>
      </w:r>
      <w:r>
        <w:rPr>
          <w:b w:val="0"/>
          <w:color w:val="231F20"/>
        </w:rPr>
        <w:t>Concevoir des bureaux de vote accessibles aux personnes handicapées et s'assurer que ces dernières sont effectivement accueillies.</w:t>
      </w:r>
    </w:p>
    <w:p>
      <w:pPr>
        <w:pStyle w:val="BodyText"/>
        <w:spacing w:line="264" w:lineRule="auto" w:before="21"/>
        <w:ind w:left="813" w:right="3145" w:hanging="341"/>
        <w:rPr>
          <w:b w:val="0"/>
        </w:rPr>
      </w:pPr>
      <w:r>
        <w:rPr>
          <w:rFonts w:ascii="Arial" w:hAnsi="Arial"/>
          <w:color w:val="F99D25"/>
          <w:sz w:val="26"/>
        </w:rPr>
        <w:t>► </w:t>
      </w:r>
      <w:r>
        <w:rPr>
          <w:b w:val="0"/>
          <w:color w:val="231F20"/>
        </w:rPr>
        <w:t>Former les juges et les avocats à une représentation efficace dans les affaires de discrimination en raison du handicap dans le processus électoral.</w:t>
      </w:r>
    </w:p>
    <w:p>
      <w:pPr>
        <w:pStyle w:val="BodyText"/>
        <w:spacing w:line="264" w:lineRule="auto" w:before="21"/>
        <w:ind w:left="813" w:right="3056" w:hanging="341"/>
        <w:rPr>
          <w:b w:val="0"/>
        </w:rPr>
      </w:pPr>
      <w:r>
        <w:rPr>
          <w:rFonts w:ascii="Arial" w:hAnsi="Arial"/>
          <w:color w:val="F99D25"/>
          <w:sz w:val="26"/>
        </w:rPr>
        <w:t>► </w:t>
      </w:r>
      <w:r>
        <w:rPr>
          <w:b w:val="0"/>
          <w:color w:val="231F20"/>
        </w:rPr>
        <w:t>Développer des procédures de vote accessibles aux personnes handicapées, par exemple par la fourniture de bulletins tactiles pour les électeurs non voyants.</w:t>
      </w:r>
    </w:p>
    <w:p>
      <w:pPr>
        <w:pStyle w:val="BodyText"/>
        <w:spacing w:line="264" w:lineRule="auto" w:before="21"/>
        <w:ind w:left="813" w:right="2946" w:hanging="341"/>
        <w:rPr>
          <w:b w:val="0"/>
        </w:rPr>
      </w:pPr>
      <w:r>
        <w:rPr>
          <w:rFonts w:ascii="Arial" w:hAnsi="Arial"/>
          <w:color w:val="F99D25"/>
          <w:sz w:val="26"/>
        </w:rPr>
        <w:t>► </w:t>
      </w:r>
      <w:r>
        <w:rPr>
          <w:b w:val="0"/>
          <w:color w:val="231F20"/>
        </w:rPr>
        <w:t>Exiger que le suivi et l’observation du processus électoral incluent des évaluations de l’accessibilité à tous les stades.</w:t>
      </w:r>
    </w:p>
    <w:p>
      <w:pPr>
        <w:pStyle w:val="BodyText"/>
        <w:spacing w:line="264" w:lineRule="auto" w:before="21"/>
        <w:ind w:left="813" w:right="3199" w:hanging="341"/>
        <w:rPr>
          <w:b w:val="0"/>
        </w:rPr>
      </w:pPr>
      <w:r>
        <w:rPr>
          <w:rFonts w:ascii="Arial" w:hAnsi="Arial"/>
          <w:color w:val="F99D25"/>
          <w:sz w:val="26"/>
        </w:rPr>
        <w:t>► </w:t>
      </w:r>
      <w:r>
        <w:rPr>
          <w:b w:val="0"/>
          <w:color w:val="231F20"/>
        </w:rPr>
        <w:t>Mettre à disposition des mécanismes de plaintes électorales accessibles aux personnes handicapées cherchant réparation de la violation de leurs droits à la participation politique.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0"/>
        </w:rPr>
      </w:pPr>
    </w:p>
    <w:p>
      <w:pPr>
        <w:spacing w:before="0"/>
        <w:ind w:left="3937" w:right="374"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45424" coordorigin="0,0" coordsize="2665,16838">
            <v:shape style="position:absolute;left:0;top:0;width:2665;height:16838" type="#_x0000_t75" stroked="false">
              <v:imagedata r:id="rId16" o:title=""/>
            </v:shape>
            <v:rect style="position:absolute;left:0;top:0;width:397;height:16838" filled="true" fillcolor="#f99d25" stroked="false">
              <v:fill type="solid"/>
            </v:rect>
            <v:shape style="position:absolute;left:906;top:1247;width:1234;height:1234" coordorigin="906,1247" coordsize="1234,1234" path="m1523,1247l1446,1252,1371,1266,1300,1289,1233,1320,1171,1358,1113,1403,1062,1455,1017,1512,978,1574,948,1641,925,1712,911,1787,906,1864,911,1941,925,2016,948,2087,978,2154,1017,2216,1062,2274,1113,2325,1171,2370,1233,2409,1300,2439,1371,2462,1446,2476,1523,2481,1600,2476,1675,2462,1746,2439,1813,2409,1875,2370,1932,2325,1984,2274,2029,2216,2067,2154,2098,2087,2121,2016,2135,1941,2140,1864,2135,1787,2121,1712,2098,1641,2067,1574,2029,1512,1984,1455,1932,1403,1875,1358,1813,1320,1746,1289,1675,1266,1600,1252,1523,1247xe" filled="true" fillcolor="#f99d25" stroked="false">
              <v:path arrowok="t"/>
              <v:fill type="solid"/>
            </v:shape>
            <v:shape style="position:absolute;left:1118;top:1370;width:817;height:938" coordorigin="1118,1370" coordsize="817,938" path="m1762,1492l1728,1497,1543,1577,1490,1600,1438,1622,1412,1632,1385,1645,1362,1663,1353,1688,1353,2232,1371,2270,1413,2293,1466,2304,1513,2307,1544,2303,1574,2293,1603,2281,1912,2147,1924,2139,1932,2128,1935,2110,1935,1894,1633,1894,1633,1792,1832,1716,1480,1716,1459,1714,1439,1710,1422,1703,1410,1692,1458,1674,1544,1637,1631,1600,1718,1562,1732,1559,1775,1559,1774,1518,1774,1516,1762,1492xm1511,1370l1478,1382,1411,1412,1195,1506,1167,1518,1142,1531,1125,1552,1118,1584,1118,2096,1137,2146,1184,2173,1242,2183,1297,2185,1308,2180,1312,2166,1312,2148,1311,2129,1311,1687,1312,1673,1315,1661,1322,1647,1338,1626,1358,1611,1381,1600,1384,1599,1269,1599,1244,1597,1218,1591,1195,1582,1179,1570,1212,1560,1267,1536,1433,1463,1475,1445,1498,1437,1546,1437,1545,1382,1528,1371,1511,1370xm1935,1715l1836,1715,1836,1816,1633,1894,1935,1894,1935,1715xm1912,1556l1866,1573,1777,1610,1621,1678,1576,1698,1549,1710,1522,1715,1480,1716,1832,1716,1836,1715,1935,1715,1935,1588,1934,1577,1929,1567,1922,1559,1912,1556xm1687,1434l1677,1434,1641,1446,1572,1477,1484,1516,1394,1556,1317,1586,1269,1599,1384,1599,1405,1590,1690,1467,1694,1467,1701,1458,1695,1439,1683,1436,1687,1434xm1775,1559l1732,1559,1745,1565,1776,1575,1775,1559xm1694,1467l1690,1467,1693,1468,1694,1467xm1546,1437l1498,1437,1507,1440,1519,1445,1532,1450,1546,1453,1546,1437xe" filled="true" fillcolor="#ffffff" stroked="false">
              <v:path arrowok="t"/>
              <v:fill type="solid"/>
            </v:shape>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F99D25" w:color="auto" w:val="clear"/>
                      </w:rPr>
                      <w:t> </w:t>
                      <w:tab/>
                      <w:t>16</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3612" w:val="left" w:leader="none"/>
        </w:tabs>
        <w:spacing w:line="240" w:lineRule="auto" w:before="26" w:after="0"/>
        <w:ind w:left="3611" w:right="0" w:hanging="720"/>
        <w:jc w:val="left"/>
        <w:rPr>
          <w:b/>
        </w:rPr>
      </w:pPr>
      <w:r>
        <w:rPr/>
        <w:pict>
          <v:line style="position:absolute;mso-position-horizontal-relative:page;mso-position-vertical-relative:paragraph;z-index:3208;mso-wrap-distance-left:0;mso-wrap-distance-right:0" from="144.566895pt,29.548626pt" to="538.582895pt,29.548626pt" stroked="true" strokeweight="1.5pt" strokecolor="#f99d25">
            <w10:wrap type="topAndBottom"/>
          </v:line>
        </w:pict>
      </w:r>
      <w:bookmarkStart w:name="_TOC_250004" w:id="8"/>
      <w:bookmarkEnd w:id="8"/>
      <w:r>
        <w:rPr>
          <w:b/>
          <w:color w:val="F99D25"/>
        </w:rPr>
        <w:t>RESSOURCES UTILES</w:t>
      </w:r>
    </w:p>
    <w:p>
      <w:pPr>
        <w:pStyle w:val="BodyText"/>
        <w:spacing w:before="2"/>
        <w:rPr>
          <w:b/>
          <w:sz w:val="32"/>
        </w:rPr>
      </w:pPr>
    </w:p>
    <w:p>
      <w:pPr>
        <w:pStyle w:val="BodyText"/>
        <w:spacing w:line="266" w:lineRule="auto"/>
        <w:ind w:left="3291" w:right="113" w:hanging="400"/>
        <w:rPr>
          <w:b w:val="0"/>
        </w:rPr>
      </w:pPr>
      <w:r>
        <w:rPr>
          <w:rFonts w:ascii="Arial" w:hAnsi="Arial"/>
          <w:color w:val="231F20"/>
        </w:rPr>
        <w:t>W </w:t>
      </w:r>
      <w:r>
        <w:rPr>
          <w:b w:val="0"/>
          <w:color w:val="231F20"/>
        </w:rPr>
        <w:t>Comité des droits des personnes handicapées, Observation générale n° 1, Article 12 : Égalité de reconnaissance devant la loi (2014)</w:t>
      </w:r>
    </w:p>
    <w:p>
      <w:pPr>
        <w:pStyle w:val="BodyText"/>
        <w:spacing w:line="266" w:lineRule="auto" w:before="113"/>
        <w:ind w:left="3291" w:right="374" w:hanging="400"/>
        <w:rPr>
          <w:b w:val="0"/>
        </w:rPr>
      </w:pPr>
      <w:r>
        <w:rPr>
          <w:rFonts w:ascii="Arial" w:hAnsi="Arial"/>
          <w:color w:val="231F20"/>
        </w:rPr>
        <w:t>W </w:t>
      </w:r>
      <w:r>
        <w:rPr>
          <w:b w:val="0"/>
          <w:color w:val="231F20"/>
        </w:rPr>
        <w:t>Comité des droits des personnes handicapées, Communication n° 4/2011, Views adopted by the Committee at its tenth Session (2-13 sept. 2013),</w:t>
      </w:r>
    </w:p>
    <w:p>
      <w:pPr>
        <w:pStyle w:val="BodyText"/>
        <w:ind w:left="3291" w:right="374"/>
        <w:rPr>
          <w:b w:val="0"/>
        </w:rPr>
      </w:pPr>
      <w:r>
        <w:rPr>
          <w:b w:val="0"/>
          <w:color w:val="231F20"/>
        </w:rPr>
        <w:t>CRPD/ C/10/D/4/2011</w:t>
      </w:r>
    </w:p>
    <w:p>
      <w:pPr>
        <w:pStyle w:val="BodyText"/>
        <w:spacing w:line="266" w:lineRule="auto" w:before="142"/>
        <w:ind w:left="3291" w:hanging="400"/>
        <w:rPr>
          <w:b w:val="0"/>
        </w:rPr>
      </w:pPr>
      <w:r>
        <w:rPr>
          <w:rFonts w:ascii="Arial" w:hAnsi="Arial"/>
          <w:color w:val="231F20"/>
        </w:rPr>
        <w:t>W </w:t>
      </w:r>
      <w:r>
        <w:rPr>
          <w:b w:val="0"/>
          <w:color w:val="231F20"/>
        </w:rPr>
        <w:t>Comité des droits des personnes handicapées, Concluding Observations of the Committee on the Rights of Persons with Disabilities, Spain, (Sixième session, 2011), paragr. 48, ONU, Doc. CRPD/C/ESP/CO/1, disponible à l’adresse suivante : </w:t>
      </w:r>
      <w:hyperlink r:id="rId22">
        <w:r>
          <w:rPr>
            <w:b w:val="0"/>
            <w:color w:val="F99D25"/>
          </w:rPr>
          <w:t>http://www.</w:t>
        </w:r>
      </w:hyperlink>
      <w:r>
        <w:rPr>
          <w:b w:val="0"/>
          <w:color w:val="F99D25"/>
        </w:rPr>
        <w:t> </w:t>
      </w:r>
      <w:hyperlink r:id="rId22">
        <w:r>
          <w:rPr>
            <w:b w:val="0"/>
            <w:color w:val="F99D25"/>
          </w:rPr>
          <w:t>ohchr.org/EN/HRBodies/CRPD/Pages/Session6.aspx</w:t>
        </w:r>
      </w:hyperlink>
      <w:r>
        <w:rPr>
          <w:b w:val="0"/>
          <w:color w:val="231F20"/>
        </w:rPr>
        <w:t>.</w:t>
      </w:r>
    </w:p>
    <w:p>
      <w:pPr>
        <w:pStyle w:val="BodyText"/>
        <w:spacing w:line="266" w:lineRule="auto" w:before="113"/>
        <w:ind w:left="3291" w:right="113" w:hanging="400"/>
        <w:rPr>
          <w:b w:val="0"/>
        </w:rPr>
      </w:pPr>
      <w:r>
        <w:rPr>
          <w:rFonts w:ascii="Arial" w:hAnsi="Arial"/>
          <w:color w:val="231F20"/>
        </w:rPr>
        <w:t>W </w:t>
      </w:r>
      <w:r>
        <w:rPr>
          <w:b w:val="0"/>
          <w:color w:val="231F20"/>
        </w:rPr>
        <w:t>Haut-commissariat des Nations Unies aux droits de l’homme, Étude thématique sur la participation des personnes handicapées à la vie politique et à la vie publique (2011)</w:t>
      </w:r>
    </w:p>
    <w:p>
      <w:pPr>
        <w:spacing w:line="266" w:lineRule="auto" w:before="113"/>
        <w:ind w:left="3291" w:right="374" w:hanging="400"/>
        <w:jc w:val="left"/>
        <w:rPr>
          <w:b w:val="0"/>
          <w:sz w:val="22"/>
        </w:rPr>
      </w:pPr>
      <w:r>
        <w:rPr>
          <w:rFonts w:ascii="Arial" w:hAnsi="Arial"/>
          <w:color w:val="231F20"/>
          <w:sz w:val="22"/>
        </w:rPr>
        <w:t>W </w:t>
      </w:r>
      <w:r>
        <w:rPr>
          <w:b w:val="0"/>
          <w:color w:val="231F20"/>
          <w:sz w:val="22"/>
        </w:rPr>
        <w:t>Agence des droits fondamentaux de l’Union européenne, </w:t>
      </w:r>
      <w:r>
        <w:rPr>
          <w:b w:val="0"/>
          <w:i/>
          <w:color w:val="231F20"/>
          <w:sz w:val="22"/>
        </w:rPr>
        <w:t>Le droit à la participation </w:t>
      </w:r>
      <w:r>
        <w:rPr>
          <w:b w:val="0"/>
          <w:i/>
          <w:color w:val="231F20"/>
          <w:sz w:val="22"/>
        </w:rPr>
        <w:t>politique des personnes souffrant de troubles mentaux et des personnes handicapées mentales </w:t>
      </w:r>
      <w:r>
        <w:rPr>
          <w:b w:val="0"/>
          <w:color w:val="231F20"/>
          <w:sz w:val="22"/>
        </w:rPr>
        <w:t>(Octobre 2011).</w:t>
      </w:r>
    </w:p>
    <w:p>
      <w:pPr>
        <w:pStyle w:val="BodyText"/>
        <w:spacing w:line="266" w:lineRule="auto" w:before="113"/>
        <w:ind w:left="3291" w:right="374" w:hanging="400"/>
        <w:rPr>
          <w:b w:val="0"/>
        </w:rPr>
      </w:pPr>
      <w:r>
        <w:rPr>
          <w:rFonts w:ascii="Arial"/>
          <w:color w:val="231F20"/>
        </w:rPr>
        <w:t>W </w:t>
      </w:r>
      <w:r>
        <w:rPr>
          <w:b w:val="0"/>
          <w:color w:val="231F20"/>
        </w:rPr>
        <w:t>J. Lord et al, Facilitating an Equal Right to Vote for Persons with Disabilities 6 Human Rights Practice (Mars 2014).</w:t>
      </w:r>
    </w:p>
    <w:p>
      <w:pPr>
        <w:spacing w:line="266" w:lineRule="auto" w:before="113"/>
        <w:ind w:left="3291" w:right="374" w:hanging="400"/>
        <w:jc w:val="left"/>
        <w:rPr>
          <w:b w:val="0"/>
          <w:sz w:val="22"/>
        </w:rPr>
      </w:pPr>
      <w:r>
        <w:rPr>
          <w:rFonts w:ascii="Arial" w:hAnsi="Arial"/>
          <w:color w:val="231F20"/>
          <w:sz w:val="22"/>
        </w:rPr>
        <w:t>W </w:t>
      </w:r>
      <w:r>
        <w:rPr>
          <w:b w:val="0"/>
          <w:color w:val="231F20"/>
          <w:sz w:val="22"/>
        </w:rPr>
        <w:t>J. Lord et al., Human Rights. YES! </w:t>
      </w:r>
      <w:r>
        <w:rPr>
          <w:b w:val="0"/>
          <w:i/>
          <w:color w:val="231F20"/>
          <w:sz w:val="22"/>
        </w:rPr>
        <w:t>Action and Advocacy on the Rights of Persons with </w:t>
      </w:r>
      <w:r>
        <w:rPr>
          <w:b w:val="0"/>
          <w:i/>
          <w:color w:val="231F20"/>
          <w:sz w:val="22"/>
        </w:rPr>
        <w:t>Disabilities </w:t>
      </w:r>
      <w:r>
        <w:rPr>
          <w:b w:val="0"/>
          <w:color w:val="231F20"/>
          <w:sz w:val="22"/>
        </w:rPr>
        <w:t>31-43 (2e éd., 2012).</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19"/>
        </w:rPr>
      </w:pPr>
    </w:p>
    <w:p>
      <w:pPr>
        <w:spacing w:before="116"/>
        <w:ind w:left="2891" w:right="374" w:firstLine="0"/>
        <w:jc w:val="left"/>
        <w:rPr>
          <w:rFonts w:ascii="Myriad Pro" w:hAnsi="Myriad Pro"/>
          <w:sz w:val="16"/>
        </w:rPr>
      </w:pPr>
      <w:r>
        <w:rPr>
          <w:rFonts w:ascii="Myriad Pro" w:hAnsi="Myriad Pro"/>
          <w:color w:val="6D6E71"/>
          <w:sz w:val="16"/>
        </w:rPr>
        <w:t>Module 11 - PARTICIPATION À LA VIE POLITIQUE ET PUBLIQUE</w:t>
      </w:r>
    </w:p>
    <w:p>
      <w:pPr>
        <w:spacing w:after="0"/>
        <w:jc w:val="left"/>
        <w:rPr>
          <w:rFonts w:ascii="Myriad Pro" w:hAnsi="Myriad Pro"/>
          <w:sz w:val="16"/>
        </w:rPr>
        <w:sectPr>
          <w:pgSz w:w="11910" w:h="16840"/>
          <w:pgMar w:top="0" w:bottom="0" w:left="0" w:right="1000"/>
        </w:sectPr>
      </w:pPr>
    </w:p>
    <w:p>
      <w:pPr>
        <w:spacing w:before="57"/>
        <w:ind w:left="5054" w:right="1263"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bookmarkStart w:name="_TOC_250003" w:id="9"/>
      <w:r>
        <w:rPr>
          <w:b/>
          <w:color w:val="F99D25"/>
        </w:rPr>
        <w:t>ACTIVITÉS</w:t>
      </w:r>
      <w:r>
        <w:rPr>
          <w:b/>
          <w:color w:val="F99D25"/>
          <w:spacing w:val="12"/>
        </w:rPr>
        <w:t> </w:t>
      </w:r>
      <w:bookmarkEnd w:id="9"/>
      <w:r>
        <w:rPr>
          <w:b/>
          <w:color w:val="F99D25"/>
          <w:spacing w:val="-3"/>
        </w:rPr>
        <w:t>D'APPRENTISSAGE</w:t>
      </w:r>
    </w:p>
    <w:p>
      <w:pPr>
        <w:pStyle w:val="BodyText"/>
        <w:spacing w:before="1"/>
        <w:rPr>
          <w:b/>
          <w:sz w:val="39"/>
        </w:rPr>
      </w:pPr>
    </w:p>
    <w:p>
      <w:pPr>
        <w:pStyle w:val="Heading5"/>
      </w:pPr>
      <w:bookmarkStart w:name="_TOC_250002" w:id="10"/>
      <w:bookmarkEnd w:id="10"/>
      <w:r>
        <w:rPr>
          <w:color w:val="231F20"/>
        </w:rPr>
        <w:t>Fiche de cours du formateur – Participation à la vie politique et publique, Session 1</w:t>
      </w:r>
    </w:p>
    <w:p>
      <w:pPr>
        <w:pStyle w:val="BodyText"/>
        <w:spacing w:before="142"/>
        <w:ind w:left="133" w:right="1263"/>
        <w:rPr>
          <w:b w:val="0"/>
        </w:rPr>
      </w:pPr>
      <w:r>
        <w:rPr>
          <w:b w:val="0"/>
          <w:color w:val="231F20"/>
        </w:rPr>
        <w:t>Contenu technique 2.A. : Contexte</w:t>
      </w:r>
    </w:p>
    <w:p>
      <w:pPr>
        <w:pStyle w:val="BodyText"/>
        <w:spacing w:before="112"/>
        <w:ind w:left="473" w:right="1263"/>
        <w:rPr>
          <w:b w:val="0"/>
        </w:rPr>
      </w:pPr>
      <w:r>
        <w:rPr>
          <w:b w:val="0"/>
          <w:color w:val="231F20"/>
        </w:rPr>
        <w:t>Activité d'apprentissage 2.A : Barrières à la participation à la vie politique et publique</w:t>
      </w:r>
    </w:p>
    <w:p>
      <w:pPr>
        <w:pStyle w:val="BodyText"/>
        <w:rPr>
          <w:b w:val="0"/>
        </w:rPr>
      </w:pPr>
    </w:p>
    <w:p>
      <w:pPr>
        <w:pStyle w:val="BodyText"/>
        <w:spacing w:before="6"/>
        <w:rPr>
          <w:b w:val="0"/>
          <w:sz w:val="20"/>
        </w:rPr>
      </w:pPr>
    </w:p>
    <w:p>
      <w:pPr>
        <w:pStyle w:val="Heading5"/>
      </w:pPr>
      <w:bookmarkStart w:name="_TOC_250001" w:id="11"/>
      <w:bookmarkEnd w:id="11"/>
      <w:r>
        <w:rPr>
          <w:color w:val="231F20"/>
        </w:rPr>
        <w:t>Fiche de cours du formateur – Participation à la vie politique et publique, Session 2</w:t>
      </w:r>
    </w:p>
    <w:p>
      <w:pPr>
        <w:pStyle w:val="BodyText"/>
        <w:spacing w:before="142"/>
        <w:ind w:left="133" w:right="1263"/>
        <w:rPr>
          <w:b w:val="0"/>
        </w:rPr>
      </w:pPr>
      <w:r>
        <w:rPr>
          <w:b w:val="0"/>
          <w:color w:val="231F20"/>
        </w:rPr>
        <w:t>Contenu technique 2.C. : Mesures pour garantir des processus politiques inclusifs</w:t>
      </w:r>
    </w:p>
    <w:p>
      <w:pPr>
        <w:pStyle w:val="BodyText"/>
        <w:spacing w:before="112"/>
        <w:ind w:left="473" w:right="1263"/>
        <w:rPr>
          <w:b w:val="0"/>
        </w:rPr>
      </w:pPr>
      <w:r>
        <w:rPr>
          <w:b w:val="0"/>
          <w:color w:val="231F20"/>
        </w:rPr>
        <w:t>Activité d'apprentissage 2.C. : Mesures pour garantir des processus politiques inclusifs</w:t>
      </w:r>
    </w:p>
    <w:p>
      <w:pPr>
        <w:pStyle w:val="BodyText"/>
        <w:rPr>
          <w:b w:val="0"/>
        </w:rPr>
      </w:pPr>
    </w:p>
    <w:p>
      <w:pPr>
        <w:pStyle w:val="BodyText"/>
        <w:rPr>
          <w:b w:val="0"/>
        </w:rPr>
      </w:pPr>
    </w:p>
    <w:p>
      <w:pPr>
        <w:pStyle w:val="BodyText"/>
        <w:spacing w:before="5"/>
        <w:rPr>
          <w:b w:val="0"/>
          <w:sz w:val="19"/>
        </w:rPr>
      </w:pPr>
    </w:p>
    <w:p>
      <w:pPr>
        <w:spacing w:line="320" w:lineRule="exact" w:before="1"/>
        <w:ind w:left="133" w:right="1263" w:firstLine="0"/>
        <w:jc w:val="left"/>
        <w:rPr>
          <w:b/>
          <w:sz w:val="28"/>
        </w:rPr>
      </w:pPr>
      <w:r>
        <w:rPr>
          <w:b/>
          <w:color w:val="231F20"/>
          <w:sz w:val="28"/>
        </w:rPr>
        <w:t>Fiche de cours du formateur – Participation à la vie politique et publique, Session 1</w:t>
      </w:r>
    </w:p>
    <w:p>
      <w:pPr>
        <w:pStyle w:val="BodyText"/>
        <w:spacing w:before="1"/>
        <w:rPr>
          <w:b/>
          <w:sz w:val="29"/>
        </w:rPr>
      </w:pPr>
    </w:p>
    <w:tbl>
      <w:tblPr>
        <w:tblW w:w="0" w:type="auto"/>
        <w:jc w:val="left"/>
        <w:tblInd w:w="118" w:type="dxa"/>
        <w:tblBorders>
          <w:top w:val="single" w:sz="4" w:space="0" w:color="F99D25"/>
          <w:left w:val="single" w:sz="4" w:space="0" w:color="F99D25"/>
          <w:bottom w:val="single" w:sz="4" w:space="0" w:color="F99D25"/>
          <w:right w:val="single" w:sz="4" w:space="0" w:color="F99D25"/>
          <w:insideH w:val="single" w:sz="4" w:space="0" w:color="F99D25"/>
          <w:insideV w:val="single" w:sz="4" w:space="0" w:color="F99D25"/>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F99D25"/>
              <w:left w:val="nil"/>
              <w:right w:val="single" w:sz="8" w:space="0" w:color="F99D25"/>
            </w:tcBorders>
          </w:tcPr>
          <w:p>
            <w:pPr/>
          </w:p>
        </w:tc>
        <w:tc>
          <w:tcPr>
            <w:tcW w:w="1389" w:type="dxa"/>
            <w:tcBorders>
              <w:top w:val="single" w:sz="12" w:space="0" w:color="F99D25"/>
              <w:left w:val="single" w:sz="8" w:space="0" w:color="F99D25"/>
              <w:right w:val="single" w:sz="8" w:space="0" w:color="F99D25"/>
            </w:tcBorders>
            <w:shd w:val="clear" w:color="auto" w:fill="FFF2E3"/>
          </w:tcPr>
          <w:p>
            <w:pPr>
              <w:pStyle w:val="TableParagraph"/>
              <w:spacing w:line="220" w:lineRule="exact" w:before="72"/>
              <w:ind w:right="415"/>
              <w:rPr>
                <w:b/>
                <w:sz w:val="20"/>
              </w:rPr>
            </w:pPr>
            <w:r>
              <w:rPr>
                <w:b/>
                <w:color w:val="231F20"/>
                <w:sz w:val="20"/>
              </w:rPr>
              <w:t>Messages clés</w:t>
            </w:r>
          </w:p>
        </w:tc>
        <w:tc>
          <w:tcPr>
            <w:tcW w:w="5357" w:type="dxa"/>
            <w:tcBorders>
              <w:top w:val="single" w:sz="12" w:space="0" w:color="F99D25"/>
              <w:left w:val="single" w:sz="8" w:space="0" w:color="F99D25"/>
              <w:right w:val="nil"/>
            </w:tcBorders>
            <w:shd w:val="clear" w:color="auto" w:fill="FFF2E3"/>
          </w:tcPr>
          <w:p>
            <w:pPr>
              <w:pStyle w:val="TableParagraph"/>
              <w:spacing w:before="58"/>
              <w:rPr>
                <w:sz w:val="20"/>
              </w:rPr>
            </w:pPr>
            <w:r>
              <w:rPr>
                <w:color w:val="231F20"/>
                <w:sz w:val="20"/>
              </w:rPr>
              <w:t>Consulter le résumé et les principaux enseignements.</w:t>
            </w:r>
          </w:p>
        </w:tc>
      </w:tr>
      <w:tr>
        <w:trPr>
          <w:trHeight w:val="1117" w:hRule="exact"/>
        </w:trPr>
        <w:tc>
          <w:tcPr>
            <w:tcW w:w="1134" w:type="dxa"/>
            <w:tcBorders>
              <w:left w:val="nil"/>
              <w:right w:val="single" w:sz="8" w:space="0" w:color="F99D25"/>
            </w:tcBorders>
          </w:tcPr>
          <w:p>
            <w:pPr/>
          </w:p>
        </w:tc>
        <w:tc>
          <w:tcPr>
            <w:tcW w:w="1389" w:type="dxa"/>
            <w:tcBorders>
              <w:left w:val="single" w:sz="8" w:space="0" w:color="F99D25"/>
              <w:right w:val="single" w:sz="8" w:space="0" w:color="F99D25"/>
            </w:tcBorders>
            <w:shd w:val="clear" w:color="auto" w:fill="FFF2E3"/>
          </w:tcPr>
          <w:p>
            <w:pPr>
              <w:pStyle w:val="TableParagraph"/>
              <w:spacing w:before="27"/>
              <w:ind w:right="415"/>
              <w:rPr>
                <w:b/>
                <w:sz w:val="20"/>
              </w:rPr>
            </w:pPr>
            <w:r>
              <w:rPr>
                <w:b/>
                <w:color w:val="231F20"/>
                <w:sz w:val="20"/>
              </w:rPr>
              <w:t>Objectifs</w:t>
            </w:r>
          </w:p>
        </w:tc>
        <w:tc>
          <w:tcPr>
            <w:tcW w:w="5357" w:type="dxa"/>
            <w:tcBorders>
              <w:left w:val="single" w:sz="8" w:space="0" w:color="F99D25"/>
              <w:right w:val="nil"/>
            </w:tcBorders>
            <w:shd w:val="clear" w:color="auto" w:fill="FFF2E3"/>
          </w:tcPr>
          <w:p>
            <w:pPr>
              <w:pStyle w:val="TableParagraph"/>
              <w:rPr>
                <w:sz w:val="20"/>
              </w:rPr>
            </w:pPr>
            <w:r>
              <w:rPr>
                <w:color w:val="231F20"/>
                <w:sz w:val="20"/>
              </w:rPr>
              <w:t>À la fin de la session, les participants auront :</w:t>
            </w:r>
          </w:p>
          <w:p>
            <w:pPr>
              <w:pStyle w:val="TableParagraph"/>
              <w:numPr>
                <w:ilvl w:val="0"/>
                <w:numId w:val="7"/>
              </w:numPr>
              <w:tabs>
                <w:tab w:pos="217" w:val="left" w:leader="none"/>
              </w:tabs>
              <w:spacing w:line="220" w:lineRule="exact" w:before="50" w:after="0"/>
              <w:ind w:left="197" w:right="661" w:hanging="127"/>
              <w:jc w:val="left"/>
              <w:rPr>
                <w:sz w:val="20"/>
              </w:rPr>
            </w:pPr>
            <w:r>
              <w:rPr>
                <w:color w:val="231F20"/>
                <w:sz w:val="20"/>
              </w:rPr>
              <w:t>identifié les obstacles à la participation des personnes handicapées à la vie politique et publique ;</w:t>
            </w:r>
          </w:p>
          <w:p>
            <w:pPr>
              <w:pStyle w:val="TableParagraph"/>
              <w:numPr>
                <w:ilvl w:val="0"/>
                <w:numId w:val="7"/>
              </w:numPr>
              <w:tabs>
                <w:tab w:pos="217" w:val="left" w:leader="none"/>
              </w:tabs>
              <w:spacing w:line="240" w:lineRule="auto" w:before="42" w:after="0"/>
              <w:ind w:left="216" w:right="0" w:hanging="146"/>
              <w:jc w:val="left"/>
              <w:rPr>
                <w:sz w:val="20"/>
              </w:rPr>
            </w:pPr>
            <w:r>
              <w:rPr>
                <w:color w:val="231F20"/>
                <w:sz w:val="20"/>
              </w:rPr>
              <w:t>appliqué cet enseignement à leur contexte</w:t>
            </w:r>
            <w:r>
              <w:rPr>
                <w:color w:val="231F20"/>
                <w:spacing w:val="-13"/>
                <w:sz w:val="20"/>
              </w:rPr>
              <w:t> </w:t>
            </w:r>
            <w:r>
              <w:rPr>
                <w:color w:val="231F20"/>
                <w:sz w:val="20"/>
              </w:rPr>
              <w:t>local.</w:t>
            </w:r>
          </w:p>
        </w:tc>
      </w:tr>
      <w:tr>
        <w:trPr>
          <w:trHeight w:val="977" w:hRule="exact"/>
        </w:trPr>
        <w:tc>
          <w:tcPr>
            <w:tcW w:w="1134" w:type="dxa"/>
            <w:tcBorders>
              <w:left w:val="nil"/>
              <w:right w:val="single" w:sz="8" w:space="0" w:color="F99D25"/>
            </w:tcBorders>
            <w:shd w:val="clear" w:color="auto" w:fill="FFF2E3"/>
          </w:tcPr>
          <w:p>
            <w:pPr/>
          </w:p>
        </w:tc>
        <w:tc>
          <w:tcPr>
            <w:tcW w:w="1389" w:type="dxa"/>
            <w:tcBorders>
              <w:left w:val="single" w:sz="8" w:space="0" w:color="F99D25"/>
              <w:right w:val="single" w:sz="8" w:space="0" w:color="F99D25"/>
            </w:tcBorders>
            <w:shd w:val="clear" w:color="auto" w:fill="FFF2E3"/>
          </w:tcPr>
          <w:p>
            <w:pPr>
              <w:pStyle w:val="TableParagraph"/>
              <w:spacing w:line="220" w:lineRule="exact" w:before="49"/>
              <w:ind w:right="0"/>
              <w:rPr>
                <w:b/>
                <w:sz w:val="20"/>
              </w:rPr>
            </w:pPr>
            <w:r>
              <w:rPr>
                <w:b/>
                <w:color w:val="231F20"/>
                <w:sz w:val="20"/>
              </w:rPr>
              <w:t>Organisation de la classe</w:t>
            </w:r>
          </w:p>
        </w:tc>
        <w:tc>
          <w:tcPr>
            <w:tcW w:w="5357" w:type="dxa"/>
            <w:tcBorders>
              <w:left w:val="single" w:sz="8" w:space="0" w:color="F99D25"/>
              <w:right w:val="nil"/>
            </w:tcBorders>
            <w:shd w:val="clear" w:color="auto" w:fill="FFF2E3"/>
          </w:tcPr>
          <w:p>
            <w:pPr>
              <w:pStyle w:val="TableParagraph"/>
              <w:rPr>
                <w:sz w:val="20"/>
              </w:rPr>
            </w:pPr>
            <w:r>
              <w:rPr>
                <w:color w:val="231F20"/>
                <w:sz w:val="20"/>
              </w:rPr>
              <w:t>Tables pour petits groupes de 4.</w:t>
            </w:r>
          </w:p>
          <w:p>
            <w:pPr>
              <w:pStyle w:val="TableParagraph"/>
              <w:spacing w:line="220" w:lineRule="exact" w:before="50"/>
              <w:rPr>
                <w:sz w:val="20"/>
              </w:rPr>
            </w:pPr>
            <w:r>
              <w:rPr>
                <w:color w:val="231F20"/>
                <w:sz w:val="20"/>
              </w:rPr>
              <w:t>Table ronde/Cercle de chaises pour une discussion en classe entière.</w:t>
            </w:r>
          </w:p>
        </w:tc>
      </w:tr>
      <w:tr>
        <w:trPr>
          <w:trHeight w:val="1117" w:hRule="exact"/>
        </w:trPr>
        <w:tc>
          <w:tcPr>
            <w:tcW w:w="1134" w:type="dxa"/>
            <w:tcBorders>
              <w:left w:val="nil"/>
              <w:right w:val="single" w:sz="8" w:space="0" w:color="F99D25"/>
            </w:tcBorders>
            <w:shd w:val="clear" w:color="auto" w:fill="FFF2E3"/>
          </w:tcPr>
          <w:p>
            <w:pPr/>
          </w:p>
        </w:tc>
        <w:tc>
          <w:tcPr>
            <w:tcW w:w="1389" w:type="dxa"/>
            <w:tcBorders>
              <w:left w:val="single" w:sz="8" w:space="0" w:color="F99D25"/>
              <w:right w:val="single" w:sz="8" w:space="0" w:color="F99D25"/>
            </w:tcBorders>
            <w:shd w:val="clear" w:color="auto" w:fill="FFF2E3"/>
          </w:tcPr>
          <w:p>
            <w:pPr>
              <w:pStyle w:val="TableParagraph"/>
              <w:spacing w:before="27"/>
              <w:ind w:right="415"/>
              <w:rPr>
                <w:b/>
                <w:sz w:val="20"/>
              </w:rPr>
            </w:pPr>
            <w:r>
              <w:rPr>
                <w:b/>
                <w:color w:val="231F20"/>
                <w:sz w:val="20"/>
              </w:rPr>
              <w:t>Activité</w:t>
            </w:r>
          </w:p>
        </w:tc>
        <w:tc>
          <w:tcPr>
            <w:tcW w:w="5357" w:type="dxa"/>
            <w:tcBorders>
              <w:left w:val="single" w:sz="8" w:space="0" w:color="F99D25"/>
              <w:right w:val="nil"/>
            </w:tcBorders>
            <w:shd w:val="clear" w:color="auto" w:fill="FFF2E3"/>
          </w:tcPr>
          <w:p>
            <w:pPr>
              <w:pStyle w:val="TableParagraph"/>
              <w:spacing w:line="220" w:lineRule="exact" w:before="48"/>
              <w:rPr>
                <w:sz w:val="20"/>
              </w:rPr>
            </w:pPr>
            <w:r>
              <w:rPr>
                <w:color w:val="231F20"/>
                <w:sz w:val="20"/>
              </w:rPr>
              <w:t>20 min. – Présentation des obstacles à la participation des personnes handicapées à la vie politique et publique.</w:t>
            </w:r>
          </w:p>
          <w:p>
            <w:pPr>
              <w:pStyle w:val="TableParagraph"/>
              <w:spacing w:line="276" w:lineRule="auto" w:before="42"/>
              <w:ind w:right="285"/>
              <w:rPr>
                <w:sz w:val="20"/>
              </w:rPr>
            </w:pPr>
            <w:r>
              <w:rPr>
                <w:color w:val="231F20"/>
                <w:sz w:val="20"/>
              </w:rPr>
              <w:t>40 min. – Travail en groupes : Activité d'apprentissage 2.A. 30 min. – Retour d’expérience et discussion de synthèse.</w:t>
            </w:r>
          </w:p>
        </w:tc>
      </w:tr>
      <w:tr>
        <w:trPr>
          <w:trHeight w:val="1067" w:hRule="exact"/>
        </w:trPr>
        <w:tc>
          <w:tcPr>
            <w:tcW w:w="1134" w:type="dxa"/>
            <w:tcBorders>
              <w:left w:val="nil"/>
              <w:right w:val="single" w:sz="8" w:space="0" w:color="F99D25"/>
            </w:tcBorders>
          </w:tcPr>
          <w:p>
            <w:pPr/>
          </w:p>
        </w:tc>
        <w:tc>
          <w:tcPr>
            <w:tcW w:w="1389" w:type="dxa"/>
            <w:tcBorders>
              <w:left w:val="single" w:sz="8" w:space="0" w:color="F99D25"/>
              <w:right w:val="single" w:sz="8" w:space="0" w:color="F99D25"/>
            </w:tcBorders>
            <w:shd w:val="clear" w:color="auto" w:fill="FFF2E3"/>
          </w:tcPr>
          <w:p>
            <w:pPr>
              <w:pStyle w:val="TableParagraph"/>
              <w:spacing w:before="26"/>
              <w:ind w:right="415"/>
              <w:rPr>
                <w:b/>
                <w:sz w:val="20"/>
              </w:rPr>
            </w:pPr>
            <w:r>
              <w:rPr>
                <w:b/>
                <w:color w:val="231F20"/>
                <w:sz w:val="20"/>
              </w:rPr>
              <w:t>Durée</w:t>
            </w:r>
          </w:p>
        </w:tc>
        <w:tc>
          <w:tcPr>
            <w:tcW w:w="5357" w:type="dxa"/>
            <w:tcBorders>
              <w:left w:val="single" w:sz="8" w:space="0" w:color="F99D25"/>
              <w:right w:val="nil"/>
            </w:tcBorders>
            <w:shd w:val="clear" w:color="auto" w:fill="FFF2E3"/>
          </w:tcPr>
          <w:p>
            <w:pPr>
              <w:pStyle w:val="TableParagraph"/>
              <w:rPr>
                <w:sz w:val="20"/>
              </w:rPr>
            </w:pPr>
            <w:r>
              <w:rPr>
                <w:color w:val="231F20"/>
                <w:sz w:val="20"/>
              </w:rPr>
              <w:t>90 minutes</w:t>
            </w:r>
          </w:p>
        </w:tc>
      </w:tr>
      <w:tr>
        <w:trPr>
          <w:trHeight w:val="1060" w:hRule="exact"/>
        </w:trPr>
        <w:tc>
          <w:tcPr>
            <w:tcW w:w="1134" w:type="dxa"/>
            <w:tcBorders>
              <w:left w:val="nil"/>
              <w:right w:val="single" w:sz="8" w:space="0" w:color="F99D25"/>
            </w:tcBorders>
          </w:tcPr>
          <w:p>
            <w:pPr/>
          </w:p>
        </w:tc>
        <w:tc>
          <w:tcPr>
            <w:tcW w:w="1389" w:type="dxa"/>
            <w:tcBorders>
              <w:left w:val="single" w:sz="8" w:space="0" w:color="F99D25"/>
              <w:right w:val="single" w:sz="8" w:space="0" w:color="F99D25"/>
            </w:tcBorders>
            <w:shd w:val="clear" w:color="auto" w:fill="FFF2E3"/>
          </w:tcPr>
          <w:p>
            <w:pPr>
              <w:pStyle w:val="TableParagraph"/>
              <w:spacing w:line="220" w:lineRule="exact" w:before="48"/>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F99D25"/>
              <w:right w:val="nil"/>
            </w:tcBorders>
            <w:shd w:val="clear" w:color="auto" w:fill="FFF2E3"/>
          </w:tcPr>
          <w:p>
            <w:pPr>
              <w:pStyle w:val="TableParagraph"/>
              <w:spacing w:line="220" w:lineRule="exact" w:before="48"/>
              <w:rPr>
                <w:sz w:val="20"/>
              </w:rPr>
            </w:pPr>
            <w:r>
              <w:rPr>
                <w:color w:val="231F20"/>
                <w:sz w:val="20"/>
              </w:rPr>
              <w:t>Assurez-vous d'avoir assez de temps dans la partie 2 de l'activité d’apprentissage pour que chaque participant apporte sa contribution à la conversation.</w:t>
            </w:r>
          </w:p>
        </w:tc>
      </w:tr>
      <w:tr>
        <w:trPr>
          <w:trHeight w:val="977" w:hRule="exact"/>
        </w:trPr>
        <w:tc>
          <w:tcPr>
            <w:tcW w:w="1134" w:type="dxa"/>
            <w:tcBorders>
              <w:left w:val="nil"/>
              <w:right w:val="single" w:sz="8" w:space="0" w:color="F99D25"/>
            </w:tcBorders>
          </w:tcPr>
          <w:p>
            <w:pPr/>
          </w:p>
        </w:tc>
        <w:tc>
          <w:tcPr>
            <w:tcW w:w="1389" w:type="dxa"/>
            <w:tcBorders>
              <w:left w:val="single" w:sz="8" w:space="0" w:color="F99D25"/>
              <w:right w:val="single" w:sz="8" w:space="0" w:color="F99D25"/>
            </w:tcBorders>
            <w:shd w:val="clear" w:color="auto" w:fill="FFF2E3"/>
          </w:tcPr>
          <w:p>
            <w:pPr>
              <w:pStyle w:val="TableParagraph"/>
              <w:spacing w:line="220" w:lineRule="exact" w:before="48"/>
              <w:ind w:right="415"/>
              <w:rPr>
                <w:b/>
                <w:sz w:val="20"/>
              </w:rPr>
            </w:pPr>
            <w:r>
              <w:rPr>
                <w:b/>
                <w:color w:val="231F20"/>
                <w:sz w:val="20"/>
              </w:rPr>
              <w:t>Fiches de travail</w:t>
            </w:r>
          </w:p>
        </w:tc>
        <w:tc>
          <w:tcPr>
            <w:tcW w:w="5357" w:type="dxa"/>
            <w:tcBorders>
              <w:left w:val="single" w:sz="8" w:space="0" w:color="F99D25"/>
              <w:right w:val="nil"/>
            </w:tcBorders>
            <w:shd w:val="clear" w:color="auto" w:fill="FFF2E3"/>
          </w:tcPr>
          <w:p>
            <w:pPr>
              <w:pStyle w:val="TableParagraph"/>
              <w:spacing w:line="220" w:lineRule="exact" w:before="48"/>
              <w:ind w:right="285"/>
              <w:rPr>
                <w:sz w:val="20"/>
              </w:rPr>
            </w:pPr>
            <w:r>
              <w:rPr>
                <w:color w:val="231F20"/>
                <w:sz w:val="20"/>
              </w:rPr>
              <w:t>Activité d'apprentissage 2.A. : Barrières à la participation à la vie politique et publique</w:t>
            </w:r>
          </w:p>
        </w:tc>
      </w:tr>
      <w:tr>
        <w:trPr>
          <w:trHeight w:val="977" w:hRule="exact"/>
        </w:trPr>
        <w:tc>
          <w:tcPr>
            <w:tcW w:w="1134" w:type="dxa"/>
            <w:tcBorders>
              <w:left w:val="nil"/>
              <w:bottom w:val="single" w:sz="12" w:space="0" w:color="F99D25"/>
              <w:right w:val="single" w:sz="8" w:space="0" w:color="F99D25"/>
            </w:tcBorders>
          </w:tcPr>
          <w:p>
            <w:pPr/>
          </w:p>
        </w:tc>
        <w:tc>
          <w:tcPr>
            <w:tcW w:w="1389" w:type="dxa"/>
            <w:tcBorders>
              <w:left w:val="single" w:sz="8" w:space="0" w:color="F99D25"/>
              <w:bottom w:val="single" w:sz="12" w:space="0" w:color="F99D25"/>
              <w:right w:val="single" w:sz="8" w:space="0" w:color="F99D25"/>
            </w:tcBorders>
            <w:shd w:val="clear" w:color="auto" w:fill="FFF2E3"/>
          </w:tcPr>
          <w:p>
            <w:pPr>
              <w:pStyle w:val="TableParagraph"/>
              <w:spacing w:before="26"/>
              <w:ind w:right="415"/>
              <w:rPr>
                <w:b/>
                <w:sz w:val="20"/>
              </w:rPr>
            </w:pPr>
            <w:r>
              <w:rPr>
                <w:b/>
                <w:color w:val="231F20"/>
                <w:sz w:val="20"/>
              </w:rPr>
              <w:t>Supports</w:t>
            </w:r>
          </w:p>
        </w:tc>
        <w:tc>
          <w:tcPr>
            <w:tcW w:w="5357" w:type="dxa"/>
            <w:tcBorders>
              <w:left w:val="single" w:sz="8" w:space="0" w:color="F99D25"/>
              <w:bottom w:val="single" w:sz="12" w:space="0" w:color="F99D25"/>
              <w:right w:val="nil"/>
            </w:tcBorders>
            <w:shd w:val="clear" w:color="auto" w:fill="FFF2E3"/>
          </w:tcPr>
          <w:p>
            <w:pPr>
              <w:pStyle w:val="TableParagraph"/>
              <w:rPr>
                <w:sz w:val="20"/>
              </w:rPr>
            </w:pPr>
            <w:r>
              <w:rPr>
                <w:color w:val="231F20"/>
                <w:sz w:val="20"/>
              </w:rPr>
              <w:t>N/A</w:t>
            </w:r>
          </w:p>
        </w:tc>
      </w:tr>
    </w:tbl>
    <w:p>
      <w:pPr>
        <w:pStyle w:val="BodyText"/>
        <w:rPr>
          <w:b/>
          <w:sz w:val="20"/>
        </w:rPr>
      </w:pPr>
    </w:p>
    <w:p>
      <w:pPr>
        <w:pStyle w:val="BodyText"/>
        <w:rPr>
          <w:b/>
          <w:sz w:val="20"/>
        </w:rPr>
      </w:pPr>
    </w:p>
    <w:p>
      <w:pPr>
        <w:pStyle w:val="BodyText"/>
        <w:rPr>
          <w:b/>
          <w:sz w:val="20"/>
        </w:rPr>
      </w:pPr>
    </w:p>
    <w:p>
      <w:pPr>
        <w:pStyle w:val="BodyText"/>
        <w:spacing w:before="2"/>
        <w:rPr>
          <w:b/>
          <w:sz w:val="25"/>
        </w:rPr>
      </w:pPr>
    </w:p>
    <w:p>
      <w:pPr>
        <w:spacing w:after="0"/>
        <w:rPr>
          <w:sz w:val="25"/>
        </w:rPr>
        <w:sectPr>
          <w:pgSz w:w="11910" w:h="16840"/>
          <w:pgMar w:top="360" w:bottom="280" w:left="1000" w:right="1640"/>
        </w:sectPr>
      </w:pPr>
    </w:p>
    <w:p>
      <w:pPr>
        <w:spacing w:before="101"/>
        <w:ind w:left="3951" w:right="-3" w:firstLine="0"/>
        <w:jc w:val="left"/>
        <w:rPr>
          <w:rFonts w:ascii="Myriad Pro" w:hAnsi="Myriad Pro"/>
          <w:sz w:val="16"/>
        </w:rPr>
      </w:pPr>
      <w:r>
        <w:rPr/>
        <w:pict>
          <v:group style="position:absolute;margin-left:0pt;margin-top:0pt;width:595.3pt;height:841.9pt;mso-position-horizontal-relative:page;mso-position-vertical-relative:page;z-index:-45400" coordorigin="0,0" coordsize="11906,16838">
            <v:rect style="position:absolute;left:0;top:0;width:9241;height:16838" filled="true" fillcolor="#fff2e3" stroked="false">
              <v:fill type="solid"/>
            </v:rect>
            <v:shape style="position:absolute;left:9243;top:0;width:2663;height:16838" type="#_x0000_t75" stroked="false">
              <v:imagedata r:id="rId23" o:title=""/>
            </v:shape>
            <v:rect style="position:absolute;left:11509;top:0;width:397;height:16838" filled="true" fillcolor="#f99d25" stroked="false">
              <v:fill type="solid"/>
            </v:rect>
            <v:line style="position:absolute" from="1134,1946" to="9014,1946" stroked="true" strokeweight="1.5pt" strokecolor="#f99d25"/>
            <v:shape style="position:absolute;left:9773;top:1267;width:1206;height:1206" coordorigin="9773,1267" coordsize="1206,1206" path="m10376,1267l10300,1271,10228,1285,10158,1307,10093,1337,10032,1375,9976,1419,9926,1469,9881,1525,9844,1586,9814,1651,9792,1721,9778,1794,9773,1869,9778,1945,9792,2018,9814,2087,9844,2153,9881,2214,9926,2270,9976,2320,10032,2364,10093,2401,10158,2431,10228,2454,10300,2467,10376,2472,10452,2467,10524,2454,10594,2431,10659,2401,10720,2364,10776,2320,10827,2270,10871,2214,10908,2153,10938,2087,10960,2018,10974,1945,10979,1869,10974,1794,10960,1721,10938,1651,10908,1586,10871,1525,10827,1469,10776,1419,10720,1375,10659,1337,10594,1307,10524,1285,10452,1271,10376,1267xe" filled="true" fillcolor="#f99d25" stroked="false">
              <v:path arrowok="t"/>
              <v:fill type="solid"/>
            </v:shape>
            <v:shape style="position:absolute;left:9945;top:1425;width:882;height:877" coordorigin="9945,1425" coordsize="882,877" path="m10061,1452l10060,1452,10046,1455,10031,1461,10017,1468,10007,1474,9996,1482,9986,1491,9977,1501,9970,1511,9954,1540,9947,1568,9945,1599,9945,2102,9945,2125,9945,2160,9950,2192,9961,2224,9975,2246,9994,2265,10016,2281,10042,2293,10074,2299,10112,2301,10186,2300,10637,2300,10656,2300,10672,2299,10687,2296,10703,2291,10740,2271,10769,2241,10782,2216,10136,2216,10108,2215,10084,2209,10061,2196,10042,2175,10033,2153,10030,2128,10030,2102,10030,1715,10029,1667,10029,1652,10029,1624,10032,1599,10036,1587,10042,1576,10048,1567,10055,1559,10062,1553,10073,1546,10085,1540,10097,1537,10109,1534,10128,1533,10444,1533,10455,1533,10466,1524,10486,1503,10525,1464,10527,1462,10533,1456,10536,1454,10537,1453,10063,1453,10061,1452xm10796,1706l10784,1717,10760,1740,10717,1783,10714,1786,10712,1787,10711,1792,10711,2126,10707,2153,10698,2176,10683,2193,10665,2206,10652,2211,10640,2214,10627,2215,10168,2215,10136,2216,10782,2216,10789,2203,10796,2159,10796,2102,10796,1932,10796,1815,10797,1792,10797,1740,10796,1706xm10196,2038l10194,2041,10193,2042,10190,2057,10196,2056,10199,2055,10200,2054,10192,2054,10193,2048,10195,2043,10196,2038xm10249,1851l10238,1887,10220,1949,10203,2009,10196,2038,10195,2043,10193,2048,10192,2054,10204,2052,10396,1998,10373,1973,10323,1923,10273,1874,10249,1851xm10204,2052l10192,2054,10200,2054,10204,2052xm10597,1505l10589,1512,10577,1524,10556,1545,10271,1828,10282,1842,10306,1866,10344,1903,10383,1942,10406,1965,10419,1976,10446,1949,10730,1667,10741,1659,10744,1652,10721,1628,10672,1579,10623,1529,10597,1505xm10695,1425l10681,1427,10670,1433,10661,1441,10653,1448,10636,1465,10626,1475,10621,1482,10768,1629,10777,1621,10785,1613,10793,1604,10801,1596,10809,1589,10817,1580,10823,1569,10826,1556,10823,1542,10817,1531,10809,1522,10802,1515,10744,1458,10736,1449,10728,1442,10719,1434,10708,1427,10695,1425xm10444,1533l10128,1533,10148,1533,10160,1534,10317,1534,10411,1534,10444,1533xm10064,1451l10063,1451,10063,1453,10537,1453,10537,1452,10072,1452,10064,1451xm10315,1449l10083,1450,10072,1452,10537,1452,10537,1450,10315,1449xe" filled="true" fillcolor="#ffffff" stroked="false">
              <v:path arrowok="t"/>
              <v:fill type="solid"/>
            </v:shape>
            <v:shape style="position:absolute;left:1146;top:7840;width:822;height:822" coordorigin="1146,7840" coordsize="822,822" path="m1557,7840l1483,7846,1414,7865,1350,7896,1292,7936,1243,7986,1202,8043,1172,8107,1153,8177,1146,8251,1153,8325,1172,8394,1202,8458,1243,8515,1292,8565,1350,8605,1414,8636,1483,8655,1557,8662,1631,8655,1701,8636,1765,8605,1822,8565,1871,8515,1912,8458,1942,8394,1961,8325,1968,8251,1961,8177,1942,8107,1912,8043,1871,7986,1822,7936,1765,7896,1701,7865,1631,7846,1557,7840xe" filled="true" fillcolor="#f99d25" stroked="false">
              <v:path arrowok="t"/>
              <v:fill type="solid"/>
            </v:shape>
            <v:shape style="position:absolute;left:1209;top:7902;width:697;height:697" coordorigin="1209,7902" coordsize="697,697" path="m1557,7902l1487,7909,1422,7930,1362,7962,1311,8004,1268,8056,1236,8115,1216,8180,1209,8251,1216,8321,1236,8386,1268,8445,1311,8497,1362,8540,1422,8572,1487,8592,1557,8599,1627,8592,1693,8572,1752,8540,1753,8539,1557,8539,1481,8528,1412,8499,1354,8454,1309,8396,1279,8327,1269,8251,1279,8174,1309,8105,1354,8047,1412,8002,1481,7973,1557,7963,1753,7963,1752,7962,1693,7930,1627,7909,1557,7902xm1753,7963l1557,7963,1634,7973,1703,8002,1761,8047,1806,8105,1835,8174,1845,8251,1835,8327,1806,8396,1761,8454,1703,8499,1634,8528,1557,8539,1753,8539,1804,8497,1846,8445,1878,8386,1898,8321,1906,8251,1898,8180,1878,8115,1846,8056,1804,8004,1753,7963xm1557,8024l1485,8035,1423,8068,1374,8117,1342,8179,1330,8251,1342,8322,1374,8385,1423,8434,1485,8466,1557,8478,1629,8466,1691,8434,1710,8415,1557,8415,1493,8402,1441,8367,1406,8315,1393,8251,1406,8187,1441,8135,1493,8099,1557,8087,1710,8087,1691,8068,1629,8035,1557,8024xm1710,8087l1557,8087,1621,8099,1673,8135,1708,8187,1721,8251,1708,8315,1673,8367,1621,8402,1557,8415,1710,8415,1740,8385,1773,8322,1784,8251,1773,8179,1740,8117,1710,8087xm1557,8157l1521,8164,1491,8184,1471,8214,1464,8251,1471,8287,1491,8317,1521,8337,1557,8344,1594,8337,1623,8317,1643,8287,1651,8251,1643,8214,1623,8184,1594,8164,1557,8157xe" filled="true" fillcolor="#ffffff" stroked="false">
              <v:path arrowok="t"/>
              <v:fill type="solid"/>
            </v:shape>
            <v:shape style="position:absolute;left:1144;top:8931;width:822;height:822" type="#_x0000_t75" stroked="false">
              <v:imagedata r:id="rId24" o:title=""/>
            </v:shape>
            <v:shape style="position:absolute;left:1157;top:11023;width:806;height:927" coordorigin="1157,11023" coordsize="806,927" path="m1603,11100l1518,11100,1518,11146,1444,11161,1376,11188,1315,11227,1261,11276,1218,11334,1185,11399,1164,11470,1157,11547,1164,11619,1182,11687,1212,11750,1252,11806,1300,11855,1357,11894,1419,11924,1488,11943,1560,11949,1632,11943,1701,11924,1763,11894,1799,11869,1560,11869,1486,11861,1418,11837,1358,11799,1308,11749,1270,11689,1246,11621,1237,11547,1245,11473,1246,11472,1270,11404,1308,11345,1358,11295,1418,11256,1486,11232,1560,11224,1861,11224,1888,11198,1762,11198,1725,11179,1686,11164,1645,11153,1602,11146,1603,11100xm1861,11224l1560,11224,1634,11232,1702,11256,1762,11295,1812,11345,1850,11404,1874,11472,1875,11473,1883,11547,1874,11621,1850,11689,1812,11749,1762,11799,1702,11837,1634,11861,1560,11869,1799,11869,1820,11855,1868,11806,1908,11750,1938,11687,1956,11619,1963,11547,1954,11461,1928,11382,1887,11311,1833,11250,1861,11224xm1568,11472l1561,11472,1528,11479,1501,11497,1483,11524,1477,11557,1483,11590,1501,11617,1528,11635,1561,11641,1594,11635,1621,11617,1639,11590,1646,11557,1646,11545,1643,11534,1639,11524,1671,11475,1582,11475,1575,11473,1568,11472xm1755,11349l1582,11475,1671,11475,1755,11349xm1828,11139l1762,11198,1888,11198,1890,11196,1828,11139xm1652,11023l1463,11023,1463,11100,1652,11100,1652,11023xe" filled="true" fillcolor="#f99d25" stroked="false">
              <v:path arrowok="t"/>
              <v:fill type="solid"/>
            </v:shape>
            <v:shape style="position:absolute;left:1152;top:12088;width:822;height:822" coordorigin="1152,12088" coordsize="822,822" path="m1563,12088l1489,12094,1419,12114,1355,12144,1298,12184,1248,12234,1208,12291,1177,12355,1158,12425,1152,12499,1158,12573,1177,12642,1208,12706,1248,12763,1298,12813,1355,12854,1419,12884,1489,12903,1563,12910,1636,12903,1706,12884,1770,12854,1827,12813,1877,12763,1917,12706,1948,12642,1967,12573,1973,12499,1967,12425,1948,12355,1917,12291,1877,12234,1827,12184,1770,12144,1706,12114,1636,12094,1563,12088xe" filled="true" fillcolor="#f99d25" stroked="false">
              <v:path arrowok="t"/>
              <v:fill type="solid"/>
            </v:shape>
            <v:shape style="position:absolute;left:1252;top:12153;width:654;height:587" coordorigin="1252,12153" coordsize="654,587" path="m1691,12153l1660,12171,1657,12175,1657,12175,1654,12178,1568,12278,1552,12297,1542,12308,1536,12313,1533,12315,1520,12317,1516,12318,1486,12326,1456,12336,1426,12347,1398,12360,1382,12368,1380,12373,1369,12383,1353,12398,1336,12417,1320,12437,1307,12454,1291,12477,1272,12506,1258,12535,1252,12558,1252,12571,1254,12584,1257,12595,1263,12606,1269,12615,1279,12626,1290,12629,1282,12645,1272,12665,1264,12687,1260,12706,1263,12719,1269,12730,1278,12737,1290,12740,1307,12736,1325,12725,1358,12700,1364,12696,1374,12684,1430,12684,1439,12682,1471,12668,1508,12655,1554,12648,1782,12648,1771,12643,1394,12643,1389,12637,1386,12632,1394,12619,1413,12605,1434,12594,1448,12588,1451,12586,1311,12586,1299,12583,1297,12565,1302,12553,1322,12515,1355,12469,1390,12428,1418,12403,1421,12402,1423,12401,1432,12396,1455,12386,1469,12380,1481,12377,1545,12377,1546,12376,1546,12375,1549,12372,1588,12327,1591,12325,1590,12325,1593,12322,1657,12247,1661,12242,1663,12239,1667,12235,1695,12203,1705,12202,1774,12202,1757,12181,1725,12160,1691,12153xm1782,12648l1554,12648,1582,12649,1607,12649,1631,12651,1659,12655,1682,12658,1695,12660,1708,12665,1728,12675,1826,12722,1845,12730,1858,12681,1843,12676,1818,12665,1788,12651,1782,12648xm1430,12684l1374,12684,1378,12686,1395,12688,1412,12688,1430,12684xm1564,12600l1528,12602,1501,12607,1477,12615,1440,12630,1436,12632,1415,12641,1419,12643,1771,12643,1761,12638,1709,12616,1692,12613,1648,12606,1631,12604,1616,12602,1598,12601,1580,12601,1564,12600xm1479,12381l1476,12384,1461,12402,1436,12430,1415,12454,1393,12480,1350,12530,1340,12544,1327,12562,1317,12579,1311,12586,1451,12586,1470,12577,1490,12567,1382,12567,1391,12555,1401,12543,1412,12532,1452,12484,1453,12484,1480,12453,1484,12448,1485,12446,1492,12439,1492,12439,1496,12433,1497,12433,1502,12427,1501,12427,1506,12422,1507,12421,1509,12419,1540,12382,1479,12382,1479,12381xm1774,12202l1705,12202,1722,12215,1731,12222,1733,12226,1739,12236,1670,12316,1642,12348,1627,12364,1615,12379,1550,12454,1548,12456,1547,12457,1542,12463,1542,12463,1536,12470,1534,12473,1525,12482,1524,12484,1515,12493,1514,12495,1504,12503,1501,12505,1495,12508,1440,12538,1405,12556,1389,12565,1382,12567,1490,12567,1492,12566,1514,12554,1533,12540,1541,12535,1545,12532,1554,12522,1555,12520,1562,12512,1563,12511,1566,12507,1577,12495,1590,12480,1602,12466,1612,12454,1618,12448,1623,12442,1631,12432,1633,12431,1651,12410,1655,12406,1656,12404,1658,12400,1734,12400,1692,12362,1711,12341,1714,12337,1714,12337,1720,12330,1720,12329,1725,12324,1749,12297,1755,12289,1764,12279,1773,12269,1780,12260,1786,12247,1786,12233,1783,12220,1777,12207,1774,12202xm1734,12400l1658,12400,1664,12401,1664,12402,1672,12410,1673,12410,1677,12414,1754,12485,1893,12527,1906,12480,1778,12441,1734,12400xm1492,12439l1492,12439,1492,12439,1492,12439xm1545,12377l1481,12377,1479,12382,1540,12382,1544,12379,1545,12377xm1591,12324l1590,12325,1591,12325,1591,12324xe" filled="true" fillcolor="#ffffff" stroked="false">
              <v:path arrowok="t"/>
              <v:fill type="solid"/>
            </v:shape>
            <v:shape style="position:absolute;left:1146;top:13157;width:822;height:822" coordorigin="1146,13157" coordsize="822,822" path="m1557,13157l1483,13164,1413,13183,1349,13213,1292,13254,1242,13303,1202,13361,1171,13425,1152,13494,1146,13568,1152,13642,1171,13711,1202,13775,1242,13833,1292,13882,1349,13923,1413,13953,1483,13972,1557,13979,1630,13972,1700,13953,1764,13923,1821,13882,1871,13833,1911,13775,1942,13711,1961,13642,1967,13568,1961,13494,1942,13425,1911,13361,1871,13303,1821,13254,1764,13213,1700,13183,1630,13164,1557,13157xe" filled="true" fillcolor="#f99d25" stroked="false">
              <v:path arrowok="t"/>
              <v:fill type="solid"/>
            </v:shape>
            <v:shape style="position:absolute;left:1279;top:13271;width:511;height:304" coordorigin="1279,13271" coordsize="511,304" path="m1757,13355l1616,13355,1617,13359,1614,13360,1594,13375,1577,13386,1564,13394,1552,13402,1540,13409,1526,13416,1514,13423,1502,13429,1488,13436,1456,13452,1445,13457,1434,13462,1411,13471,1399,13475,1387,13479,1375,13483,1362,13486,1348,13490,1336,13493,1324,13495,1300,13500,1296,13503,1283,13516,1280,13524,1279,13531,1279,13539,1282,13552,1290,13563,1300,13571,1313,13574,1334,13572,1356,13568,1377,13562,1406,13554,1414,13552,1421,13549,1447,13540,1477,13528,1506,13515,1531,13502,1601,13462,1614,13454,1625,13447,1668,13419,1732,13419,1741,13396,1757,13355xm1732,13419l1668,13419,1672,13422,1676,13426,1679,13431,1701,13457,1705,13460,1710,13467,1713,13470,1722,13444,1732,13419xm1789,13271l1759,13275,1593,13302,1581,13304,1573,13305,1574,13309,1591,13328,1595,13332,1612,13352,1615,13355,1616,13355,1757,13355,1760,13347,1774,13311,1780,13295,1786,13279,1789,13271xe" filled="true" fillcolor="#ffffff" stroked="false">
              <v:path arrowok="t"/>
              <v:fill type="solid"/>
            </v:shape>
            <v:shape style="position:absolute;left:1640;top:13488;width:124;height:360" type="#_x0000_t75" stroked="false">
              <v:imagedata r:id="rId25" o:title=""/>
            </v:shape>
            <v:shape style="position:absolute;left:1475;top:13568;width:124;height:280" type="#_x0000_t75" stroked="false">
              <v:imagedata r:id="rId26" o:title=""/>
            </v:shape>
            <v:shape style="position:absolute;left:1309;top:13648;width:124;height:200" type="#_x0000_t75" stroked="false">
              <v:imagedata r:id="rId27" o:title=""/>
            </v:shape>
            <v:shape style="position:absolute;left:1145;top:14131;width:822;height:822" coordorigin="1145,14131" coordsize="822,822" path="m1556,14131l1482,14138,1412,14157,1348,14187,1291,14228,1241,14277,1201,14335,1170,14399,1151,14468,1145,14542,1151,14616,1170,14685,1201,14749,1241,14807,1291,14856,1348,14897,1412,14927,1482,14946,1556,14953,1629,14946,1699,14927,1763,14897,1820,14856,1870,14807,1910,14749,1941,14685,1960,14616,1967,14542,1960,14468,1941,14399,1910,14335,1870,14277,1820,14228,1763,14187,1699,14157,1629,14138,1556,14131xe" filled="true" fillcolor="#f99d25" stroked="false">
              <v:path arrowok="t"/>
              <v:fill type="solid"/>
            </v:shape>
            <v:line style="position:absolute" from="1452,14377" to="1669,14377" stroked="true" strokeweight="1.827pt" strokecolor="#ffffff"/>
            <v:line style="position:absolute" from="1452,14557" to="1669,14557" stroked="true" strokeweight="1.824pt" strokecolor="#ffffff"/>
            <v:line style="position:absolute" from="1452,14467" to="1669,14467" stroked="true" strokeweight="1.823pt" strokecolor="#ffffff"/>
            <v:line style="position:absolute" from="1452,14647" to="1670,14647" stroked="true" strokeweight="1.846pt" strokecolor="#ffffff"/>
            <v:shape style="position:absolute;left:1350;top:14260;width:403;height:518" coordorigin="1350,14260" coordsize="403,518" path="m1680,14260l1422,14260,1407,14262,1394,14266,1382,14272,1371,14281,1362,14292,1356,14304,1351,14318,1350,14332,1350,14706,1351,14720,1356,14734,1362,14746,1371,14756,1371,14757,1382,14765,1394,14772,1407,14776,1422,14778,1680,14778,1695,14776,1708,14772,1721,14765,1731,14756,1740,14746,1744,14739,1413,14739,1404,14735,1398,14729,1398,14729,1392,14723,1389,14715,1389,14323,1392,14315,1404,14303,1413,14299,1744,14299,1740,14292,1731,14281,1731,14281,1721,14272,1708,14266,1695,14262,1680,14260xm1744,14299l1690,14299,1698,14303,1704,14309,1704,14309,1710,14315,1714,14323,1714,14715,1710,14723,1698,14735,1690,14739,1744,14739,1747,14734,1751,14720,1752,14706,1752,14332,1751,14318,1747,14304,1744,14299xm1398,14729l1398,14729,1398,14729,1398,14729xe" filled="true" fillcolor="#ffffff" stroked="false">
              <v:path arrowok="t"/>
              <v:fill type="solid"/>
            </v:shape>
            <v:shape style="position:absolute;left:-19;top:16526;width:684;height:312" coordorigin="-19,16526" coordsize="684,312" path="m1233,14776l1320,14776,1320,14718,1321,14715,1328,14711,1336,14702,1341,14697,1345,14689,1349,14682,1356,14659,1360,14642,1367,14621,1386,14587,1413,14548,1419,14538,1426,14527,1428,14514,1424,14502,1413,14494,1401,14496,1391,14503,1382,14510,1370,14522,1358,14535,1346,14548,1333,14559,1326,14564,1318,14568,1307,14568,1306,14548,1315,14534,1325,14524,1330,14519,1331,14464,1314,14469,1295,14481,1277,14496,1262,14507,1237,14524,1223,14536,1216,14551,1214,14574,1214,14602,1214,14647,1214,14690,1215,14714,1233,14776xm1880,14776l1792,14776,1792,14718,1791,14715,1784,14711,1776,14702,1772,14697,1767,14689,1763,14682,1756,14659,1752,14642,1745,14621,1726,14587,1700,14548,1693,14538,1687,14527,1684,14514,1688,14502,1699,14494,1711,14496,1721,14503,1730,14510,1742,14522,1754,14535,1766,14548,1779,14559,1786,14564,1794,14568,1806,14568,1806,14548,1797,14534,1787,14524,1782,14519,1781,14464,1798,14469,1817,14481,1835,14496,1850,14507,1875,14524,1889,14536,1896,14551,1898,14574,1898,14602,1898,14647,1898,14690,1897,14714,1880,14776xe" filled="false" stroked="true" strokeweight=".966pt" strokecolor="#f99d25">
              <v:path arrowok="t"/>
            </v:shape>
            <v:shape style="position:absolute;left:1214;top:14464;width:215;height:312" coordorigin="1214,14464" coordsize="215,312" path="m1331,14464l1314,14469,1295,14481,1262,14507,1237,14524,1223,14536,1216,14551,1214,14574,1214,14690,1215,14714,1233,14776,1320,14776,1320,14718,1321,14715,1328,14711,1341,14697,1345,14689,1349,14682,1356,14659,1360,14642,1367,14621,1386,14587,1399,14568,1318,14568,1307,14568,1306,14559,1307,14548,1315,14534,1325,14524,1330,14519,1331,14464xm1413,14494l1401,14496,1391,14503,1382,14510,1370,14522,1358,14535,1346,14548,1333,14559,1326,14564,1318,14568,1399,14568,1413,14548,1419,14538,1426,14527,1428,14514,1424,14502,1413,14494xe" filled="true" fillcolor="#ffffff" stroked="false">
              <v:path arrowok="t"/>
              <v:fill type="solid"/>
            </v:shape>
            <v:shape style="position:absolute;left:1684;top:14464;width:215;height:312" coordorigin="1684,14464" coordsize="215,312" path="m1699,14494l1688,14502,1684,14514,1687,14527,1693,14538,1700,14548,1726,14587,1745,14621,1752,14642,1756,14659,1763,14682,1767,14689,1772,14697,1784,14711,1791,14715,1792,14718,1792,14776,1880,14776,1897,14714,1898,14690,1898,14574,1897,14568,1794,14568,1786,14564,1779,14559,1766,14548,1754,14535,1742,14522,1730,14510,1721,14503,1711,14496,1699,14494xm1781,14464l1782,14519,1787,14524,1797,14534,1806,14548,1806,14559,1806,14568,1794,14568,1897,14568,1896,14551,1889,14536,1875,14524,1850,14507,1817,14481,1798,14469,1781,14464xe" filled="true" fillcolor="#ffffff" stroked="false">
              <v:path arrowok="t"/>
              <v:fill type="solid"/>
            </v:shape>
            <v:shape style="position:absolute;left:1141;top:9893;width:841;height:841" type="#_x0000_t75" stroked="false">
              <v:imagedata r:id="rId28" o:title=""/>
            </v:shape>
            <v:shape style="position:absolute;left:1292;top:9944;width:317;height:294" type="#_x0000_t75" stroked="false">
              <v:imagedata r:id="rId29" o:title=""/>
            </v:shape>
            <v:shape style="position:absolute;left:1145;top:6815;width:822;height:822" coordorigin="1145,6815" coordsize="822,822" path="m1556,6815l1482,6822,1412,6841,1348,6871,1291,6912,1241,6961,1201,7019,1170,7083,1151,7152,1145,7226,1151,7300,1170,7370,1201,7434,1241,7491,1291,7540,1348,7581,1412,7611,1482,7630,1556,7637,1629,7630,1699,7611,1763,7581,1820,7540,1870,7491,1910,7434,1941,7370,1960,7300,1967,7226,1960,7152,1941,7083,1910,7019,1870,6961,1820,6912,1763,6871,1699,6841,1629,6822,1556,6815xe" filled="true" fillcolor="#f99d25" stroked="false">
              <v:path arrowok="t"/>
              <v:fill type="solid"/>
            </v:shape>
            <v:shape style="position:absolute;left:1257;top:6927;width:599;height:556" coordorigin="1257,6927" coordsize="599,556" path="m1676,6927l1657,6928,1640,6932,1624,6937,1610,6943,1598,6949,1587,6957,1576,6965,1567,6974,1561,6979,1554,6987,1549,6992,1543,7002,1530,7023,1521,7047,1515,7072,1513,7099,1515,7122,1517,7131,1515,7138,1503,7150,1262,7391,1258,7392,1257,7399,1257,7443,1274,7457,1281,7465,1296,7482,1383,7482,1392,7476,1407,7461,1421,7446,1427,7438,1299,7438,1299,7398,1299,7398,1299,7394,1303,7394,1455,7241,1493,7203,1513,7184,1832,7184,1840,7169,1847,7150,1852,7130,1855,7110,1855,7096,1735,7096,1709,7094,1700,7088,1692,7079,1686,7068,1684,7055,1694,7028,1717,7014,1834,7014,1822,6996,1808,6979,1793,6965,1776,6953,1757,6943,1737,6934,1718,6929,1698,6927,1676,6927xm1513,7225l1497,7241,1329,7409,1314,7424,1306,7432,1299,7438,1427,7438,1427,7397,1470,7397,1470,7354,1513,7354,1513,7311,1597,7311,1606,7304,1622,7289,1637,7273,1645,7264,1718,7264,1733,7262,1771,7245,1792,7229,1513,7229,1513,7225xm1299,7397l1299,7398,1299,7398,1299,7397xm1303,7394l1299,7394,1299,7397,1303,7394xm1718,7264l1645,7264,1657,7266,1665,7267,1675,7268,1692,7268,1718,7264xm1797,7225l1513,7225,1513,7229,1792,7229,1797,7225xm1832,7184l1513,7184,1513,7225,1513,7225,1797,7225,1805,7219,1830,7187,1832,7184xm1834,7014l1717,7014,1744,7016,1765,7037,1768,7063,1756,7084,1735,7096,1855,7096,1855,7082,1851,7059,1845,7037,1835,7016,1834,7014xe" filled="true" fillcolor="#ffffff" stroked="false">
              <v:path arrowok="t"/>
              <v:fill type="solid"/>
            </v:shape>
            <w10:wrap type="none"/>
          </v:group>
        </w:pict>
      </w:r>
      <w:r>
        <w:rPr>
          <w:rFonts w:ascii="Myriad Pro" w:hAnsi="Myriad Pro"/>
          <w:color w:val="6D6E71"/>
          <w:sz w:val="16"/>
        </w:rPr>
        <w:t>Module 11 - </w:t>
      </w:r>
      <w:r>
        <w:rPr>
          <w:rFonts w:ascii="Myriad Pro" w:hAnsi="Myriad Pro"/>
          <w:color w:val="6D6E71"/>
          <w:spacing w:val="-4"/>
          <w:sz w:val="16"/>
        </w:rPr>
        <w:t>PARTICIPATION </w:t>
      </w:r>
      <w:r>
        <w:rPr>
          <w:rFonts w:ascii="Myriad Pro" w:hAnsi="Myriad Pro"/>
          <w:color w:val="6D6E71"/>
          <w:sz w:val="16"/>
        </w:rPr>
        <w:t>À LA VIE POLITIQUE ET PUBLIQUE</w:t>
      </w:r>
    </w:p>
    <w:p>
      <w:pPr>
        <w:pStyle w:val="Heading4"/>
        <w:tabs>
          <w:tab w:pos="1093" w:val="left" w:leader="none"/>
        </w:tabs>
        <w:spacing w:before="58"/>
      </w:pPr>
      <w:r>
        <w:rPr/>
        <w:br w:type="column"/>
      </w:r>
      <w:r>
        <w:rPr>
          <w:color w:val="FFFFFF"/>
          <w:spacing w:val="21"/>
          <w:shd w:fill="F99D25" w:color="auto" w:val="clear"/>
        </w:rPr>
        <w:t> </w:t>
      </w:r>
      <w:r>
        <w:rPr>
          <w:color w:val="FFFFFF"/>
          <w:shd w:fill="F99D25" w:color="auto" w:val="clear"/>
        </w:rPr>
        <w:t>17</w:t>
        <w:tab/>
      </w:r>
    </w:p>
    <w:p>
      <w:pPr>
        <w:spacing w:after="0"/>
        <w:sectPr>
          <w:type w:val="continuous"/>
          <w:pgSz w:w="11910" w:h="16840"/>
          <w:pgMar w:top="1600" w:bottom="280" w:left="1000" w:right="1640"/>
          <w:cols w:num="2" w:equalWidth="0">
            <w:col w:w="8015" w:space="40"/>
            <w:col w:w="1215"/>
          </w:cols>
        </w:sectPr>
      </w:pPr>
    </w:p>
    <w:p>
      <w:pPr>
        <w:spacing w:before="57"/>
        <w:ind w:left="1252" w:right="1263"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32.7pt;mso-position-horizontal-relative:page;mso-position-vertical-relative:paragraph;z-index:3304;mso-wrap-distance-left:0;mso-wrap-distance-right:0" type="#_x0000_t202" filled="true" fillcolor="#231f20" stroked="false">
            <v:textbox inset="0,0,0,0">
              <w:txbxContent>
                <w:p>
                  <w:pPr>
                    <w:spacing w:line="254" w:lineRule="auto" w:before="32"/>
                    <w:ind w:left="3496" w:right="199" w:hanging="3277"/>
                    <w:jc w:val="left"/>
                    <w:rPr>
                      <w:rFonts w:ascii="Myriad Pro" w:hAnsi="Myriad Pro"/>
                      <w:b/>
                      <w:sz w:val="22"/>
                    </w:rPr>
                  </w:pPr>
                  <w:r>
                    <w:rPr>
                      <w:rFonts w:ascii="Myriad Pro" w:hAnsi="Myriad Pro"/>
                      <w:b/>
                      <w:color w:val="FFFFFF"/>
                      <w:sz w:val="22"/>
                    </w:rPr>
                    <w:t>Activité d'apprentissage 2.A. : Barrières à la participation à la vie politique et publique</w:t>
                  </w:r>
                </w:p>
              </w:txbxContent>
            </v:textbox>
            <v:fill type="solid"/>
            <w10:wrap type="topAndBottom"/>
          </v:shape>
        </w:pict>
      </w:r>
    </w:p>
    <w:p>
      <w:pPr>
        <w:pStyle w:val="BodyText"/>
        <w:spacing w:before="4"/>
        <w:rPr>
          <w:rFonts w:ascii="Myriad Pro"/>
          <w:sz w:val="9"/>
        </w:rPr>
      </w:pPr>
    </w:p>
    <w:p>
      <w:pPr>
        <w:pStyle w:val="Heading6"/>
        <w:spacing w:line="256" w:lineRule="auto"/>
      </w:pPr>
      <w:r>
        <w:rPr>
          <w:i/>
          <w:color w:val="231F20"/>
        </w:rPr>
        <w:t>Objectif : Identifier les obstacles à la participation des personnes handicapées à la </w:t>
      </w:r>
      <w:r>
        <w:rPr>
          <w:color w:val="231F20"/>
        </w:rPr>
        <w:t>vie politique et publique. Appliquer cet enseignement à leur contexte local.</w:t>
      </w:r>
    </w:p>
    <w:p>
      <w:pPr>
        <w:pStyle w:val="BodyText"/>
        <w:spacing w:line="266" w:lineRule="auto" w:before="123"/>
        <w:ind w:left="1251" w:right="321"/>
        <w:rPr>
          <w:b w:val="0"/>
        </w:rPr>
      </w:pPr>
      <w:r>
        <w:rPr>
          <w:b w:val="0"/>
          <w:color w:val="231F20"/>
        </w:rPr>
        <w:t>« Les stéréotypes concernant le handicap conduisent souvent à une discrimination envers les personnes handicapées au cours du processus de prise de décision en général, et au cours des processus spécifiques du vote, de la candidature aux élections ou de la participation à des initiatives d’information du public par les partis politiques.</w:t>
      </w:r>
    </w:p>
    <w:p>
      <w:pPr>
        <w:pStyle w:val="BodyText"/>
        <w:spacing w:line="266" w:lineRule="auto"/>
        <w:ind w:left="1251" w:right="130"/>
        <w:rPr>
          <w:b w:val="0"/>
          <w:sz w:val="13"/>
        </w:rPr>
      </w:pPr>
      <w:r>
        <w:rPr>
          <w:b w:val="0"/>
          <w:color w:val="231F20"/>
        </w:rPr>
        <w:t>Les gouvernements ont un rôle important, qui consiste à garantir que les personnes handicapées peuvent participer aux processus de prise de décision de toutes sortes et qui s’étend non seulement aux organismes de gestion des élections, mais aussi à toutes les entités décisionnaires au sein du gouvernement. »</w:t>
      </w:r>
      <w:r>
        <w:rPr>
          <w:b w:val="0"/>
          <w:color w:val="231F20"/>
          <w:position w:val="7"/>
          <w:sz w:val="13"/>
        </w:rPr>
        <w:t>14</w:t>
      </w:r>
    </w:p>
    <w:p>
      <w:pPr>
        <w:pStyle w:val="Heading6"/>
        <w:spacing w:before="103"/>
        <w:ind w:right="1263"/>
        <w:rPr>
          <w:i/>
        </w:rPr>
      </w:pPr>
      <w:r>
        <w:rPr>
          <w:i/>
          <w:color w:val="231F20"/>
        </w:rPr>
        <w:t>Partie 1</w:t>
      </w:r>
    </w:p>
    <w:p>
      <w:pPr>
        <w:pStyle w:val="BodyText"/>
        <w:spacing w:line="266" w:lineRule="auto" w:before="142"/>
        <w:ind w:left="1251" w:right="188"/>
        <w:rPr>
          <w:b w:val="0"/>
        </w:rPr>
      </w:pPr>
      <w:r>
        <w:rPr>
          <w:b w:val="0"/>
          <w:color w:val="231F20"/>
        </w:rPr>
        <w:t>Dans votre groupe, examinez les barrières à l’exercice des droits à la participation politique soulignés dans le tableau de la page suivante. Réfléchissez aux barrières qui peuvent s'appliquer aux personnes présentant différents types de handicap, y compris un handicap physique ou psychosocial. Réfléchissez à la façon dont cela peut s’appliquer spécifiquement aux femmes handicapées, aux hommes et aux personnes qui</w:t>
      </w:r>
      <w:r>
        <w:rPr>
          <w:b w:val="0"/>
          <w:color w:val="231F20"/>
          <w:spacing w:val="-13"/>
        </w:rPr>
        <w:t> </w:t>
      </w:r>
      <w:r>
        <w:rPr>
          <w:b w:val="0"/>
          <w:color w:val="231F20"/>
        </w:rPr>
        <w:t>s’identifient comme appartenant à un autre</w:t>
      </w:r>
      <w:r>
        <w:rPr>
          <w:b w:val="0"/>
          <w:color w:val="231F20"/>
          <w:spacing w:val="-6"/>
        </w:rPr>
        <w:t> </w:t>
      </w:r>
      <w:r>
        <w:rPr>
          <w:b w:val="0"/>
          <w:color w:val="231F20"/>
        </w:rPr>
        <w:t>genre.</w:t>
      </w:r>
    </w:p>
    <w:p>
      <w:pPr>
        <w:pStyle w:val="BodyText"/>
        <w:rPr>
          <w:b w:val="0"/>
          <w:sz w:val="20"/>
        </w:rPr>
      </w:pPr>
    </w:p>
    <w:p>
      <w:pPr>
        <w:pStyle w:val="BodyText"/>
        <w:spacing w:before="3"/>
        <w:rPr>
          <w:b w:val="0"/>
          <w:sz w:val="23"/>
        </w:rPr>
      </w:pPr>
    </w:p>
    <w:tbl>
      <w:tblPr>
        <w:tblW w:w="0" w:type="auto"/>
        <w:jc w:val="left"/>
        <w:tblInd w:w="1241" w:type="dxa"/>
        <w:tblBorders>
          <w:top w:val="single" w:sz="4" w:space="0" w:color="F99D25"/>
          <w:left w:val="single" w:sz="4" w:space="0" w:color="F99D25"/>
          <w:bottom w:val="single" w:sz="4" w:space="0" w:color="F99D25"/>
          <w:right w:val="single" w:sz="4" w:space="0" w:color="F99D25"/>
          <w:insideH w:val="single" w:sz="4" w:space="0" w:color="F99D25"/>
          <w:insideV w:val="single" w:sz="4" w:space="0" w:color="F99D25"/>
        </w:tblBorders>
        <w:tblLayout w:type="fixed"/>
        <w:tblCellMar>
          <w:top w:w="0" w:type="dxa"/>
          <w:left w:w="0" w:type="dxa"/>
          <w:bottom w:w="0" w:type="dxa"/>
          <w:right w:w="0" w:type="dxa"/>
        </w:tblCellMar>
        <w:tblLook w:val="01E0"/>
      </w:tblPr>
      <w:tblGrid>
        <w:gridCol w:w="1970"/>
        <w:gridCol w:w="1970"/>
        <w:gridCol w:w="1970"/>
        <w:gridCol w:w="1970"/>
      </w:tblGrid>
      <w:tr>
        <w:trPr>
          <w:trHeight w:val="343" w:hRule="exact"/>
        </w:trPr>
        <w:tc>
          <w:tcPr>
            <w:tcW w:w="1970" w:type="dxa"/>
            <w:tcBorders>
              <w:top w:val="nil"/>
              <w:left w:val="nil"/>
              <w:bottom w:val="nil"/>
              <w:right w:val="single" w:sz="4" w:space="0" w:color="FFFFFF"/>
            </w:tcBorders>
            <w:shd w:val="clear" w:color="auto" w:fill="F99D25"/>
          </w:tcPr>
          <w:p>
            <w:pPr>
              <w:pStyle w:val="TableParagraph"/>
              <w:spacing w:before="32"/>
              <w:ind w:left="692" w:right="687"/>
              <w:jc w:val="center"/>
              <w:rPr>
                <w:b/>
                <w:sz w:val="20"/>
              </w:rPr>
            </w:pPr>
            <w:r>
              <w:rPr>
                <w:b/>
                <w:color w:val="FFFFFF"/>
                <w:sz w:val="20"/>
              </w:rPr>
              <w:t>Droits</w:t>
            </w:r>
          </w:p>
        </w:tc>
        <w:tc>
          <w:tcPr>
            <w:tcW w:w="1970" w:type="dxa"/>
            <w:tcBorders>
              <w:top w:val="nil"/>
              <w:left w:val="single" w:sz="4" w:space="0" w:color="FFFFFF"/>
              <w:bottom w:val="nil"/>
              <w:right w:val="single" w:sz="4" w:space="0" w:color="FFFFFF"/>
            </w:tcBorders>
            <w:shd w:val="clear" w:color="auto" w:fill="F99D25"/>
          </w:tcPr>
          <w:p>
            <w:pPr>
              <w:pStyle w:val="TableParagraph"/>
              <w:spacing w:before="32"/>
              <w:ind w:left="608" w:right="0"/>
              <w:rPr>
                <w:b/>
                <w:sz w:val="20"/>
              </w:rPr>
            </w:pPr>
            <w:r>
              <w:rPr>
                <w:b/>
                <w:color w:val="FFFFFF"/>
                <w:sz w:val="20"/>
              </w:rPr>
              <w:t>Femmes</w:t>
            </w:r>
          </w:p>
        </w:tc>
        <w:tc>
          <w:tcPr>
            <w:tcW w:w="1970" w:type="dxa"/>
            <w:tcBorders>
              <w:top w:val="nil"/>
              <w:left w:val="single" w:sz="4" w:space="0" w:color="FFFFFF"/>
              <w:bottom w:val="nil"/>
              <w:right w:val="single" w:sz="4" w:space="0" w:color="FFFFFF"/>
            </w:tcBorders>
            <w:shd w:val="clear" w:color="auto" w:fill="F99D25"/>
          </w:tcPr>
          <w:p>
            <w:pPr>
              <w:pStyle w:val="TableParagraph"/>
              <w:spacing w:before="32"/>
              <w:ind w:left="585" w:right="0"/>
              <w:rPr>
                <w:b/>
                <w:sz w:val="20"/>
              </w:rPr>
            </w:pPr>
            <w:r>
              <w:rPr>
                <w:b/>
                <w:color w:val="FFFFFF"/>
                <w:sz w:val="20"/>
              </w:rPr>
              <w:t>Hommes</w:t>
            </w:r>
          </w:p>
        </w:tc>
        <w:tc>
          <w:tcPr>
            <w:tcW w:w="1970" w:type="dxa"/>
            <w:tcBorders>
              <w:top w:val="nil"/>
              <w:left w:val="single" w:sz="4" w:space="0" w:color="FFFFFF"/>
              <w:bottom w:val="nil"/>
              <w:right w:val="nil"/>
            </w:tcBorders>
            <w:shd w:val="clear" w:color="auto" w:fill="F99D25"/>
          </w:tcPr>
          <w:p>
            <w:pPr>
              <w:pStyle w:val="TableParagraph"/>
              <w:spacing w:before="32"/>
              <w:ind w:left="450" w:right="188"/>
              <w:rPr>
                <w:b/>
                <w:sz w:val="20"/>
              </w:rPr>
            </w:pPr>
            <w:r>
              <w:rPr>
                <w:b/>
                <w:color w:val="FFFFFF"/>
                <w:sz w:val="20"/>
              </w:rPr>
              <w:t>Autre genre</w:t>
            </w:r>
          </w:p>
        </w:tc>
      </w:tr>
      <w:tr>
        <w:trPr>
          <w:trHeight w:val="1701" w:hRule="exact"/>
        </w:trPr>
        <w:tc>
          <w:tcPr>
            <w:tcW w:w="1970" w:type="dxa"/>
            <w:tcBorders>
              <w:top w:val="nil"/>
              <w:left w:val="nil"/>
            </w:tcBorders>
            <w:shd w:val="clear" w:color="auto" w:fill="FFF2E3"/>
          </w:tcPr>
          <w:p>
            <w:pPr>
              <w:pStyle w:val="TableParagraph"/>
              <w:spacing w:line="220" w:lineRule="exact" w:before="54"/>
              <w:ind w:left="80" w:right="188"/>
              <w:rPr>
                <w:sz w:val="20"/>
              </w:rPr>
            </w:pPr>
            <w:r>
              <w:rPr>
                <w:color w:val="231F20"/>
                <w:sz w:val="20"/>
              </w:rPr>
              <w:t>Rejoindre un parti ou une organisation politique</w:t>
            </w:r>
          </w:p>
        </w:tc>
        <w:tc>
          <w:tcPr>
            <w:tcW w:w="1970" w:type="dxa"/>
            <w:tcBorders>
              <w:top w:val="nil"/>
            </w:tcBorders>
            <w:shd w:val="clear" w:color="auto" w:fill="FFF2E3"/>
          </w:tcPr>
          <w:p>
            <w:pPr/>
          </w:p>
        </w:tc>
        <w:tc>
          <w:tcPr>
            <w:tcW w:w="1970" w:type="dxa"/>
            <w:tcBorders>
              <w:top w:val="nil"/>
            </w:tcBorders>
            <w:shd w:val="clear" w:color="auto" w:fill="FFF2E3"/>
          </w:tcPr>
          <w:p>
            <w:pPr/>
          </w:p>
        </w:tc>
        <w:tc>
          <w:tcPr>
            <w:tcW w:w="1970" w:type="dxa"/>
            <w:tcBorders>
              <w:top w:val="nil"/>
              <w:right w:val="nil"/>
            </w:tcBorders>
            <w:shd w:val="clear" w:color="auto" w:fill="FFF2E3"/>
          </w:tcPr>
          <w:p>
            <w:pPr/>
          </w:p>
        </w:tc>
      </w:tr>
      <w:tr>
        <w:trPr>
          <w:trHeight w:val="1701" w:hRule="exact"/>
        </w:trPr>
        <w:tc>
          <w:tcPr>
            <w:tcW w:w="1970" w:type="dxa"/>
            <w:tcBorders>
              <w:left w:val="nil"/>
            </w:tcBorders>
            <w:shd w:val="clear" w:color="auto" w:fill="FFF2E3"/>
          </w:tcPr>
          <w:p>
            <w:pPr>
              <w:pStyle w:val="TableParagraph"/>
              <w:ind w:left="80" w:right="188"/>
              <w:rPr>
                <w:sz w:val="20"/>
              </w:rPr>
            </w:pPr>
            <w:r>
              <w:rPr>
                <w:color w:val="231F20"/>
                <w:sz w:val="20"/>
              </w:rPr>
              <w:t>Voter</w:t>
            </w:r>
          </w:p>
        </w:tc>
        <w:tc>
          <w:tcPr>
            <w:tcW w:w="1970" w:type="dxa"/>
            <w:shd w:val="clear" w:color="auto" w:fill="FFF2E3"/>
          </w:tcPr>
          <w:p>
            <w:pPr/>
          </w:p>
        </w:tc>
        <w:tc>
          <w:tcPr>
            <w:tcW w:w="1970" w:type="dxa"/>
            <w:shd w:val="clear" w:color="auto" w:fill="FFF2E3"/>
          </w:tcPr>
          <w:p>
            <w:pPr/>
          </w:p>
        </w:tc>
        <w:tc>
          <w:tcPr>
            <w:tcW w:w="1970" w:type="dxa"/>
            <w:tcBorders>
              <w:right w:val="nil"/>
            </w:tcBorders>
            <w:shd w:val="clear" w:color="auto" w:fill="FFF2E3"/>
          </w:tcPr>
          <w:p>
            <w:pPr/>
          </w:p>
        </w:tc>
      </w:tr>
      <w:tr>
        <w:trPr>
          <w:trHeight w:val="1701" w:hRule="exact"/>
        </w:trPr>
        <w:tc>
          <w:tcPr>
            <w:tcW w:w="1970" w:type="dxa"/>
            <w:tcBorders>
              <w:left w:val="nil"/>
            </w:tcBorders>
            <w:shd w:val="clear" w:color="auto" w:fill="FFF2E3"/>
          </w:tcPr>
          <w:p>
            <w:pPr>
              <w:pStyle w:val="TableParagraph"/>
              <w:spacing w:line="220" w:lineRule="exact" w:before="49"/>
              <w:ind w:left="80" w:right="297"/>
              <w:jc w:val="both"/>
              <w:rPr>
                <w:sz w:val="20"/>
              </w:rPr>
            </w:pPr>
            <w:r>
              <w:rPr>
                <w:color w:val="231F20"/>
                <w:sz w:val="20"/>
              </w:rPr>
              <w:t>Se présenter à une élection ou</w:t>
            </w:r>
            <w:r>
              <w:rPr>
                <w:color w:val="231F20"/>
                <w:spacing w:val="-6"/>
                <w:sz w:val="20"/>
              </w:rPr>
              <w:t> </w:t>
            </w:r>
            <w:r>
              <w:rPr>
                <w:color w:val="231F20"/>
                <w:sz w:val="20"/>
              </w:rPr>
              <w:t>exercer un mandat</w:t>
            </w:r>
            <w:r>
              <w:rPr>
                <w:color w:val="231F20"/>
                <w:spacing w:val="-1"/>
                <w:sz w:val="20"/>
              </w:rPr>
              <w:t> </w:t>
            </w:r>
            <w:r>
              <w:rPr>
                <w:color w:val="231F20"/>
                <w:sz w:val="20"/>
              </w:rPr>
              <w:t>public</w:t>
            </w:r>
          </w:p>
        </w:tc>
        <w:tc>
          <w:tcPr>
            <w:tcW w:w="1970" w:type="dxa"/>
            <w:shd w:val="clear" w:color="auto" w:fill="FFF2E3"/>
          </w:tcPr>
          <w:p>
            <w:pPr/>
          </w:p>
        </w:tc>
        <w:tc>
          <w:tcPr>
            <w:tcW w:w="1970" w:type="dxa"/>
            <w:shd w:val="clear" w:color="auto" w:fill="FFF2E3"/>
          </w:tcPr>
          <w:p>
            <w:pPr/>
          </w:p>
        </w:tc>
        <w:tc>
          <w:tcPr>
            <w:tcW w:w="1970" w:type="dxa"/>
            <w:tcBorders>
              <w:right w:val="nil"/>
            </w:tcBorders>
            <w:shd w:val="clear" w:color="auto" w:fill="FFF2E3"/>
          </w:tcPr>
          <w:p>
            <w:pPr/>
          </w:p>
        </w:tc>
      </w:tr>
      <w:tr>
        <w:trPr>
          <w:trHeight w:val="1701" w:hRule="exact"/>
        </w:trPr>
        <w:tc>
          <w:tcPr>
            <w:tcW w:w="1970" w:type="dxa"/>
            <w:tcBorders>
              <w:left w:val="nil"/>
              <w:bottom w:val="single" w:sz="8" w:space="0" w:color="F99D25"/>
            </w:tcBorders>
            <w:shd w:val="clear" w:color="auto" w:fill="FFF2E3"/>
          </w:tcPr>
          <w:p>
            <w:pPr>
              <w:pStyle w:val="TableParagraph"/>
              <w:spacing w:line="220" w:lineRule="exact" w:before="49"/>
              <w:ind w:left="80" w:right="188"/>
              <w:rPr>
                <w:sz w:val="20"/>
              </w:rPr>
            </w:pPr>
            <w:r>
              <w:rPr>
                <w:color w:val="231F20"/>
                <w:sz w:val="20"/>
              </w:rPr>
              <w:t>Accéder aux informations</w:t>
            </w:r>
          </w:p>
        </w:tc>
        <w:tc>
          <w:tcPr>
            <w:tcW w:w="1970" w:type="dxa"/>
            <w:tcBorders>
              <w:bottom w:val="single" w:sz="8" w:space="0" w:color="F99D25"/>
            </w:tcBorders>
            <w:shd w:val="clear" w:color="auto" w:fill="FFF2E3"/>
          </w:tcPr>
          <w:p>
            <w:pPr/>
          </w:p>
        </w:tc>
        <w:tc>
          <w:tcPr>
            <w:tcW w:w="1970" w:type="dxa"/>
            <w:tcBorders>
              <w:bottom w:val="single" w:sz="8" w:space="0" w:color="F99D25"/>
            </w:tcBorders>
            <w:shd w:val="clear" w:color="auto" w:fill="FFF2E3"/>
          </w:tcPr>
          <w:p>
            <w:pPr/>
          </w:p>
        </w:tc>
        <w:tc>
          <w:tcPr>
            <w:tcW w:w="1970" w:type="dxa"/>
            <w:tcBorders>
              <w:bottom w:val="single" w:sz="8" w:space="0" w:color="F99D25"/>
              <w:right w:val="nil"/>
            </w:tcBorders>
            <w:shd w:val="clear" w:color="auto" w:fill="FFF2E3"/>
          </w:tcPr>
          <w:p>
            <w:pPr/>
          </w:p>
        </w:tc>
      </w:tr>
    </w:tbl>
    <w:p>
      <w:pPr>
        <w:pStyle w:val="BodyText"/>
        <w:spacing w:before="3"/>
        <w:rPr>
          <w:b w:val="0"/>
          <w:sz w:val="17"/>
        </w:rPr>
      </w:pPr>
    </w:p>
    <w:p>
      <w:pPr>
        <w:spacing w:before="76"/>
        <w:ind w:left="1251" w:right="1263" w:firstLine="0"/>
        <w:jc w:val="left"/>
        <w:rPr>
          <w:b w:val="0"/>
          <w:sz w:val="17"/>
        </w:rPr>
      </w:pPr>
      <w:r>
        <w:rPr>
          <w:b w:val="0"/>
          <w:color w:val="231F20"/>
          <w:position w:val="6"/>
          <w:sz w:val="10"/>
        </w:rPr>
        <w:t>14       </w:t>
      </w:r>
      <w:r>
        <w:rPr>
          <w:b w:val="0"/>
          <w:color w:val="231F20"/>
          <w:sz w:val="17"/>
        </w:rPr>
        <w:t>Outils sur le handicap I Afrique, module Participation à la vie publique, p5.</w:t>
      </w:r>
    </w:p>
    <w:p>
      <w:pPr>
        <w:pStyle w:val="BodyText"/>
        <w:spacing w:before="3"/>
        <w:rPr>
          <w:b w:val="0"/>
          <w:sz w:val="29"/>
        </w:rPr>
      </w:pPr>
    </w:p>
    <w:p>
      <w:pPr>
        <w:spacing w:after="0"/>
        <w:rPr>
          <w:sz w:val="29"/>
        </w:rPr>
        <w:sectPr>
          <w:pgSz w:w="11910" w:h="16840"/>
          <w:pgMar w:top="360" w:bottom="280" w:left="1640" w:right="1000"/>
        </w:sectPr>
      </w:pPr>
    </w:p>
    <w:p>
      <w:pPr>
        <w:pStyle w:val="Heading4"/>
        <w:tabs>
          <w:tab w:pos="699" w:val="left" w:leader="none"/>
          <w:tab w:pos="1022" w:val="left" w:leader="none"/>
        </w:tabs>
        <w:ind w:left="115"/>
      </w:pPr>
      <w:r>
        <w:rPr/>
        <w:pict>
          <v:group style="position:absolute;margin-left:0pt;margin-top:0pt;width:595.3pt;height:841.9pt;mso-position-horizontal-relative:page;mso-position-vertical-relative:page;z-index:-45352" coordorigin="0,0" coordsize="11906,16838">
            <v:rect style="position:absolute;left:2665;top:0;width:9241;height:16838" filled="true" fillcolor="#fff2e3" stroked="false">
              <v:fill type="solid"/>
            </v:rect>
            <v:shape style="position:absolute;left:0;top:0;width:2663;height:16838" type="#_x0000_t75" stroked="false">
              <v:imagedata r:id="rId30" o:title=""/>
            </v:shape>
            <v:rect style="position:absolute;left:0;top:0;width:397;height:16838" filled="true" fillcolor="#f99d25" stroked="false">
              <v:fill type="solid"/>
            </v:rect>
            <v:line style="position:absolute" from="2891,15439" to="4876,15439" stroked="true" strokeweight=".5pt" strokecolor="#231f20"/>
            <v:shape style="position:absolute;left:1755;top:1323;width:827;height:822" coordorigin="1755,1323" coordsize="827,822" path="m1864,1349l1863,1349,1851,1351,1837,1356,1823,1363,1814,1369,1804,1377,1794,1385,1786,1394,1779,1404,1764,1431,1758,1457,1756,1486,1756,1957,1755,1980,1756,2012,1760,2042,1771,2072,1784,2092,1801,2111,1823,2126,1847,2137,1876,2142,1912,2144,2422,2143,2437,2142,2451,2140,2467,2135,2501,2116,2528,2088,2541,2064,1935,2064,1909,2063,1886,2058,1865,2046,1847,2026,1838,2005,1835,1982,1835,1957,1835,1595,1835,1556,1834,1536,1835,1509,1838,1486,1841,1475,1846,1465,1852,1456,1859,1448,1866,1443,1876,1436,1887,1430,1898,1428,1909,1425,1927,1424,2224,1424,2234,1424,2244,1415,2263,1396,2296,1363,2299,1360,2301,1358,2307,1352,2310,1350,2310,1349,1866,1349,1864,1349xm2553,1586l2542,1597,2520,1619,2480,1659,2477,1662,2474,1663,2474,1667,2474,1980,2470,2006,2461,2027,2448,2043,2431,2055,2419,2060,2408,2062,2395,2064,1965,2064,1935,2064,2541,2064,2547,2053,2554,2011,2554,1957,2554,1790,2554,1688,2554,1667,2554,1619,2553,1586xm1991,1898l1989,1901,1989,1902,1985,1915,1991,1914,1994,1914,1995,1913,1987,1913,1988,1907,1990,1902,1991,1898xm2041,1722l2031,1756,2014,1815,1998,1871,1991,1898,1990,1902,1988,1907,1987,1913,1998,1911,2179,1860,2157,1837,2110,1790,2063,1744,2041,1722xm1998,1911l1987,1913,1995,1913,1998,1911xm2367,1398l2360,1404,2348,1415,2329,1435,2061,1701,2072,1714,2094,1736,2130,1771,2166,1807,2188,1829,2200,1839,2226,1815,2492,1550,2502,1542,2505,1536,2484,1513,2438,1467,2391,1421,2367,1398xm2458,1323l2445,1325,2435,1330,2427,1338,2420,1345,2403,1361,2394,1370,2389,1376,2528,1514,2535,1507,2543,1499,2559,1484,2566,1477,2573,1468,2579,1458,2582,1446,2579,1433,2574,1422,2566,1414,2559,1407,2528,1376,2505,1354,2497,1346,2490,1339,2482,1331,2472,1325,2458,1323xm2224,1424l1927,1424,1946,1425,1957,1425,2104,1425,2193,1425,2224,1424xm1867,1347l1867,1347,1867,1348,1866,1349,2310,1349,2311,1348,1875,1348,1867,1347xm2144,1346l1885,1346,1875,1348,2311,1348,2311,1346,2144,1346xe" filled="true" fillcolor="#f99d25" stroked="false">
              <v:path arrowok="t"/>
              <v:fill type="solid"/>
            </v:shape>
            <w10:wrap type="none"/>
          </v:group>
        </w:pict>
      </w:r>
      <w:r>
        <w:rPr>
          <w:color w:val="FFFFFF"/>
          <w:shd w:fill="F99D25" w:color="auto" w:val="clear"/>
        </w:rPr>
        <w:t> </w:t>
        <w:tab/>
        <w:t>18</w:t>
        <w:tab/>
      </w:r>
    </w:p>
    <w:p>
      <w:pPr>
        <w:spacing w:before="117"/>
        <w:ind w:left="115" w:right="0" w:firstLine="0"/>
        <w:jc w:val="left"/>
        <w:rPr>
          <w:rFonts w:ascii="Myriad Pro" w:hAnsi="Myriad Pro"/>
          <w:sz w:val="16"/>
        </w:rPr>
      </w:pPr>
      <w:r>
        <w:rPr/>
        <w:br w:type="column"/>
      </w:r>
      <w:r>
        <w:rPr>
          <w:rFonts w:ascii="Myriad Pro" w:hAnsi="Myriad Pro"/>
          <w:color w:val="6D6E71"/>
          <w:sz w:val="16"/>
        </w:rPr>
        <w:t>Module 11 - PARTICIPATION À LA VIE POLITIQUE ET PUBLIQUE</w:t>
      </w:r>
    </w:p>
    <w:p>
      <w:pPr>
        <w:spacing w:after="0"/>
        <w:jc w:val="left"/>
        <w:rPr>
          <w:rFonts w:ascii="Myriad Pro" w:hAnsi="Myriad Pro"/>
          <w:sz w:val="16"/>
        </w:rPr>
        <w:sectPr>
          <w:type w:val="continuous"/>
          <w:pgSz w:w="11910" w:h="16840"/>
          <w:pgMar w:top="1600" w:bottom="280" w:left="1640" w:right="1000"/>
          <w:cols w:num="2" w:equalWidth="0">
            <w:col w:w="1023" w:space="112"/>
            <w:col w:w="8135"/>
          </w:cols>
        </w:sectPr>
      </w:pPr>
    </w:p>
    <w:p>
      <w:pPr>
        <w:spacing w:before="57"/>
        <w:ind w:left="5034" w:right="1238"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Heading5"/>
        <w:spacing w:before="58"/>
        <w:ind w:left="113" w:right="1238"/>
      </w:pPr>
      <w:r>
        <w:rPr>
          <w:color w:val="231F20"/>
        </w:rPr>
        <w:t>Partie 2</w:t>
      </w:r>
    </w:p>
    <w:p>
      <w:pPr>
        <w:pStyle w:val="BodyText"/>
        <w:spacing w:line="266" w:lineRule="auto" w:before="142"/>
        <w:ind w:left="113" w:right="1238"/>
        <w:rPr>
          <w:b w:val="0"/>
        </w:rPr>
      </w:pPr>
      <w:r>
        <w:rPr>
          <w:b w:val="0"/>
          <w:color w:val="231F20"/>
        </w:rPr>
        <w:t>Dans votre groupe, choisissez l’une des barrières que vous avez identifiées et étudiez en détail comment elle peut affecter les femmes ou les jeunes handicapés. Identifiez deux ou trois mesures qui pourraient être prises pour réduire ou éliminer cette barrière.</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1"/>
        <w:rPr>
          <w:b w:val="0"/>
          <w:sz w:val="23"/>
        </w:rPr>
      </w:pPr>
    </w:p>
    <w:p>
      <w:pPr>
        <w:pStyle w:val="BodyText"/>
        <w:ind w:left="106" w:right="1238"/>
        <w:rPr>
          <w:b w:val="0"/>
        </w:rPr>
      </w:pPr>
      <w:r>
        <w:rPr>
          <w:b w:val="0"/>
          <w:color w:val="231F20"/>
        </w:rPr>
        <w:t>Vous avez 40 minutes pour terminer les parties 1 et  2 en groupes.</w:t>
      </w:r>
    </w:p>
    <w:p>
      <w:pPr>
        <w:pStyle w:val="BodyText"/>
        <w:rPr>
          <w:b w:val="0"/>
          <w:sz w:val="20"/>
        </w:rPr>
      </w:pPr>
    </w:p>
    <w:p>
      <w:pPr>
        <w:pStyle w:val="BodyText"/>
        <w:spacing w:before="10"/>
        <w:rPr>
          <w:b w:val="0"/>
          <w:sz w:val="29"/>
        </w:rPr>
      </w:pPr>
    </w:p>
    <w:p>
      <w:pPr>
        <w:spacing w:after="0"/>
        <w:rPr>
          <w:sz w:val="29"/>
        </w:rPr>
        <w:sectPr>
          <w:pgSz w:w="11910" w:h="16840"/>
          <w:pgMar w:top="360" w:bottom="280" w:left="1020" w:right="1640"/>
        </w:sectPr>
      </w:pPr>
    </w:p>
    <w:p>
      <w:pPr>
        <w:spacing w:before="101"/>
        <w:ind w:left="3931" w:right="-3" w:firstLine="0"/>
        <w:jc w:val="left"/>
        <w:rPr>
          <w:rFonts w:ascii="Myriad Pro" w:hAnsi="Myriad Pro"/>
          <w:sz w:val="16"/>
        </w:rPr>
      </w:pPr>
      <w:r>
        <w:rPr/>
        <w:pict>
          <v:group style="position:absolute;margin-left:0pt;margin-top:0pt;width:595.3pt;height:841.9pt;mso-position-horizontal-relative:page;mso-position-vertical-relative:page;z-index:-45328" coordorigin="0,0" coordsize="11906,16838">
            <v:rect style="position:absolute;left:0;top:0;width:9241;height:16838" filled="true" fillcolor="#fff2e3" stroked="false">
              <v:fill type="solid"/>
            </v:rect>
            <v:shape style="position:absolute;left:9243;top:0;width:2663;height:16838" type="#_x0000_t75" stroked="false">
              <v:imagedata r:id="rId23" o:title=""/>
            </v:shape>
            <v:rect style="position:absolute;left:11509;top:0;width:397;height:16838" filled="true" fillcolor="#f99d25" stroked="false">
              <v:fill type="solid"/>
            </v:rect>
            <v:line style="position:absolute" from="1134,3299" to="9014,3299" stroked="true" strokeweight=".35pt" strokecolor="#231f20"/>
            <v:line style="position:absolute" from="1134,3746" to="9014,3746" stroked="true" strokeweight=".35pt" strokecolor="#231f20"/>
            <v:line style="position:absolute" from="1134,4193" to="9014,4193" stroked="true" strokeweight=".35pt" strokecolor="#231f20"/>
            <v:line style="position:absolute" from="1134,4639" to="9014,4639" stroked="true" strokeweight=".35pt" strokecolor="#231f20"/>
            <v:line style="position:absolute" from="1134,5086" to="9014,5086" stroked="true" strokeweight=".35pt" strokecolor="#231f20"/>
            <v:line style="position:absolute" from="1134,5533" to="9014,5533" stroked="true" strokeweight=".35pt" strokecolor="#231f20"/>
            <v:line style="position:absolute" from="1134,5980" to="9014,5980" stroked="true" strokeweight=".35pt" strokecolor="#231f20"/>
            <v:line style="position:absolute" from="1134,6426" to="9014,6426" stroked="true" strokeweight=".35pt" strokecolor="#231f20"/>
            <v:line style="position:absolute" from="1134,6873" to="9014,6873" stroked="true" strokeweight=".35pt" strokecolor="#231f20"/>
            <v:line style="position:absolute" from="1134,7320" to="9014,7320" stroked="true" strokeweight=".35pt" strokecolor="#231f20"/>
            <v:line style="position:absolute" from="1134,7767" to="9014,7767" stroked="true" strokeweight=".35pt" strokecolor="#231f20"/>
            <v:line style="position:absolute" from="1134,8213" to="9014,8213" stroked="true" strokeweight=".35pt" strokecolor="#231f20"/>
            <v:line style="position:absolute" from="1134,8660" to="9014,8660" stroked="true" strokeweight=".35pt" strokecolor="#231f20"/>
            <v:line style="position:absolute" from="1134,9107" to="9014,9107" stroked="true" strokeweight=".35pt" strokecolor="#231f20"/>
            <v:line style="position:absolute" from="1134,9554" to="9014,9554" stroked="true" strokeweight=".35pt" strokecolor="#231f20"/>
            <v:line style="position:absolute" from="1134,10001" to="9014,10001" stroked="true" strokeweight=".35pt" strokecolor="#231f20"/>
            <v:line style="position:absolute" from="1134,10447" to="9014,10447" stroked="true" strokeweight=".35pt" strokecolor="#231f20"/>
            <v:line style="position:absolute" from="1134,10894" to="9014,10894" stroked="true" strokeweight=".35pt" strokecolor="#231f20"/>
            <v:line style="position:absolute" from="1134,11341" to="9014,11341" stroked="true" strokeweight=".35pt" strokecolor="#231f20"/>
            <v:line style="position:absolute" from="1134,11788" to="9014,11788" stroked="true" strokeweight=".35pt" strokecolor="#231f20"/>
            <v:line style="position:absolute" from="1134,12234" to="9014,12234" stroked="true" strokeweight=".35pt" strokecolor="#231f20"/>
            <v:line style="position:absolute" from="1134,12681" to="9014,12681" stroked="true" strokeweight=".35pt" strokecolor="#231f20"/>
            <v:line style="position:absolute" from="1134,13128" to="9014,13128" stroked="true" strokeweight=".35pt" strokecolor="#231f20"/>
            <v:line style="position:absolute" from="1134,13575" to="9014,13575" stroked="true" strokeweight=".35pt" strokecolor="#231f20"/>
            <v:line style="position:absolute" from="1134,14022" to="9014,14022" stroked="true" strokeweight=".35pt" strokecolor="#231f20"/>
            <v:line style="position:absolute" from="1134,14468" to="9014,14468" stroked="true" strokeweight=".35pt" strokecolor="#231f20"/>
            <v:line style="position:absolute" from="1134,15572" to="9014,15572" stroked="true" strokeweight="1pt" strokecolor="#f99d25"/>
            <v:shape style="position:absolute;left:9301;top:1266;width:827;height:822" coordorigin="9301,1266" coordsize="827,822" path="m9410,1292l9409,1292,9396,1294,9382,1300,9369,1306,9360,1312,9349,1320,9340,1328,9332,1337,9324,1347,9310,1374,9303,1401,9301,1429,9301,1901,9301,1923,9301,1955,9306,1986,9316,2015,9329,2036,9347,2054,9368,2069,9393,2080,9422,2086,9458,2088,9968,2087,9983,2086,9997,2083,10012,2078,10046,2060,10074,2032,10086,2007,9481,2007,9455,2007,9432,2002,9410,1989,9393,1970,9384,1949,9381,1926,9381,1901,9381,1538,9380,1499,9380,1479,9380,1452,9383,1429,9387,1418,9392,1408,9398,1399,9405,1392,9411,1386,9421,1379,9432,1374,9443,1371,9455,1369,9473,1368,9770,1368,9780,1368,9789,1359,9809,1339,9842,1306,9845,1303,9847,1301,9852,1296,9856,1294,9856,1292,9412,1292,9410,1292xm10099,1530l10088,1540,10065,1562,10025,1602,10023,1605,10020,1606,10019,1611,10019,1923,10016,1949,10007,1970,9994,1986,9976,1998,9965,2003,9953,2006,9941,2007,9511,2007,9481,2007,10086,2007,10092,1996,10099,1954,10099,1901,10099,1733,10099,1632,10100,1611,10100,1562,10099,1530xm9537,1841l9535,1844,9534,1845,9531,1859,9536,1858,9540,1857,9541,1856,9533,1856,9534,1850,9536,1845,9537,1841xm9586,1666l9576,1699,9559,1758,9544,1814,9537,1841,9536,1845,9534,1850,9533,1856,9544,1854,9725,1803,9703,1780,9656,1733,9609,1687,9586,1666xm9544,1854l9533,1856,9541,1856,9544,1854xm9913,1341l9905,1348,9894,1359,9874,1379,9607,1644,9618,1657,9640,1679,9675,1714,9712,1751,9734,1772,9746,1783,9772,1758,10037,1494,10047,1486,10051,1479,10029,1456,9983,1410,9937,1364,9913,1341xm10004,1266l9991,1268,9981,1274,9972,1281,9965,1288,9949,1304,9940,1313,9935,1319,10073,1457,10081,1450,10089,1442,10104,1427,10111,1420,10119,1412,10125,1401,10127,1389,10125,1376,10119,1366,10112,1357,10105,1351,10073,1320,10051,1297,10043,1289,10036,1282,10027,1274,10017,1268,10004,1266xm9770,1368l9473,1368,9491,1368,9503,1368,9650,1368,9739,1368,9770,1368xm9413,1291l9413,1291,9412,1291,9412,1292,9856,1292,9856,1292,9421,1292,9413,1291xm9690,1289l9431,1290,9421,1292,9856,1292,9857,1290,9690,1289xe" filled="true" fillcolor="#f99d25" stroked="false">
              <v:path arrowok="t"/>
              <v:fill type="solid"/>
            </v:shape>
            <v:shape style="position:absolute;left:9364;top:14727;width:719;height:827" coordorigin="9364,14727" coordsize="719,827" path="m9762,14796l9686,14796,9686,14837,9611,14853,9543,14883,9484,14927,9434,14981,9397,15045,9373,15117,9364,15194,9372,15266,9393,15334,9426,15395,9470,15448,9523,15492,9584,15525,9651,15546,9724,15553,9796,15546,9864,15525,9925,15492,9937,15482,9724,15482,9647,15472,9578,15443,9520,15398,9475,15339,9446,15270,9436,15194,9446,15117,9475,15049,9520,14990,9578,14945,9647,14916,9724,14906,9992,14906,10016,14883,9904,14883,9871,14866,9836,14853,9800,14843,9762,14837,9762,14796xm9992,14906l9724,14906,9800,14916,9869,14945,9927,14990,9972,15049,10001,15117,10012,15194,10001,15270,9972,15339,9927,15398,9869,15443,9800,15472,9724,15482,9937,15482,9978,15448,10022,15395,10055,15334,10076,15266,10083,15194,10075,15118,10052,15047,10015,14984,9967,14930,9992,14906xm9731,15128l9725,15128,9695,15134,9671,15150,9655,15174,9649,15203,9655,15232,9671,15256,9695,15272,9725,15278,9754,15272,9778,15256,9794,15232,9800,15203,9800,15193,9798,15183,9794,15174,9823,15130,9743,15130,9737,15129,9731,15128xm9898,15018l9743,15130,9823,15130,9898,15018xm9963,14831l9904,14883,10016,14883,10018,14881,9963,14831xm9806,14727l9637,14727,9637,14796,9806,14796,9806,14727xe" filled="true" fillcolor="#f99d25" stroked="false">
              <v:path arrowok="t"/>
              <v:fill type="solid"/>
            </v:shape>
            <w10:wrap type="none"/>
          </v:group>
        </w:pict>
      </w:r>
      <w:r>
        <w:rPr>
          <w:rFonts w:ascii="Myriad Pro" w:hAnsi="Myriad Pro"/>
          <w:color w:val="6D6E71"/>
          <w:sz w:val="16"/>
        </w:rPr>
        <w:t>Module 11 - </w:t>
      </w:r>
      <w:r>
        <w:rPr>
          <w:rFonts w:ascii="Myriad Pro" w:hAnsi="Myriad Pro"/>
          <w:color w:val="6D6E71"/>
          <w:spacing w:val="-4"/>
          <w:sz w:val="16"/>
        </w:rPr>
        <w:t>PARTICIPATION </w:t>
      </w:r>
      <w:r>
        <w:rPr>
          <w:rFonts w:ascii="Myriad Pro" w:hAnsi="Myriad Pro"/>
          <w:color w:val="6D6E71"/>
          <w:sz w:val="16"/>
        </w:rPr>
        <w:t>À LA VIE POLITIQUE ET PUBLIQUE</w:t>
      </w:r>
    </w:p>
    <w:p>
      <w:pPr>
        <w:pStyle w:val="Heading4"/>
        <w:tabs>
          <w:tab w:pos="1093" w:val="left" w:leader="none"/>
        </w:tabs>
      </w:pPr>
      <w:r>
        <w:rPr/>
        <w:br w:type="column"/>
      </w:r>
      <w:r>
        <w:rPr>
          <w:color w:val="FFFFFF"/>
          <w:spacing w:val="21"/>
          <w:shd w:fill="F99D25" w:color="auto" w:val="clear"/>
        </w:rPr>
        <w:t> </w:t>
      </w:r>
      <w:r>
        <w:rPr>
          <w:color w:val="FFFFFF"/>
          <w:shd w:fill="F99D25" w:color="auto" w:val="clear"/>
        </w:rPr>
        <w:t>19</w:t>
        <w:tab/>
      </w:r>
    </w:p>
    <w:p>
      <w:pPr>
        <w:spacing w:after="0"/>
        <w:sectPr>
          <w:type w:val="continuous"/>
          <w:pgSz w:w="11910" w:h="16840"/>
          <w:pgMar w:top="1600" w:bottom="280" w:left="1020" w:right="1640"/>
          <w:cols w:num="2" w:equalWidth="0">
            <w:col w:w="7995" w:space="40"/>
            <w:col w:w="1215"/>
          </w:cols>
        </w:sectPr>
      </w:pPr>
    </w:p>
    <w:p>
      <w:pPr>
        <w:spacing w:before="57"/>
        <w:ind w:left="1252" w:right="1263"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line="320" w:lineRule="exact" w:before="67"/>
        <w:ind w:left="1251" w:firstLine="0"/>
        <w:rPr>
          <w:b/>
        </w:rPr>
      </w:pPr>
      <w:r>
        <w:rPr>
          <w:b/>
          <w:color w:val="231F20"/>
        </w:rPr>
        <w:t>Fiche de cours du formateur – Participation à la vie politique et publique, Session 2</w:t>
      </w:r>
    </w:p>
    <w:p>
      <w:pPr>
        <w:pStyle w:val="BodyText"/>
        <w:spacing w:before="7"/>
        <w:rPr>
          <w:b/>
          <w:sz w:val="10"/>
        </w:rPr>
      </w:pPr>
    </w:p>
    <w:tbl>
      <w:tblPr>
        <w:tblW w:w="0" w:type="auto"/>
        <w:jc w:val="left"/>
        <w:tblInd w:w="1236" w:type="dxa"/>
        <w:tblBorders>
          <w:top w:val="single" w:sz="4" w:space="0" w:color="F99D25"/>
          <w:left w:val="single" w:sz="4" w:space="0" w:color="F99D25"/>
          <w:bottom w:val="single" w:sz="4" w:space="0" w:color="F99D25"/>
          <w:right w:val="single" w:sz="4" w:space="0" w:color="F99D25"/>
          <w:insideH w:val="single" w:sz="4" w:space="0" w:color="F99D25"/>
          <w:insideV w:val="single" w:sz="4" w:space="0" w:color="F99D25"/>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F99D25"/>
              <w:left w:val="nil"/>
              <w:right w:val="single" w:sz="8" w:space="0" w:color="F99D25"/>
            </w:tcBorders>
          </w:tcPr>
          <w:p>
            <w:pPr/>
          </w:p>
        </w:tc>
        <w:tc>
          <w:tcPr>
            <w:tcW w:w="1389" w:type="dxa"/>
            <w:tcBorders>
              <w:top w:val="single" w:sz="12" w:space="0" w:color="F99D25"/>
              <w:left w:val="single" w:sz="8" w:space="0" w:color="F99D25"/>
              <w:right w:val="single" w:sz="8" w:space="0" w:color="F99D25"/>
            </w:tcBorders>
            <w:shd w:val="clear" w:color="auto" w:fill="FFF2E3"/>
          </w:tcPr>
          <w:p>
            <w:pPr>
              <w:pStyle w:val="TableParagraph"/>
              <w:spacing w:line="220" w:lineRule="exact" w:before="72"/>
              <w:ind w:right="415"/>
              <w:rPr>
                <w:b/>
                <w:sz w:val="20"/>
              </w:rPr>
            </w:pPr>
            <w:r>
              <w:rPr>
                <w:b/>
                <w:color w:val="231F20"/>
                <w:sz w:val="20"/>
              </w:rPr>
              <w:t>Messages clés</w:t>
            </w:r>
          </w:p>
        </w:tc>
        <w:tc>
          <w:tcPr>
            <w:tcW w:w="5357" w:type="dxa"/>
            <w:tcBorders>
              <w:top w:val="single" w:sz="12" w:space="0" w:color="F99D25"/>
              <w:left w:val="single" w:sz="8" w:space="0" w:color="F99D25"/>
              <w:right w:val="nil"/>
            </w:tcBorders>
            <w:shd w:val="clear" w:color="auto" w:fill="FFF2E3"/>
          </w:tcPr>
          <w:p>
            <w:pPr>
              <w:pStyle w:val="TableParagraph"/>
              <w:spacing w:before="58"/>
              <w:rPr>
                <w:sz w:val="20"/>
              </w:rPr>
            </w:pPr>
            <w:r>
              <w:rPr>
                <w:color w:val="231F20"/>
                <w:sz w:val="20"/>
              </w:rPr>
              <w:t>Participation à la vie politique et publique, Session 2</w:t>
            </w:r>
          </w:p>
        </w:tc>
      </w:tr>
      <w:tr>
        <w:trPr>
          <w:trHeight w:val="1060" w:hRule="exact"/>
        </w:trPr>
        <w:tc>
          <w:tcPr>
            <w:tcW w:w="1134" w:type="dxa"/>
            <w:tcBorders>
              <w:left w:val="nil"/>
              <w:right w:val="single" w:sz="8" w:space="0" w:color="F99D25"/>
            </w:tcBorders>
          </w:tcPr>
          <w:p>
            <w:pPr/>
          </w:p>
        </w:tc>
        <w:tc>
          <w:tcPr>
            <w:tcW w:w="1389" w:type="dxa"/>
            <w:tcBorders>
              <w:left w:val="single" w:sz="8" w:space="0" w:color="F99D25"/>
              <w:right w:val="single" w:sz="8" w:space="0" w:color="F99D25"/>
            </w:tcBorders>
            <w:shd w:val="clear" w:color="auto" w:fill="FFF2E3"/>
          </w:tcPr>
          <w:p>
            <w:pPr>
              <w:pStyle w:val="TableParagraph"/>
              <w:spacing w:before="27"/>
              <w:ind w:right="415"/>
              <w:rPr>
                <w:b/>
                <w:sz w:val="20"/>
              </w:rPr>
            </w:pPr>
            <w:r>
              <w:rPr>
                <w:b/>
                <w:color w:val="231F20"/>
                <w:sz w:val="20"/>
              </w:rPr>
              <w:t>Objectifs</w:t>
            </w:r>
          </w:p>
        </w:tc>
        <w:tc>
          <w:tcPr>
            <w:tcW w:w="5357" w:type="dxa"/>
            <w:tcBorders>
              <w:left w:val="single" w:sz="8" w:space="0" w:color="F99D25"/>
              <w:right w:val="nil"/>
            </w:tcBorders>
            <w:shd w:val="clear" w:color="auto" w:fill="FFF2E3"/>
          </w:tcPr>
          <w:p>
            <w:pPr>
              <w:pStyle w:val="TableParagraph"/>
              <w:rPr>
                <w:sz w:val="20"/>
              </w:rPr>
            </w:pPr>
            <w:r>
              <w:rPr>
                <w:color w:val="231F20"/>
                <w:sz w:val="20"/>
              </w:rPr>
              <w:t>À la fin de la session, les participants auront :</w:t>
            </w:r>
          </w:p>
          <w:p>
            <w:pPr>
              <w:pStyle w:val="TableParagraph"/>
              <w:spacing w:line="220" w:lineRule="exact" w:before="50"/>
              <w:ind w:left="197" w:right="298" w:hanging="128"/>
              <w:jc w:val="both"/>
              <w:rPr>
                <w:sz w:val="20"/>
              </w:rPr>
            </w:pPr>
            <w:r>
              <w:rPr>
                <w:color w:val="231F20"/>
                <w:sz w:val="20"/>
              </w:rPr>
              <w:t>- discuté des mesures pratiques permettant de garantir que les personnes handicapées sont incluses dans le</w:t>
            </w:r>
            <w:r>
              <w:rPr>
                <w:color w:val="231F20"/>
                <w:spacing w:val="-6"/>
                <w:sz w:val="20"/>
              </w:rPr>
              <w:t> </w:t>
            </w:r>
            <w:r>
              <w:rPr>
                <w:color w:val="231F20"/>
                <w:sz w:val="20"/>
              </w:rPr>
              <w:t>processus politique.</w:t>
            </w:r>
          </w:p>
        </w:tc>
      </w:tr>
      <w:tr>
        <w:trPr>
          <w:trHeight w:val="977" w:hRule="exact"/>
        </w:trPr>
        <w:tc>
          <w:tcPr>
            <w:tcW w:w="1134" w:type="dxa"/>
            <w:tcBorders>
              <w:left w:val="nil"/>
              <w:right w:val="single" w:sz="8" w:space="0" w:color="F99D25"/>
            </w:tcBorders>
            <w:shd w:val="clear" w:color="auto" w:fill="FFF2E3"/>
          </w:tcPr>
          <w:p>
            <w:pPr/>
          </w:p>
        </w:tc>
        <w:tc>
          <w:tcPr>
            <w:tcW w:w="1389" w:type="dxa"/>
            <w:tcBorders>
              <w:left w:val="single" w:sz="8" w:space="0" w:color="F99D25"/>
              <w:right w:val="single" w:sz="8" w:space="0" w:color="F99D25"/>
            </w:tcBorders>
            <w:shd w:val="clear" w:color="auto" w:fill="FFF2E3"/>
          </w:tcPr>
          <w:p>
            <w:pPr>
              <w:pStyle w:val="TableParagraph"/>
              <w:spacing w:line="220" w:lineRule="exact" w:before="49"/>
              <w:ind w:right="0"/>
              <w:rPr>
                <w:b/>
                <w:sz w:val="20"/>
              </w:rPr>
            </w:pPr>
            <w:r>
              <w:rPr>
                <w:b/>
                <w:color w:val="231F20"/>
                <w:sz w:val="20"/>
              </w:rPr>
              <w:t>Organisation de la classe</w:t>
            </w:r>
          </w:p>
        </w:tc>
        <w:tc>
          <w:tcPr>
            <w:tcW w:w="5357" w:type="dxa"/>
            <w:tcBorders>
              <w:left w:val="single" w:sz="8" w:space="0" w:color="F99D25"/>
              <w:right w:val="nil"/>
            </w:tcBorders>
            <w:shd w:val="clear" w:color="auto" w:fill="FFF2E3"/>
          </w:tcPr>
          <w:p>
            <w:pPr>
              <w:pStyle w:val="TableParagraph"/>
              <w:rPr>
                <w:sz w:val="20"/>
              </w:rPr>
            </w:pPr>
            <w:r>
              <w:rPr>
                <w:color w:val="231F20"/>
                <w:sz w:val="20"/>
              </w:rPr>
              <w:t>Tables pour petits groupes de 4.</w:t>
            </w:r>
          </w:p>
          <w:p>
            <w:pPr>
              <w:pStyle w:val="TableParagraph"/>
              <w:spacing w:line="220" w:lineRule="exact" w:before="50"/>
              <w:rPr>
                <w:sz w:val="20"/>
              </w:rPr>
            </w:pPr>
            <w:r>
              <w:rPr>
                <w:color w:val="231F20"/>
                <w:sz w:val="20"/>
              </w:rPr>
              <w:t>Table ronde/Cercle de chaises pour une discussion en classe entière.</w:t>
            </w:r>
          </w:p>
        </w:tc>
      </w:tr>
      <w:tr>
        <w:trPr>
          <w:trHeight w:val="1337" w:hRule="exact"/>
        </w:trPr>
        <w:tc>
          <w:tcPr>
            <w:tcW w:w="1134" w:type="dxa"/>
            <w:tcBorders>
              <w:left w:val="nil"/>
              <w:right w:val="single" w:sz="8" w:space="0" w:color="F99D25"/>
            </w:tcBorders>
            <w:shd w:val="clear" w:color="auto" w:fill="FFF2E3"/>
          </w:tcPr>
          <w:p>
            <w:pPr/>
          </w:p>
        </w:tc>
        <w:tc>
          <w:tcPr>
            <w:tcW w:w="1389" w:type="dxa"/>
            <w:tcBorders>
              <w:left w:val="single" w:sz="8" w:space="0" w:color="F99D25"/>
              <w:right w:val="single" w:sz="8" w:space="0" w:color="F99D25"/>
            </w:tcBorders>
            <w:shd w:val="clear" w:color="auto" w:fill="FFF2E3"/>
          </w:tcPr>
          <w:p>
            <w:pPr>
              <w:pStyle w:val="TableParagraph"/>
              <w:spacing w:before="27"/>
              <w:ind w:right="415"/>
              <w:rPr>
                <w:b/>
                <w:sz w:val="20"/>
              </w:rPr>
            </w:pPr>
            <w:r>
              <w:rPr>
                <w:b/>
                <w:color w:val="231F20"/>
                <w:sz w:val="20"/>
              </w:rPr>
              <w:t>Activité</w:t>
            </w:r>
          </w:p>
        </w:tc>
        <w:tc>
          <w:tcPr>
            <w:tcW w:w="5357" w:type="dxa"/>
            <w:tcBorders>
              <w:left w:val="single" w:sz="8" w:space="0" w:color="F99D25"/>
              <w:right w:val="nil"/>
            </w:tcBorders>
            <w:shd w:val="clear" w:color="auto" w:fill="FFF2E3"/>
          </w:tcPr>
          <w:p>
            <w:pPr>
              <w:pStyle w:val="TableParagraph"/>
              <w:spacing w:line="220" w:lineRule="exact" w:before="48"/>
              <w:rPr>
                <w:sz w:val="20"/>
              </w:rPr>
            </w:pPr>
            <w:r>
              <w:rPr>
                <w:color w:val="231F20"/>
                <w:sz w:val="20"/>
              </w:rPr>
              <w:t>20 min – Présentation et échanges sur les mesures clés pour garantir un processus politique inclusif</w:t>
            </w:r>
          </w:p>
          <w:p>
            <w:pPr>
              <w:pStyle w:val="TableParagraph"/>
              <w:spacing w:before="42"/>
              <w:rPr>
                <w:sz w:val="20"/>
              </w:rPr>
            </w:pPr>
            <w:r>
              <w:rPr>
                <w:color w:val="231F20"/>
                <w:sz w:val="20"/>
              </w:rPr>
              <w:t>30 min. – Travail en groupes : Activité d'apprentissage 2.C</w:t>
            </w:r>
          </w:p>
          <w:p>
            <w:pPr>
              <w:pStyle w:val="TableParagraph"/>
              <w:spacing w:line="220" w:lineRule="exact" w:before="50"/>
              <w:rPr>
                <w:sz w:val="20"/>
              </w:rPr>
            </w:pPr>
            <w:r>
              <w:rPr>
                <w:color w:val="231F20"/>
                <w:sz w:val="20"/>
              </w:rPr>
              <w:t>40 min. – Retour d’expérience et discussion de synthèse en classe entière</w:t>
            </w:r>
          </w:p>
        </w:tc>
      </w:tr>
      <w:tr>
        <w:trPr>
          <w:trHeight w:val="1077" w:hRule="exact"/>
        </w:trPr>
        <w:tc>
          <w:tcPr>
            <w:tcW w:w="1134" w:type="dxa"/>
            <w:tcBorders>
              <w:left w:val="nil"/>
              <w:right w:val="single" w:sz="8" w:space="0" w:color="F99D25"/>
            </w:tcBorders>
          </w:tcPr>
          <w:p>
            <w:pPr/>
          </w:p>
        </w:tc>
        <w:tc>
          <w:tcPr>
            <w:tcW w:w="1389" w:type="dxa"/>
            <w:tcBorders>
              <w:left w:val="single" w:sz="8" w:space="0" w:color="F99D25"/>
              <w:right w:val="single" w:sz="8" w:space="0" w:color="F99D25"/>
            </w:tcBorders>
            <w:shd w:val="clear" w:color="auto" w:fill="FFF2E3"/>
          </w:tcPr>
          <w:p>
            <w:pPr>
              <w:pStyle w:val="TableParagraph"/>
              <w:spacing w:before="27"/>
              <w:ind w:right="415"/>
              <w:rPr>
                <w:b/>
                <w:sz w:val="20"/>
              </w:rPr>
            </w:pPr>
            <w:r>
              <w:rPr>
                <w:b/>
                <w:color w:val="231F20"/>
                <w:sz w:val="20"/>
              </w:rPr>
              <w:t>Durée</w:t>
            </w:r>
          </w:p>
        </w:tc>
        <w:tc>
          <w:tcPr>
            <w:tcW w:w="5357" w:type="dxa"/>
            <w:tcBorders>
              <w:left w:val="single" w:sz="8" w:space="0" w:color="F99D25"/>
              <w:right w:val="nil"/>
            </w:tcBorders>
            <w:shd w:val="clear" w:color="auto" w:fill="FFF2E3"/>
          </w:tcPr>
          <w:p>
            <w:pPr>
              <w:pStyle w:val="TableParagraph"/>
              <w:rPr>
                <w:sz w:val="20"/>
              </w:rPr>
            </w:pPr>
            <w:r>
              <w:rPr>
                <w:color w:val="231F20"/>
                <w:sz w:val="20"/>
              </w:rPr>
              <w:t>90 minutes</w:t>
            </w:r>
          </w:p>
        </w:tc>
      </w:tr>
      <w:tr>
        <w:trPr>
          <w:trHeight w:val="1500" w:hRule="exact"/>
        </w:trPr>
        <w:tc>
          <w:tcPr>
            <w:tcW w:w="1134" w:type="dxa"/>
            <w:tcBorders>
              <w:left w:val="nil"/>
              <w:right w:val="single" w:sz="8" w:space="0" w:color="F99D25"/>
            </w:tcBorders>
          </w:tcPr>
          <w:p>
            <w:pPr/>
          </w:p>
        </w:tc>
        <w:tc>
          <w:tcPr>
            <w:tcW w:w="1389" w:type="dxa"/>
            <w:tcBorders>
              <w:left w:val="single" w:sz="8" w:space="0" w:color="F99D25"/>
              <w:right w:val="single" w:sz="8" w:space="0" w:color="F99D25"/>
            </w:tcBorders>
            <w:shd w:val="clear" w:color="auto" w:fill="FFF2E3"/>
          </w:tcPr>
          <w:p>
            <w:pPr>
              <w:pStyle w:val="TableParagraph"/>
              <w:spacing w:line="220" w:lineRule="exact" w:before="48"/>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F99D25"/>
              <w:right w:val="nil"/>
            </w:tcBorders>
            <w:shd w:val="clear" w:color="auto" w:fill="FFF2E3"/>
          </w:tcPr>
          <w:p>
            <w:pPr>
              <w:pStyle w:val="TableParagraph"/>
              <w:rPr>
                <w:sz w:val="20"/>
              </w:rPr>
            </w:pPr>
            <w:r>
              <w:rPr>
                <w:color w:val="231F20"/>
                <w:sz w:val="20"/>
              </w:rPr>
              <w:t>Pendant l'activité, attribuez une mesure à chaque groupe.</w:t>
            </w:r>
          </w:p>
          <w:p>
            <w:pPr>
              <w:pStyle w:val="TableParagraph"/>
              <w:spacing w:line="220" w:lineRule="exact" w:before="50"/>
              <w:ind w:right="0"/>
              <w:rPr>
                <w:sz w:val="20"/>
              </w:rPr>
            </w:pPr>
            <w:r>
              <w:rPr>
                <w:color w:val="231F20"/>
                <w:sz w:val="20"/>
              </w:rPr>
              <w:t>Pendant le retour d’expérience et la discussion de synthèse, animez la conversation et faites le lien avec l’article 29 et les droits des personnes handicapées à se présenter aux élections, à participer au service public et à former ou rejoindre des organisations.</w:t>
            </w:r>
          </w:p>
        </w:tc>
      </w:tr>
      <w:tr>
        <w:trPr>
          <w:trHeight w:val="977" w:hRule="exact"/>
        </w:trPr>
        <w:tc>
          <w:tcPr>
            <w:tcW w:w="1134" w:type="dxa"/>
            <w:tcBorders>
              <w:left w:val="nil"/>
              <w:right w:val="single" w:sz="8" w:space="0" w:color="F99D25"/>
            </w:tcBorders>
          </w:tcPr>
          <w:p>
            <w:pPr/>
          </w:p>
        </w:tc>
        <w:tc>
          <w:tcPr>
            <w:tcW w:w="1389" w:type="dxa"/>
            <w:tcBorders>
              <w:left w:val="single" w:sz="8" w:space="0" w:color="F99D25"/>
              <w:right w:val="single" w:sz="8" w:space="0" w:color="F99D25"/>
            </w:tcBorders>
            <w:shd w:val="clear" w:color="auto" w:fill="FFF2E3"/>
          </w:tcPr>
          <w:p>
            <w:pPr>
              <w:pStyle w:val="TableParagraph"/>
              <w:spacing w:line="220" w:lineRule="exact" w:before="48"/>
              <w:ind w:right="415"/>
              <w:rPr>
                <w:b/>
                <w:sz w:val="20"/>
              </w:rPr>
            </w:pPr>
            <w:r>
              <w:rPr>
                <w:b/>
                <w:color w:val="231F20"/>
                <w:sz w:val="20"/>
              </w:rPr>
              <w:t>Fiches de travail</w:t>
            </w:r>
          </w:p>
        </w:tc>
        <w:tc>
          <w:tcPr>
            <w:tcW w:w="5357" w:type="dxa"/>
            <w:tcBorders>
              <w:left w:val="single" w:sz="8" w:space="0" w:color="F99D25"/>
              <w:right w:val="nil"/>
            </w:tcBorders>
            <w:shd w:val="clear" w:color="auto" w:fill="FFF2E3"/>
          </w:tcPr>
          <w:p>
            <w:pPr>
              <w:pStyle w:val="TableParagraph"/>
              <w:spacing w:line="220" w:lineRule="exact" w:before="48"/>
              <w:rPr>
                <w:sz w:val="20"/>
              </w:rPr>
            </w:pPr>
            <w:r>
              <w:rPr>
                <w:color w:val="231F20"/>
                <w:sz w:val="20"/>
              </w:rPr>
              <w:t>Activité d'apprentissage 2.C. : Mesures pour garantir des processus politiques inclusifs</w:t>
            </w:r>
          </w:p>
        </w:tc>
      </w:tr>
      <w:tr>
        <w:trPr>
          <w:trHeight w:val="1020" w:hRule="exact"/>
        </w:trPr>
        <w:tc>
          <w:tcPr>
            <w:tcW w:w="1134" w:type="dxa"/>
            <w:tcBorders>
              <w:left w:val="nil"/>
              <w:bottom w:val="single" w:sz="12" w:space="0" w:color="F99D25"/>
              <w:right w:val="single" w:sz="8" w:space="0" w:color="F99D25"/>
            </w:tcBorders>
          </w:tcPr>
          <w:p>
            <w:pPr/>
          </w:p>
        </w:tc>
        <w:tc>
          <w:tcPr>
            <w:tcW w:w="1389" w:type="dxa"/>
            <w:tcBorders>
              <w:left w:val="single" w:sz="8" w:space="0" w:color="F99D25"/>
              <w:bottom w:val="single" w:sz="12" w:space="0" w:color="F99D25"/>
              <w:right w:val="single" w:sz="8" w:space="0" w:color="F99D25"/>
            </w:tcBorders>
            <w:shd w:val="clear" w:color="auto" w:fill="FFF2E3"/>
          </w:tcPr>
          <w:p>
            <w:pPr>
              <w:pStyle w:val="TableParagraph"/>
              <w:spacing w:before="26"/>
              <w:ind w:right="415"/>
              <w:rPr>
                <w:b/>
                <w:sz w:val="20"/>
              </w:rPr>
            </w:pPr>
            <w:r>
              <w:rPr>
                <w:b/>
                <w:color w:val="231F20"/>
                <w:sz w:val="20"/>
              </w:rPr>
              <w:t>Supports</w:t>
            </w:r>
          </w:p>
        </w:tc>
        <w:tc>
          <w:tcPr>
            <w:tcW w:w="5357" w:type="dxa"/>
            <w:tcBorders>
              <w:left w:val="single" w:sz="8" w:space="0" w:color="F99D25"/>
              <w:bottom w:val="single" w:sz="12" w:space="0" w:color="F99D25"/>
              <w:right w:val="nil"/>
            </w:tcBorders>
            <w:shd w:val="clear" w:color="auto" w:fill="FFF2E3"/>
          </w:tcPr>
          <w:p>
            <w:pPr>
              <w:pStyle w:val="TableParagraph"/>
              <w:rPr>
                <w:sz w:val="20"/>
              </w:rPr>
            </w:pPr>
            <w:r>
              <w:rPr>
                <w:color w:val="231F20"/>
                <w:sz w:val="20"/>
              </w:rPr>
              <w:t>N/A</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1"/>
        </w:rPr>
      </w:pPr>
    </w:p>
    <w:p>
      <w:pPr>
        <w:spacing w:after="0"/>
        <w:rPr>
          <w:sz w:val="21"/>
        </w:rPr>
        <w:sectPr>
          <w:pgSz w:w="11910" w:h="16840"/>
          <w:pgMar w:top="360" w:bottom="280" w:left="1640" w:right="1000"/>
        </w:sectPr>
      </w:pPr>
    </w:p>
    <w:p>
      <w:pPr>
        <w:pStyle w:val="Heading4"/>
        <w:tabs>
          <w:tab w:pos="699" w:val="left" w:leader="none"/>
          <w:tab w:pos="1022" w:val="left" w:leader="none"/>
        </w:tabs>
        <w:ind w:left="115"/>
      </w:pPr>
      <w:r>
        <w:rPr/>
        <w:pict>
          <v:group style="position:absolute;margin-left:0pt;margin-top:0pt;width:595.3pt;height:841.9pt;mso-position-horizontal-relative:page;mso-position-vertical-relative:page;z-index:-45304" coordorigin="0,0" coordsize="11906,16838">
            <v:rect style="position:absolute;left:2665;top:0;width:9241;height:16838" filled="true" fillcolor="#fff2e3" stroked="false">
              <v:fill type="solid"/>
            </v:rect>
            <v:shape style="position:absolute;left:0;top:0;width:2663;height:16838" type="#_x0000_t75" stroked="false">
              <v:imagedata r:id="rId30" o:title=""/>
            </v:shape>
            <v:rect style="position:absolute;left:0;top:0;width:397;height:16838" filled="true" fillcolor="#f99d25" stroked="false">
              <v:fill type="solid"/>
            </v:rect>
            <v:shape style="position:absolute;left:2904;top:3300;width:822;height:822" coordorigin="2904,3300" coordsize="822,822" path="m3315,3300l3241,3306,3171,3325,3107,3356,3050,3396,3000,3446,2960,3503,2930,3567,2910,3637,2904,3710,2910,3784,2930,3854,2960,3918,3000,3975,3050,4025,3107,4065,3171,4096,3241,4115,3315,4121,3389,4115,3458,4096,3522,4065,3579,4025,3629,3975,3669,3918,3700,3854,3719,3784,3726,3710,3719,3637,3700,3567,3669,3503,3629,3446,3579,3396,3522,3356,3458,3325,3389,3306,3315,3300xe" filled="true" fillcolor="#f99d25" stroked="false">
              <v:path arrowok="t"/>
              <v:fill type="solid"/>
            </v:shape>
            <v:shape style="position:absolute;left:2966;top:3362;width:697;height:697" coordorigin="2966,3362" coordsize="697,697" path="m3315,3362l3244,3369,3179,3390,3120,3422,3068,3464,3026,3516,2994,3575,2973,3640,2966,3710,2973,3781,2994,3846,3026,3905,3068,3957,3120,3999,3179,4031,3244,4052,3315,4059,3385,4052,3450,4031,3509,3999,3510,3999,3315,3999,3238,3988,3169,3959,3111,3914,3066,3856,3037,3787,3027,3710,3037,3634,3066,3565,3111,3507,3169,3462,3238,3433,3315,3422,3510,3422,3509,3422,3450,3390,3385,3369,3315,3362xm3510,3422l3315,3422,3391,3433,3460,3462,3518,3507,3563,3565,3592,3634,3603,3710,3592,3787,3563,3856,3518,3914,3460,3959,3391,3988,3315,3999,3510,3999,3561,3957,3604,3905,3636,3846,3656,3781,3663,3710,3656,3640,3636,3575,3604,3516,3561,3464,3510,3422xm3315,3484l3243,3495,3181,3527,3132,3577,3099,3639,3088,3710,3099,3782,3132,3844,3181,3894,3243,3926,3315,3937,3386,3926,3449,3894,3468,3875,3315,3875,3251,3862,3199,3827,3163,3774,3151,3710,3163,3647,3199,3594,3251,3559,3315,3546,3468,3546,3449,3527,3386,3495,3315,3484xm3468,3546l3315,3546,3379,3559,3431,3594,3466,3647,3479,3710,3466,3774,3431,3827,3379,3862,3315,3875,3468,3875,3498,3844,3530,3782,3542,3710,3530,3639,3498,3577,3468,3546xm3315,3617l3278,3624,3249,3644,3228,3674,3221,3710,3228,3747,3249,3777,3278,3797,3315,3804,3351,3797,3381,3777,3401,3747,3408,3710,3401,3674,3381,3644,3351,3624,3315,3617xe" filled="true" fillcolor="#ffffff" stroked="false">
              <v:path arrowok="t"/>
              <v:fill type="solid"/>
            </v:shape>
            <v:shape style="position:absolute;left:2901;top:4362;width:822;height:822" type="#_x0000_t75" stroked="false">
              <v:imagedata r:id="rId31" o:title=""/>
            </v:shape>
            <v:shape style="position:absolute;left:2915;top:6667;width:806;height:927" coordorigin="2915,6667" coordsize="806,927" path="m3360,6744l3275,6744,3275,6790,3202,6805,3133,6832,3072,6871,3019,6920,2975,6978,2943,7043,2922,7114,2915,7191,2921,7263,2940,7331,2970,7394,3009,7450,3058,7499,3114,7538,3177,7568,3245,7587,3317,7593,3390,7587,3458,7568,3521,7538,3556,7514,3317,7514,3243,7505,3175,7481,3115,7443,3065,7393,3027,7333,3003,7265,2995,7191,3003,7117,3003,7116,3027,7049,3065,6989,3115,6939,3175,6900,3243,6876,3317,6868,3619,6868,3645,6842,3520,6842,3483,6823,3444,6808,3403,6797,3360,6790,3360,6744xm3619,6868l3317,6868,3392,6876,3459,6900,3519,6939,3569,6989,3608,7049,3632,7116,3632,7117,3640,7191,3632,7265,3608,7333,3569,7393,3519,7443,3459,7481,3392,7505,3317,7514,3556,7514,3577,7499,3626,7450,3665,7394,3695,7331,3714,7263,3720,7191,3711,7105,3685,7026,3645,6955,3591,6895,3619,6868xm3326,7116l3319,7116,3286,7123,3259,7141,3241,7168,3234,7201,3241,7234,3259,7261,3286,7279,3319,7285,3351,7279,3378,7261,3396,7234,3403,7201,3403,7189,3401,7178,3396,7168,3429,7119,3340,7119,3333,7117,3326,7116xm3513,6993l3340,7119,3429,7119,3513,6993xm3586,6783l3520,6842,3645,6842,3647,6840,3586,6783xm3410,6667l3220,6667,3220,6744,3410,6744,3410,6667xe" filled="true" fillcolor="#f99d25" stroked="false">
              <v:path arrowok="t"/>
              <v:fill type="solid"/>
            </v:shape>
            <v:shape style="position:absolute;left:2909;top:7746;width:822;height:822" coordorigin="2909,7746" coordsize="822,822" path="m3320,7746l3246,7753,3177,7772,3113,7802,3055,7843,3006,7892,2965,7950,2935,8014,2916,8083,2909,8157,2916,8231,2935,8300,2965,8364,3006,8422,3055,8471,3113,8512,3177,8542,3246,8561,3320,8568,3394,8561,3463,8542,3527,8512,3585,8471,3634,8422,3675,8364,3705,8300,3724,8231,3731,8157,3724,8083,3705,8014,3675,7950,3634,7892,3585,7843,3527,7802,3463,7772,3394,7753,3320,7746xe" filled="true" fillcolor="#f99d25" stroked="false">
              <v:path arrowok="t"/>
              <v:fill type="solid"/>
            </v:shape>
            <v:shape style="position:absolute;left:3009;top:7812;width:654;height:587" coordorigin="3009,7812" coordsize="654,587" path="m3448,7812l3417,7830,3415,7833,3414,7833,3411,7836,3326,7936,3309,7955,3299,7966,3294,7972,3291,7973,3278,7976,3274,7977,3244,7984,3213,7994,3184,8006,3156,8018,3140,8026,3137,8032,3126,8041,3111,8056,3094,8075,3078,8095,3065,8112,3048,8135,3030,8164,3015,8193,3009,8216,3010,8230,3011,8242,3015,8253,3021,8264,3026,8273,3036,8284,3048,8287,3039,8303,3029,8324,3021,8345,3018,8365,3020,8377,3026,8388,3036,8396,3048,8398,3065,8394,3082,8384,3115,8359,3121,8354,3131,8342,3187,8342,3197,8340,3228,8327,3265,8313,3312,8307,3540,8307,3528,8301,3151,8301,3147,8295,3144,8290,3151,8277,3170,8264,3192,8253,3206,8246,3209,8245,3069,8245,3056,8242,3054,8223,3059,8211,3080,8174,3112,8128,3147,8086,3175,8062,3178,8060,3180,8059,3190,8054,3212,8045,3226,8038,3238,8036,3302,8036,3304,8034,3304,8033,3306,8031,3346,7985,3348,7983,3348,7983,3350,7980,3415,7905,3419,7901,3421,7897,3425,7894,3452,7862,3462,7861,3531,7861,3514,7840,3483,7818,3448,7812xm3540,8307l3312,8307,3340,8307,3364,8308,3389,8310,3417,8313,3440,8316,3453,8319,3465,8324,3485,8334,3583,8380,3602,8388,3615,8340,3601,8334,3576,8323,3546,8310,3540,8307xm3187,8342l3131,8342,3135,8344,3153,8346,3170,8346,3187,8342xm3321,8259l3285,8260,3258,8265,3234,8273,3198,8288,3193,8291,3173,8299,3176,8301,3528,8301,3518,8296,3467,8274,3450,8271,3405,8264,3389,8262,3374,8261,3356,8260,3337,8259,3321,8259xm3237,8039l3234,8042,3218,8060,3194,8088,3173,8112,3151,8138,3107,8188,3097,8202,3085,8221,3074,8237,3069,8245,3209,8245,3228,8235,3248,8225,3139,8225,3148,8213,3158,8202,3169,8190,3209,8143,3210,8142,3237,8111,3241,8107,3243,8104,3249,8097,3249,8097,3254,8091,3255,8091,3259,8086,3259,8085,3263,8080,3265,8079,3267,8077,3298,8041,3237,8041,3237,8039xm3531,7861l3462,7861,3480,7873,3489,7880,3491,7884,3496,7895,3428,7974,3399,8006,3385,8022,3372,8037,3308,8112,3306,8115,3304,8116,3300,8121,3300,8121,3293,8129,3291,8132,3283,8140,3281,8143,3273,8151,3272,8153,3262,8161,3258,8163,3253,8166,3197,8197,3162,8214,3146,8223,3139,8225,3248,8225,3250,8224,3271,8212,3291,8199,3298,8193,3302,8190,3312,8180,3313,8178,3320,8171,3320,8169,3324,8165,3335,8153,3348,8138,3359,8124,3370,8112,3375,8106,3380,8101,3388,8091,3390,8089,3409,8068,3412,8064,3413,8063,3416,8058,3491,8058,3450,8020,3468,7999,3471,7996,3472,7995,3478,7989,3478,7988,3482,7983,3506,7955,3513,7947,3522,7937,3531,7927,3537,7919,3543,7905,3544,7891,3540,7878,3535,7865,3531,7861xm3491,8058l3416,8058,3422,8060,3422,8060,3429,8068,3431,8069,3435,8072,3511,8143,3650,8186,3663,8138,3536,8099,3491,8058xm3250,8097l3249,8097,3249,8097,3250,8097xm3302,8036l3238,8036,3237,8041,3298,8041,3301,8037,3302,8036xm3348,7983l3348,7983,3348,7983,3348,7983xe" filled="true" fillcolor="#ffffff" stroked="false">
              <v:path arrowok="t"/>
              <v:fill type="solid"/>
            </v:shape>
            <v:shape style="position:absolute;left:2903;top:9255;width:822;height:822" coordorigin="2903,9255" coordsize="822,822" path="m3314,9255l3240,9261,3171,9280,3107,9311,3049,9351,3000,9401,2959,9458,2929,9522,2910,9592,2903,9666,2910,9739,2929,9809,2959,9873,3000,9930,3049,9980,3107,10020,3171,10051,3240,10070,3314,10077,3388,10070,3457,10051,3521,10020,3579,9980,3628,9930,3669,9873,3699,9809,3718,9739,3725,9666,3718,9592,3699,9522,3669,9458,3628,9401,3579,9351,3521,9311,3457,9280,3388,9261,3314,9255xe" filled="true" fillcolor="#f99d25" stroked="false">
              <v:path arrowok="t"/>
              <v:fill type="solid"/>
            </v:shape>
            <v:shape style="position:absolute;left:3036;top:9368;width:511;height:304" coordorigin="3036,9368" coordsize="511,304" path="m3514,9453l3374,9453,3375,9457,3371,9458,3351,9473,3334,9484,3322,9491,3309,9499,3297,9506,3284,9514,3272,9521,3260,9527,3246,9534,3213,9550,3203,9555,3191,9559,3169,9568,3157,9573,3145,9577,3133,9580,3120,9584,3105,9588,3093,9590,3081,9593,3057,9598,3054,9601,3040,9613,3037,9621,3036,9629,3036,9637,3040,9650,3047,9661,3058,9669,3071,9671,3091,9670,3113,9666,3134,9660,3163,9652,3171,9649,3179,9647,3205,9637,3234,9625,3263,9612,3289,9600,3359,9560,3371,9552,3383,9545,3425,9516,3490,9516,3498,9493,3514,9453xm3490,9516l3425,9516,3430,9519,3433,9524,3437,9529,3459,9555,3462,9558,3467,9565,3470,9567,3480,9542,3490,9516xm3546,9368l3516,9372,3350,9399,3338,9402,3331,9403,3332,9407,3349,9425,3353,9430,3369,9449,3372,9453,3374,9453,3514,9453,3517,9444,3532,9408,3538,9392,3544,9377,3546,9368xe" filled="true" fillcolor="#ffffff" stroked="false">
              <v:path arrowok="t"/>
              <v:fill type="solid"/>
            </v:shape>
            <v:shape style="position:absolute;left:3398;top:9586;width:124;height:360" type="#_x0000_t75" stroked="false">
              <v:imagedata r:id="rId32" o:title=""/>
            </v:shape>
            <v:shape style="position:absolute;left:3232;top:9666;width:124;height:280" type="#_x0000_t75" stroked="false">
              <v:imagedata r:id="rId26" o:title=""/>
            </v:shape>
            <v:shape style="position:absolute;left:3067;top:9746;width:124;height:200" type="#_x0000_t75" stroked="false">
              <v:imagedata r:id="rId33" o:title=""/>
            </v:shape>
            <v:shape style="position:absolute;left:2902;top:10257;width:822;height:822" coordorigin="2902,10257" coordsize="822,822" path="m3313,10257l3239,10264,3170,10283,3106,10313,3048,10354,2999,10403,2958,10461,2928,10525,2909,10594,2902,10668,2909,10742,2928,10811,2958,10875,2999,10933,3048,10982,3106,11023,3170,11053,3239,11072,3313,11079,3387,11072,3456,11053,3520,11023,3578,10982,3627,10933,3668,10875,3698,10811,3717,10742,3724,10668,3717,10594,3698,10525,3668,10461,3627,10403,3578,10354,3520,10313,3456,10283,3387,10264,3313,10257xe" filled="true" fillcolor="#f99d25" stroked="false">
              <v:path arrowok="t"/>
              <v:fill type="solid"/>
            </v:shape>
            <v:line style="position:absolute" from="3209,10503" to="3427,10503" stroked="true" strokeweight="1.827pt" strokecolor="#ffffff"/>
            <v:line style="position:absolute" from="3209,10683" to="3427,10683" stroked="true" strokeweight="1.824pt" strokecolor="#ffffff"/>
            <v:line style="position:absolute" from="3209,10593" to="3427,10593" stroked="true" strokeweight="1.823pt" strokecolor="#ffffff"/>
            <v:line style="position:absolute" from="3209,10772" to="3427,10772" stroked="true" strokeweight="1.846pt" strokecolor="#ffffff"/>
            <v:shape style="position:absolute;left:3107;top:10386;width:403;height:518" coordorigin="3107,10386" coordsize="403,518" path="m3438,10386l3179,10386,3165,10388,3151,10392,3139,10398,3129,10407,3120,10418,3113,10430,3109,10444,3107,10458,3107,10832,3109,10846,3113,10860,3120,10872,3129,10882,3129,10883,3139,10891,3151,10898,3165,10902,3179,10904,3438,10904,3452,10902,3466,10898,3478,10891,3489,10882,3498,10872,3501,10865,3170,10865,3162,10861,3156,10855,3156,10855,3150,10849,3146,10841,3146,10449,3150,10441,3162,10429,3170,10425,3501,10425,3498,10418,3489,10407,3489,10407,3478,10398,3466,10392,3452,10388,3438,10386xm3501,10425l3447,10425,3455,10429,3461,10435,3461,10435,3467,10441,3471,10449,3471,10841,3467,10849,3455,10861,3447,10865,3501,10865,3504,10860,3508,10846,3510,10832,3510,10458,3508,10444,3504,10430,3501,10425xm3156,10855l3156,10855,3156,10855,3156,10855xe" filled="true" fillcolor="#ffffff" stroked="false">
              <v:path arrowok="t"/>
              <v:fill type="solid"/>
            </v:shape>
            <v:shape style="position:absolute;left:-19;top:16526;width:684;height:312" coordorigin="-19,16526" coordsize="684,312" path="m2991,10902l3078,10902,3078,10844,3078,10841,3086,10837,3094,10828,3098,10823,3103,10815,3106,10808,3114,10785,3117,10768,3124,10747,3143,10713,3170,10674,3176,10664,3183,10653,3186,10640,3182,10628,3170,10620,3159,10622,3148,10629,3139,10636,3127,10648,3116,10661,3103,10674,3090,10685,3084,10690,3075,10694,3064,10693,3064,10674,3072,10660,3083,10650,3088,10645,3088,10590,3072,10595,3053,10607,3035,10622,3019,10633,2995,10650,2980,10662,2973,10677,2972,10700,2972,10728,2972,10773,2972,10816,2973,10840,2991,10902xm3637,10902l3550,10902,3550,10844,3549,10841,3541,10837,3533,10828,3529,10823,3524,10815,3521,10808,3513,10785,3510,10768,3503,10747,3484,10713,3457,10674,3451,10664,3444,10653,3441,10640,3446,10628,3457,10620,3468,10622,3479,10629,3488,10636,3500,10648,3511,10661,3524,10674,3537,10685,3543,10690,3552,10694,3563,10693,3563,10674,3555,10660,3544,10650,3539,10645,3539,10590,3556,10595,3574,10607,3592,10622,3608,10633,3632,10650,3647,10662,3654,10677,3655,10700,3655,10728,3655,10773,3655,10816,3654,10840,3637,10902xe" filled="false" stroked="true" strokeweight=".966pt" strokecolor="#f99d25">
              <v:path arrowok="t"/>
            </v:shape>
            <v:shape style="position:absolute;left:2972;top:10590;width:215;height:312" coordorigin="2972,10590" coordsize="215,312" path="m3088,10590l3072,10595,3053,10607,3019,10633,2995,10650,2980,10662,2973,10677,2972,10700,2972,10816,2973,10840,2991,10902,3078,10902,3078,10844,3078,10841,3086,10837,3098,10823,3103,10815,3106,10808,3114,10785,3117,10768,3124,10747,3143,10713,3156,10694,3075,10694,3064,10693,3064,10685,3064,10674,3072,10660,3083,10650,3088,10645,3088,10590xm3170,10620l3159,10622,3148,10629,3139,10636,3127,10648,3116,10661,3103,10674,3090,10685,3084,10690,3075,10694,3156,10694,3170,10674,3176,10664,3183,10653,3186,10640,3182,10628,3170,10620xe" filled="true" fillcolor="#ffffff" stroked="false">
              <v:path arrowok="t"/>
              <v:fill type="solid"/>
            </v:shape>
            <v:shape style="position:absolute;left:3441;top:10590;width:215;height:312" coordorigin="3441,10590" coordsize="215,312" path="m3457,10620l3446,10628,3441,10640,3444,10653,3451,10664,3457,10674,3484,10713,3503,10747,3510,10768,3513,10785,3521,10808,3524,10815,3529,10823,3541,10837,3549,10841,3550,10844,3550,10902,3637,10902,3654,10840,3655,10816,3655,10700,3655,10694,3552,10694,3543,10690,3537,10685,3524,10674,3511,10661,3500,10648,3488,10636,3479,10629,3468,10622,3457,10620xm3539,10590l3539,10645,3544,10650,3555,10660,3563,10674,3563,10685,3563,10693,3552,10694,3655,10694,3654,10677,3647,10662,3632,10650,3608,10633,3574,10607,3556,10595,3539,10590xe" filled="true" fillcolor="#ffffff" stroked="false">
              <v:path arrowok="t"/>
              <v:fill type="solid"/>
            </v:shape>
            <v:shape style="position:absolute;left:2899;top:5339;width:841;height:841" type="#_x0000_t75" stroked="false">
              <v:imagedata r:id="rId34" o:title=""/>
            </v:shape>
            <v:shape style="position:absolute;left:3049;top:5390;width:317;height:294" type="#_x0000_t75" stroked="false">
              <v:imagedata r:id="rId35" o:title=""/>
            </v:shape>
            <v:shape style="position:absolute;left:2902;top:2304;width:822;height:822" coordorigin="2902,2304" coordsize="822,822" path="m3313,2304l3239,2310,3170,2329,3106,2360,3048,2400,2999,2450,2958,2507,2928,2571,2909,2641,2902,2714,2909,2788,2928,2858,2958,2922,2999,2979,3048,3029,3106,3069,3170,3100,3239,3119,3313,3125,3387,3119,3456,3100,3520,3069,3578,3029,3627,2979,3668,2922,3698,2858,3717,2788,3724,2714,3717,2641,3698,2571,3668,2507,3627,2450,3578,2400,3520,2360,3456,2329,3387,2310,3313,2304xe" filled="true" fillcolor="#f99d25" stroked="false">
              <v:path arrowok="t"/>
              <v:fill type="solid"/>
            </v:shape>
            <v:shape style="position:absolute;left:3014;top:2415;width:599;height:556" coordorigin="3014,2415" coordsize="599,556" path="m3433,2415l3415,2416,3397,2420,3381,2425,3367,2431,3355,2438,3344,2445,3334,2453,3324,2462,3319,2467,3311,2475,3306,2480,3300,2490,3287,2512,3278,2535,3272,2560,3270,2587,3272,2610,3275,2620,3272,2626,3260,2638,3019,2879,3015,2880,3014,2888,3014,2931,3031,2945,3039,2953,3054,2970,3141,2970,3149,2964,3164,2950,3179,2935,3185,2926,3057,2926,3057,2886,3056,2886,3057,2882,3060,2882,3213,2729,3251,2691,3270,2672,3589,2672,3597,2657,3604,2638,3609,2618,3612,2599,3612,2585,3492,2585,3467,2582,3457,2576,3449,2567,3443,2556,3441,2543,3451,2516,3474,2502,3591,2502,3580,2484,3566,2467,3551,2453,3534,2442,3515,2431,3495,2422,3475,2418,3456,2415,3433,2415xm3271,2713l3254,2729,3086,2897,3072,2913,3063,2921,3057,2926,3185,2926,3185,2885,3228,2885,3228,2842,3270,2842,3270,2799,3354,2799,3363,2792,3379,2777,3395,2761,3403,2753,3475,2753,3490,2750,3529,2733,3550,2717,3271,2717,3271,2713xm3057,2885l3056,2886,3057,2886,3057,2885xm3060,2882l3057,2882,3057,2885,3060,2882xm3475,2753l3403,2753,3414,2754,3422,2755,3432,2756,3449,2757,3475,2753xm3555,2713l3271,2713,3271,2717,3550,2717,3555,2713xm3589,2672l3270,2672,3271,2713,3271,2713,3555,2713,3562,2707,3588,2675,3589,2672xm3591,2502l3474,2502,3501,2504,3523,2526,3526,2551,3514,2573,3492,2585,3612,2585,3612,2571,3609,2548,3602,2525,3593,2504,3591,2502xe" filled="true" fillcolor="#ffffff" stroked="false">
              <v:path arrowok="t"/>
              <v:fill type="solid"/>
            </v:shape>
            <w10:wrap type="none"/>
          </v:group>
        </w:pict>
      </w:r>
      <w:r>
        <w:rPr>
          <w:color w:val="FFFFFF"/>
          <w:shd w:fill="F99D25" w:color="auto" w:val="clear"/>
        </w:rPr>
        <w:t> </w:t>
        <w:tab/>
        <w:t>20</w:t>
        <w:tab/>
      </w:r>
    </w:p>
    <w:p>
      <w:pPr>
        <w:spacing w:before="117"/>
        <w:ind w:left="115" w:right="0" w:firstLine="0"/>
        <w:jc w:val="left"/>
        <w:rPr>
          <w:rFonts w:ascii="Myriad Pro" w:hAnsi="Myriad Pro"/>
          <w:sz w:val="16"/>
        </w:rPr>
      </w:pPr>
      <w:r>
        <w:rPr/>
        <w:br w:type="column"/>
      </w:r>
      <w:r>
        <w:rPr>
          <w:rFonts w:ascii="Myriad Pro" w:hAnsi="Myriad Pro"/>
          <w:color w:val="6D6E71"/>
          <w:sz w:val="16"/>
        </w:rPr>
        <w:t>Module 11 - PARTICIPATION À LA VIE POLITIQUE ET PUBLIQUE</w:t>
      </w:r>
    </w:p>
    <w:p>
      <w:pPr>
        <w:spacing w:after="0"/>
        <w:jc w:val="left"/>
        <w:rPr>
          <w:rFonts w:ascii="Myriad Pro" w:hAnsi="Myriad Pro"/>
          <w:sz w:val="16"/>
        </w:rPr>
        <w:sectPr>
          <w:type w:val="continuous"/>
          <w:pgSz w:w="11910" w:h="16840"/>
          <w:pgMar w:top="1600" w:bottom="280" w:left="1640" w:right="1000"/>
          <w:cols w:num="2" w:equalWidth="0">
            <w:col w:w="1023" w:space="112"/>
            <w:col w:w="8135"/>
          </w:cols>
        </w:sectPr>
      </w:pPr>
    </w:p>
    <w:p>
      <w:pPr>
        <w:spacing w:before="57"/>
        <w:ind w:left="5034" w:right="1238" w:firstLine="0"/>
        <w:jc w:val="left"/>
        <w:rPr>
          <w:rFonts w:ascii="Myriad Pro" w:hAnsi="Myriad Pro"/>
          <w:sz w:val="16"/>
        </w:rPr>
      </w:pPr>
      <w:r>
        <w:rPr>
          <w:rFonts w:ascii="Myriad Pro" w:hAnsi="Myriad Pro"/>
          <w:color w:val="F99D25"/>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32.7pt;mso-position-horizontal-relative:page;mso-position-vertical-relative:paragraph;z-index:3400;mso-wrap-distance-left:0;mso-wrap-distance-right:0" type="#_x0000_t202" filled="true" fillcolor="#231f20" stroked="false">
            <v:textbox inset="0,0,0,0">
              <w:txbxContent>
                <w:p>
                  <w:pPr>
                    <w:spacing w:line="254" w:lineRule="auto" w:before="32"/>
                    <w:ind w:left="3021" w:right="227" w:hanging="2336"/>
                    <w:jc w:val="left"/>
                    <w:rPr>
                      <w:rFonts w:ascii="Myriad Pro" w:hAnsi="Myriad Pro"/>
                      <w:b/>
                      <w:sz w:val="22"/>
                    </w:rPr>
                  </w:pPr>
                  <w:bookmarkStart w:name="_TOC_250000" w:id="12"/>
                  <w:bookmarkEnd w:id="12"/>
                  <w:r>
                    <w:rPr>
                      <w:rFonts w:ascii="Myriad Pro" w:hAnsi="Myriad Pro"/>
                      <w:b/>
                      <w:color w:val="FFFFFF"/>
                      <w:sz w:val="22"/>
                    </w:rPr>
                    <w:t>Activité d'apprentissage 2.C. : Mesures pour garantir des processus politiques inclusifs</w:t>
                  </w:r>
                </w:p>
              </w:txbxContent>
            </v:textbox>
            <v:fill type="solid"/>
            <w10:wrap type="topAndBottom"/>
          </v:shape>
        </w:pict>
      </w:r>
    </w:p>
    <w:p>
      <w:pPr>
        <w:pStyle w:val="BodyText"/>
        <w:spacing w:before="4"/>
        <w:rPr>
          <w:rFonts w:ascii="Myriad Pro"/>
          <w:sz w:val="9"/>
        </w:rPr>
      </w:pPr>
    </w:p>
    <w:p>
      <w:pPr>
        <w:pStyle w:val="Heading6"/>
        <w:spacing w:line="256" w:lineRule="auto"/>
        <w:ind w:left="113" w:right="1349"/>
      </w:pPr>
      <w:r>
        <w:rPr>
          <w:i/>
          <w:color w:val="231F20"/>
        </w:rPr>
        <w:t>Objectif : Discuter des mesures pratiques permettant de garantir que les personnes </w:t>
      </w:r>
      <w:r>
        <w:rPr>
          <w:color w:val="231F20"/>
        </w:rPr>
        <w:t>handicapées sont incluses dans le processus politique.</w:t>
      </w:r>
    </w:p>
    <w:p>
      <w:pPr>
        <w:pStyle w:val="BodyText"/>
        <w:spacing w:line="266" w:lineRule="auto" w:before="123"/>
        <w:ind w:left="113" w:right="1238"/>
        <w:rPr>
          <w:b w:val="0"/>
        </w:rPr>
      </w:pPr>
      <w:r>
        <w:rPr>
          <w:b w:val="0"/>
          <w:color w:val="231F20"/>
        </w:rPr>
        <w:t>Votre groupe s’est vu attribuer une mesure clé pour assurer des processus politiques inclusifs. Appliquez cette mesure à votre contexte local et préparez un plan en 5 étapes pour la mettre en œuvre. Si vous êtes issus de contextes différents, une personne devra faire part de sa situation et fournir une « étude de cas concrète ».</w:t>
      </w:r>
    </w:p>
    <w:p>
      <w:pPr>
        <w:pStyle w:val="BodyText"/>
        <w:spacing w:before="114"/>
        <w:ind w:left="113" w:right="1238"/>
        <w:rPr>
          <w:b w:val="0"/>
        </w:rPr>
      </w:pPr>
      <w:r>
        <w:rPr>
          <w:b w:val="0"/>
          <w:color w:val="231F20"/>
        </w:rPr>
        <w:t>Soyez prêts à présenter vos 5 étapes en classe entière.</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6"/>
        <w:rPr>
          <w:b w:val="0"/>
          <w:sz w:val="17"/>
        </w:rPr>
      </w:pPr>
    </w:p>
    <w:p>
      <w:pPr>
        <w:pStyle w:val="BodyText"/>
        <w:spacing w:line="266" w:lineRule="auto"/>
        <w:ind w:left="113" w:right="904" w:hanging="8"/>
        <w:rPr>
          <w:b w:val="0"/>
        </w:rPr>
      </w:pPr>
      <w:r>
        <w:rPr>
          <w:b w:val="0"/>
          <w:color w:val="231F20"/>
        </w:rPr>
        <w:t>Vous avez 30 minutes pour terminer cette activité. Votre commentaire en classe entière ne doit pas durer plus de 5 minutes.</w:t>
      </w:r>
    </w:p>
    <w:p>
      <w:pPr>
        <w:pStyle w:val="BodyText"/>
        <w:rPr>
          <w:b w:val="0"/>
          <w:sz w:val="20"/>
        </w:rPr>
      </w:pPr>
    </w:p>
    <w:p>
      <w:pPr>
        <w:pStyle w:val="BodyText"/>
        <w:spacing w:before="7"/>
        <w:rPr>
          <w:b w:val="0"/>
          <w:sz w:val="29"/>
        </w:rPr>
      </w:pPr>
    </w:p>
    <w:p>
      <w:pPr>
        <w:spacing w:after="0"/>
        <w:rPr>
          <w:sz w:val="29"/>
        </w:rPr>
        <w:sectPr>
          <w:pgSz w:w="11910" w:h="16840"/>
          <w:pgMar w:top="360" w:bottom="280" w:left="1020" w:right="1640"/>
        </w:sectPr>
      </w:pPr>
    </w:p>
    <w:p>
      <w:pPr>
        <w:spacing w:before="101"/>
        <w:ind w:left="3931" w:right="-3" w:firstLine="0"/>
        <w:jc w:val="left"/>
        <w:rPr>
          <w:rFonts w:ascii="Myriad Pro" w:hAnsi="Myriad Pro"/>
          <w:sz w:val="16"/>
        </w:rPr>
      </w:pPr>
      <w:r>
        <w:rPr/>
        <w:pict>
          <v:group style="position:absolute;margin-left:0pt;margin-top:0pt;width:595.3pt;height:841.9pt;mso-position-horizontal-relative:page;mso-position-vertical-relative:page;z-index:-45256" coordorigin="0,0" coordsize="11906,16838">
            <v:rect style="position:absolute;left:0;top:0;width:9241;height:16838" filled="true" fillcolor="#fff2e3" stroked="false">
              <v:fill type="solid"/>
            </v:rect>
            <v:shape style="position:absolute;left:9243;top:0;width:2663;height:16838" type="#_x0000_t75" stroked="false">
              <v:imagedata r:id="rId23" o:title=""/>
            </v:shape>
            <v:rect style="position:absolute;left:11509;top:0;width:397;height:16838" filled="true" fillcolor="#f99d25" stroked="false">
              <v:fill type="solid"/>
            </v:rect>
            <v:line style="position:absolute" from="1134,5174" to="9014,5174" stroked="true" strokeweight=".35pt" strokecolor="#231f20"/>
            <v:line style="position:absolute" from="1134,5621" to="9014,5621" stroked="true" strokeweight=".35pt" strokecolor="#231f20"/>
            <v:line style="position:absolute" from="1134,6068" to="9014,6068" stroked="true" strokeweight=".35pt" strokecolor="#231f20"/>
            <v:line style="position:absolute" from="1134,6514" to="9014,6514" stroked="true" strokeweight=".35pt" strokecolor="#231f20"/>
            <v:line style="position:absolute" from="1134,6961" to="9014,6961" stroked="true" strokeweight=".35pt" strokecolor="#231f20"/>
            <v:line style="position:absolute" from="1134,7408" to="9014,7408" stroked="true" strokeweight=".35pt" strokecolor="#231f20"/>
            <v:line style="position:absolute" from="1134,7855" to="9014,7855" stroked="true" strokeweight=".35pt" strokecolor="#231f20"/>
            <v:line style="position:absolute" from="1134,8302" to="9014,8302" stroked="true" strokeweight=".35pt" strokecolor="#231f20"/>
            <v:line style="position:absolute" from="1134,8748" to="9014,8748" stroked="true" strokeweight=".35pt" strokecolor="#231f20"/>
            <v:line style="position:absolute" from="1134,9195" to="9014,9195" stroked="true" strokeweight=".35pt" strokecolor="#231f20"/>
            <v:line style="position:absolute" from="1134,9642" to="9014,9642" stroked="true" strokeweight=".35pt" strokecolor="#231f20"/>
            <v:line style="position:absolute" from="1134,10089" to="9014,10089" stroked="true" strokeweight=".35pt" strokecolor="#231f20"/>
            <v:line style="position:absolute" from="1134,10535" to="9014,10535" stroked="true" strokeweight=".35pt" strokecolor="#231f20"/>
            <v:line style="position:absolute" from="1134,10982" to="9014,10982" stroked="true" strokeweight=".35pt" strokecolor="#231f20"/>
            <v:line style="position:absolute" from="1134,11429" to="9014,11429" stroked="true" strokeweight=".35pt" strokecolor="#231f20"/>
            <v:line style="position:absolute" from="1134,11876" to="9014,11876" stroked="true" strokeweight=".35pt" strokecolor="#231f20"/>
            <v:line style="position:absolute" from="1134,12323" to="9014,12323" stroked="true" strokeweight=".35pt" strokecolor="#231f20"/>
            <v:line style="position:absolute" from="1134,12769" to="9014,12769" stroked="true" strokeweight=".35pt" strokecolor="#231f20"/>
            <v:line style="position:absolute" from="1134,13216" to="9014,13216" stroked="true" strokeweight=".35pt" strokecolor="#231f20"/>
            <v:line style="position:absolute" from="1134,13663" to="9014,13663" stroked="true" strokeweight=".35pt" strokecolor="#231f20"/>
            <v:line style="position:absolute" from="1134,14110" to="9014,14110" stroked="true" strokeweight=".35pt" strokecolor="#231f20"/>
            <v:line style="position:absolute" from="1134,14556" to="9014,14556" stroked="true" strokeweight=".35pt" strokecolor="#231f20"/>
            <v:line style="position:absolute" from="1134,15547" to="9014,15547" stroked="true" strokeweight="1pt" strokecolor="#f99d25"/>
            <v:shape style="position:absolute;left:9316;top:1266;width:827;height:822" coordorigin="9316,1266" coordsize="827,822" path="m9425,1292l9424,1292,9411,1294,9397,1300,9384,1306,9374,1312,9364,1320,9355,1328,9347,1337,9339,1347,9325,1374,9318,1401,9316,1429,9316,1901,9316,1923,9316,1955,9320,1986,9331,2015,9344,2036,9362,2054,9383,2069,9408,2080,9437,2086,9473,2088,9982,2087,9997,2086,10012,2083,10027,2078,10061,2060,10089,2032,10101,2007,9495,2007,9469,2007,9446,2002,9425,1989,9407,1970,9399,1949,9396,1926,9396,1901,9395,1538,9395,1499,9395,1479,9395,1452,9398,1429,9402,1418,9407,1408,9413,1399,9419,1392,9426,1386,9436,1379,9447,1374,9458,1371,9470,1369,9488,1368,9784,1368,9795,1368,9804,1359,9824,1339,9857,1306,9860,1303,9862,1301,9867,1296,9871,1294,9871,1292,9427,1292,9425,1292xm10114,1530l10102,1540,10080,1562,10040,1602,10038,1605,10035,1606,10034,1611,10034,1923,10031,1949,10022,1970,10008,1986,9991,1998,9979,2003,9968,2006,9955,2007,9526,2007,9495,2007,10101,2007,10107,1996,10114,1954,10114,1901,10114,1733,10114,1632,10115,1611,10115,1562,10114,1530xm9551,1841l9549,1844,9549,1845,9546,1859,9551,1858,9555,1857,9556,1856,9548,1856,9549,1850,9551,1845,9551,1841xm9601,1666l9591,1699,9574,1758,9558,1814,9551,1841,9551,1845,9549,1850,9548,1856,9559,1854,9739,1803,9717,1780,9670,1733,9623,1687,9601,1666xm9559,1854l9548,1856,9556,1856,9559,1854xm9928,1341l9920,1348,9909,1359,9889,1379,9622,1644,9632,1657,9654,1679,9690,1714,9727,1751,9748,1772,9761,1783,9786,1758,10052,1494,10062,1486,10066,1479,10044,1456,9998,1410,9951,1364,9928,1341xm10019,1266l10006,1268,9996,1274,9987,1281,9980,1288,9964,1304,9955,1313,9950,1319,10088,1457,10096,1450,10104,1442,10119,1427,10126,1420,10134,1412,10139,1401,10142,1389,10140,1376,10134,1366,10127,1357,10119,1351,10088,1320,10065,1297,10057,1289,10050,1282,10042,1274,10032,1268,10019,1266xm9784,1368l9488,1368,9506,1368,9518,1368,9665,1368,9753,1368,9784,1368xm9428,1291l9427,1291,9427,1291,9427,1292,9871,1292,9871,1292,9436,1292,9428,1291xm9705,1289l9446,1290,9436,1292,9871,1292,9871,1290,9705,1289xe" filled="true" fillcolor="#f99d25" stroked="false">
              <v:path arrowok="t"/>
              <v:fill type="solid"/>
            </v:shape>
            <v:shape style="position:absolute;left:9364;top:14720;width:719;height:827" coordorigin="9364,14720" coordsize="719,827" path="m9762,14789l9686,14789,9686,14830,9611,14845,9543,14876,9484,14920,9434,14974,9397,15038,9373,15110,9364,15187,9372,15259,9393,15327,9426,15388,9470,15441,9523,15485,9584,15518,9651,15539,9724,15546,9796,15539,9864,15518,9925,15485,9937,15475,9724,15475,9647,15465,9578,15436,9520,15390,9475,15332,9446,15263,9436,15187,9446,15110,9475,15041,9520,14983,9578,14938,9647,14909,9724,14899,9992,14899,10016,14876,9904,14876,9871,14859,9836,14845,9800,14836,9762,14830,9762,14789xm9992,14899l9724,14899,9800,14909,9869,14938,9927,14983,9972,15041,10001,15110,10012,15187,10001,15263,9972,15332,9927,15390,9869,15436,9800,15465,9724,15475,9937,15475,9978,15441,10022,15388,10055,15327,10076,15259,10083,15187,10075,15111,10052,15040,10015,14977,9967,14923,9992,14899xm9731,15121l9725,15121,9695,15127,9671,15143,9655,15167,9649,15196,9655,15225,9671,15249,9695,15265,9725,15271,9754,15265,9778,15249,9794,15225,9800,15196,9800,15186,9798,15176,9794,15167,9823,15123,9743,15123,9737,15121,9731,15121xm9898,15011l9743,15123,9823,15123,9898,15011xm9963,14823l9904,14876,10016,14876,10018,14874,9963,14823xm9806,14720l9637,14720,9637,14789,9806,14789,9806,14720xe" filled="true" fillcolor="#f99d25" stroked="false">
              <v:path arrowok="t"/>
              <v:fill type="solid"/>
            </v:shape>
            <w10:wrap type="none"/>
          </v:group>
        </w:pict>
      </w:r>
      <w:r>
        <w:rPr>
          <w:rFonts w:ascii="Myriad Pro" w:hAnsi="Myriad Pro"/>
          <w:color w:val="6D6E71"/>
          <w:sz w:val="16"/>
        </w:rPr>
        <w:t>Module 11 - </w:t>
      </w:r>
      <w:r>
        <w:rPr>
          <w:rFonts w:ascii="Myriad Pro" w:hAnsi="Myriad Pro"/>
          <w:color w:val="6D6E71"/>
          <w:spacing w:val="-4"/>
          <w:sz w:val="16"/>
        </w:rPr>
        <w:t>PARTICIPATION </w:t>
      </w:r>
      <w:r>
        <w:rPr>
          <w:rFonts w:ascii="Myriad Pro" w:hAnsi="Myriad Pro"/>
          <w:color w:val="6D6E71"/>
          <w:sz w:val="16"/>
        </w:rPr>
        <w:t>À LA VIE POLITIQUE ET PUBLIQUE</w:t>
      </w:r>
    </w:p>
    <w:p>
      <w:pPr>
        <w:pStyle w:val="Heading4"/>
        <w:tabs>
          <w:tab w:pos="1093" w:val="left" w:leader="none"/>
        </w:tabs>
      </w:pPr>
      <w:r>
        <w:rPr/>
        <w:br w:type="column"/>
      </w:r>
      <w:r>
        <w:rPr>
          <w:color w:val="FFFFFF"/>
          <w:spacing w:val="21"/>
          <w:shd w:fill="F99D25" w:color="auto" w:val="clear"/>
        </w:rPr>
        <w:t> </w:t>
      </w:r>
      <w:r>
        <w:rPr>
          <w:color w:val="FFFFFF"/>
          <w:shd w:fill="F99D25" w:color="auto" w:val="clear"/>
        </w:rPr>
        <w:t>21</w:t>
        <w:tab/>
      </w:r>
    </w:p>
    <w:p>
      <w:pPr>
        <w:spacing w:after="0"/>
        <w:sectPr>
          <w:type w:val="continuous"/>
          <w:pgSz w:w="11910" w:h="16840"/>
          <w:pgMar w:top="1600" w:bottom="280" w:left="1020" w:right="1640"/>
          <w:cols w:num="2" w:equalWidth="0">
            <w:col w:w="7995" w:space="40"/>
            <w:col w:w="1215"/>
          </w:cols>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group style="position:absolute;margin-left:.015015pt;margin-top:.050001pt;width:595pt;height:841.95pt;mso-position-horizontal-relative:page;mso-position-vertical-relative:page;z-index:-45232" coordorigin="0,1" coordsize="11900,16839">
            <v:shape style="position:absolute;left:0;top:1;width:11900;height:16838" type="#_x0000_t75" stroked="false">
              <v:imagedata r:id="rId36" o:title=""/>
            </v:shape>
            <v:shape style="position:absolute;left:11336;top:1;width:565;height:16839" coordorigin="11336,1" coordsize="565,16839" path="m11900,16839l11336,16839,11336,16839,11900,16839,11900,16839m11900,1l11336,1,11336,13020,11900,13020,11900,1e" filled="true" fillcolor="#f99d25" stroked="false">
              <v:path arrowok="t"/>
              <v:fill type="solid"/>
            </v:shape>
            <v:shape style="position:absolute;left:11336;top:13020;width:565;height:3820" coordorigin="11336,13020" coordsize="565,3820" path="m11336,16617l11336,16617,11336,16677,11336,16677,11336,16617m11336,16392l11336,16392,11336,16451,11336,16451,11336,16392m11336,16167l11336,16167,11336,16226,11336,16226,11336,16167m11336,15942l11336,15942,11336,16001,11336,16001,11336,15942m11336,15717l11336,15717,11336,15776,11336,15776,11336,15717m11336,15491l11336,15491,11336,15551,11336,15551,11336,15491m11336,15266l11336,15266,11336,15326,11336,15326,11336,15266m11336,15041l11336,15041,11336,15101,11336,15101,11336,15041m11336,14816l11336,14816,11336,14876,11336,14876,11336,14816m11336,14591l11336,14591,11336,14651,11336,14651,11336,14591m11336,14366l11336,14366,11336,14426,11336,14426,11336,14366m11336,14141l11336,14141,11336,14201,11336,14201,11336,14141m11336,13916l11336,13916,11336,13976,11336,13976,11336,13916m11336,13691l11336,13691,11336,13751,11336,13751,11336,13691m11336,13466l11336,13466,11336,13526,11336,13526,11336,13466m11336,13241l11336,13241,11336,13300,11336,13300,11336,13241m11336,13020l11336,13020,11336,13075,11336,13075,11336,13020m11900,16839l11336,16839,11336,16839,11900,16839,11900,16839e" filled="true" fillcolor="#ffffff" stroked="false">
              <v:path arrowok="t"/>
              <v:fill type="solid"/>
            </v:shape>
            <v:shape style="position:absolute;left:11336;top:13075;width:2;height:166" coordorigin="11336,13075" coordsize="1,166" path="m11336,13241l11336,13075,11336,13241xe" filled="true" fillcolor="#e81c2c" stroked="false">
              <v:path arrowok="t"/>
              <v:fill type="solid"/>
            </v:shape>
            <v:shape style="position:absolute;left:11336;top:13300;width:2;height:166" coordorigin="11336,13300" coordsize="1,166" path="m11336,13466l11336,13300,11336,13466xe" filled="true" fillcolor="#cd9c26" stroked="false">
              <v:path arrowok="t"/>
              <v:fill type="solid"/>
            </v:shape>
            <v:shape style="position:absolute;left:11336;top:13526;width:2;height:166" coordorigin="11336,13526" coordsize="1,166" path="m11336,13691l11336,13526,11336,13691xe" filled="true" fillcolor="#279a47" stroked="false">
              <v:path arrowok="t"/>
              <v:fill type="solid"/>
            </v:shape>
            <v:shape style="position:absolute;left:11336;top:13751;width:2;height:166" coordorigin="11336,13751" coordsize="1,166" path="m11336,13916l11336,13751,11336,13916xe" filled="true" fillcolor="#c21f34" stroked="false">
              <v:path arrowok="t"/>
              <v:fill type="solid"/>
            </v:shape>
            <v:shape style="position:absolute;left:11336;top:13976;width:2;height:166" coordorigin="11336,13976" coordsize="1,166" path="m11336,14141l11336,13976,11336,14141xe" filled="true" fillcolor="#ef3e2b" stroked="false">
              <v:path arrowok="t"/>
              <v:fill type="solid"/>
            </v:shape>
            <v:shape style="position:absolute;left:11336;top:14201;width:2;height:166" coordorigin="11336,14201" coordsize="1,166" path="m11336,14366l11336,14201,11336,14366xe" filled="true" fillcolor="#00add9" stroked="false">
              <v:path arrowok="t"/>
              <v:fill type="solid"/>
            </v:shape>
            <v:shape style="position:absolute;left:11336;top:14426;width:2;height:166" coordorigin="11336,14426" coordsize="1,166" path="m11336,14591l11336,14426,11336,14591xe" filled="true" fillcolor="#fdb714" stroked="false">
              <v:path arrowok="t"/>
              <v:fill type="solid"/>
            </v:shape>
            <v:shape style="position:absolute;left:11336;top:14651;width:2;height:166" coordorigin="11336,14651" coordsize="1,166" path="m11336,14816l11336,14651,11336,14816xe" filled="true" fillcolor="#8e1636" stroked="false">
              <v:path arrowok="t"/>
              <v:fill type="solid"/>
            </v:shape>
            <v:shape style="position:absolute;left:11336;top:14876;width:2;height:166" coordorigin="11336,14876" coordsize="1,166" path="m11336,15041l11336,14876,11336,15041xe" filled="true" fillcolor="#f36e24" stroked="false">
              <v:path arrowok="t"/>
              <v:fill type="solid"/>
            </v:shape>
            <v:shape style="position:absolute;left:11336;top:15101;width:2;height:166" coordorigin="11336,15101" coordsize="1,166" path="m11336,15266l11336,15101,11336,15266xe" filled="true" fillcolor="#e01a83" stroked="false">
              <v:path arrowok="t"/>
              <v:fill type="solid"/>
            </v:shape>
            <v:shape style="position:absolute;left:11336;top:15326;width:2;height:166" coordorigin="11336,15326" coordsize="1,166" path="m11336,15491l11336,15326,11336,15491xe" filled="true" fillcolor="#f99d25" stroked="false">
              <v:path arrowok="t"/>
              <v:fill type="solid"/>
            </v:shape>
            <v:shape style="position:absolute;left:11336;top:15551;width:2;height:166" coordorigin="11336,15551" coordsize="1,166" path="m11336,15717l11336,15551,11336,15717xe" filled="true" fillcolor="#cc8a27" stroked="false">
              <v:path arrowok="t"/>
              <v:fill type="solid"/>
            </v:shape>
            <v:shape style="position:absolute;left:11336;top:15776;width:2;height:166" coordorigin="11336,15776" coordsize="1,166" path="m11336,15942l11336,15776,11336,15942xe" filled="true" fillcolor="#48773c" stroked="false">
              <v:path arrowok="t"/>
              <v:fill type="solid"/>
            </v:shape>
            <v:shape style="position:absolute;left:11336;top:16001;width:2;height:166" coordorigin="11336,16001" coordsize="1,166" path="m11336,16167l11336,16001,11336,16167xe" filled="true" fillcolor="#007dbb" stroked="false">
              <v:path arrowok="t"/>
              <v:fill type="solid"/>
            </v:shape>
            <v:shape style="position:absolute;left:11336;top:16226;width:2;height:166" coordorigin="11336,16226" coordsize="1,166" path="m11336,16392l11336,16226,11336,16392xe" filled="true" fillcolor="#3fae49" stroked="false">
              <v:path arrowok="t"/>
              <v:fill type="solid"/>
            </v:shape>
            <v:shape style="position:absolute;left:11336;top:16451;width:2;height:166" coordorigin="11336,16451" coordsize="1,166" path="m11336,16617l11336,16451,11336,16617xe" filled="true" fillcolor="#005488" stroked="false">
              <v:path arrowok="t"/>
              <v:fill type="solid"/>
            </v:shape>
            <v:shape style="position:absolute;left:11336;top:16677;width:2;height:163" coordorigin="11336,16677" coordsize="1,163" path="m11336,16839l11336,16677,11336,16839xe" filled="true" fillcolor="#1a3866" stroked="false">
              <v:path arrowok="t"/>
              <v:fill type="solid"/>
            </v:shape>
            <v:shape style="position:absolute;left:11336;top:13020;width:565;height:3820" coordorigin="11336,13020" coordsize="565,3820" path="m11900,16839l11336,16839,11336,16839,11900,16839,11900,16839m11900,16617l11336,16617,11336,16677,11900,16677,11900,16617m11900,16392l11336,16392,11336,16451,11900,16451,11900,16392m11900,16167l11336,16167,11336,16226,11900,16226,11900,16167m11900,15942l11336,15942,11336,16001,11900,16001,11900,15942m11900,15717l11336,15717,11336,15776,11900,15776,11900,15717m11900,15491l11336,15491,11336,15551,11900,15551,11900,15491m11900,15266l11336,15266,11336,15326,11900,15326,11900,15266m11900,15041l11336,15041,11336,15101,11900,15101,11900,15041m11900,14816l11336,14816,11336,14876,11900,14876,11900,14816m11900,14591l11336,14591,11336,14651,11900,14651,11900,14591m11900,14366l11336,14366,11336,14426,11900,14426,11900,14366m11900,14141l11336,14141,11336,14201,11900,14201,11900,14141m11900,13916l11336,13916,11336,13976,11900,13976,11900,13916m11900,13691l11336,13691,11336,13751,11900,13751,11900,13691m11900,13466l11336,13466,11336,13526,11900,13526,11900,13466m11900,13241l11336,13241,11336,13300,11900,13300,11900,13241m11900,13020l11336,13020,11336,13075,11900,13075,11900,13020e" filled="true" fillcolor="#ffffff" stroked="false">
              <v:path arrowok="t"/>
              <v:fill type="solid"/>
            </v:shape>
            <v:rect style="position:absolute;left:11336;top:13075;width:565;height:165" filled="true" fillcolor="#e81c2c" stroked="false">
              <v:fill type="solid"/>
            </v:rect>
            <v:rect style="position:absolute;left:11336;top:13300;width:565;height:165" filled="true" fillcolor="#cd9c26" stroked="false">
              <v:fill type="solid"/>
            </v:rect>
            <v:rect style="position:absolute;left:11336;top:13526;width:565;height:165" filled="true" fillcolor="#279a47" stroked="false">
              <v:fill type="solid"/>
            </v:rect>
            <v:rect style="position:absolute;left:11336;top:13751;width:565;height:165" filled="true" fillcolor="#c21f34" stroked="false">
              <v:fill type="solid"/>
            </v:rect>
            <v:rect style="position:absolute;left:11336;top:13976;width:565;height:165" filled="true" fillcolor="#ef3e2b" stroked="false">
              <v:fill type="solid"/>
            </v:rect>
            <v:rect style="position:absolute;left:11336;top:14201;width:565;height:165" filled="true" fillcolor="#00add9" stroked="false">
              <v:fill type="solid"/>
            </v:rect>
            <v:rect style="position:absolute;left:11336;top:14426;width:565;height:165" filled="true" fillcolor="#fdb714" stroked="false">
              <v:fill type="solid"/>
            </v:rect>
            <v:rect style="position:absolute;left:11336;top:14651;width:565;height:165" filled="true" fillcolor="#8e1636" stroked="false">
              <v:fill type="solid"/>
            </v:rect>
            <v:rect style="position:absolute;left:11336;top:14876;width:565;height:165" filled="true" fillcolor="#f36e24" stroked="false">
              <v:fill type="solid"/>
            </v:rect>
            <v:rect style="position:absolute;left:11336;top:15101;width:565;height:165" filled="true" fillcolor="#e01a83" stroked="false">
              <v:fill type="solid"/>
            </v:rect>
            <v:rect style="position:absolute;left:11336;top:15326;width:565;height:165" filled="true" fillcolor="#f99d25" stroked="false">
              <v:fill type="solid"/>
            </v:rect>
            <v:rect style="position:absolute;left:11336;top:15551;width:565;height:165" filled="true" fillcolor="#cc8a27" stroked="false">
              <v:fill type="solid"/>
            </v:rect>
            <v:rect style="position:absolute;left:11336;top:15776;width:565;height:165" filled="true" fillcolor="#48773c" stroked="false">
              <v:fill type="solid"/>
            </v:rect>
            <v:rect style="position:absolute;left:11336;top:16001;width:565;height:165" filled="true" fillcolor="#007dbb" stroked="false">
              <v:fill type="solid"/>
            </v:rect>
            <v:rect style="position:absolute;left:11336;top:16226;width:565;height:165" filled="true" fillcolor="#3fae49" stroked="false">
              <v:fill type="solid"/>
            </v:rect>
            <v:rect style="position:absolute;left:11336;top:16451;width:565;height:165" filled="true" fillcolor="#005488" stroked="false">
              <v:fill type="solid"/>
            </v:rect>
            <v:rect style="position:absolute;left:11336;top:16677;width:565;height:163" filled="true" fillcolor="#1a3866" stroked="false">
              <v:fill type="solid"/>
            </v:rect>
            <w10:wrap type="none"/>
          </v:group>
        </w:pict>
      </w:r>
    </w:p>
    <w:sectPr>
      <w:pgSz w:w="11900" w:h="1684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swiss"/>
    <w:pitch w:val="variable"/>
  </w:font>
  <w:font w:name="Myriad Pro Light">
    <w:altName w:val="Myriad Pro Light"/>
    <w:charset w:val="0"/>
    <w:family w:val="swiss"/>
    <w:pitch w:val="variable"/>
  </w:font>
  <w:font w:name="TradeGothic Light">
    <w:altName w:val="TradeGothic Light"/>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bullet"/>
      <w:lvlText w:val="–"/>
      <w:lvlJc w:val="left"/>
      <w:pPr>
        <w:ind w:left="973" w:hanging="180"/>
      </w:pPr>
      <w:rPr>
        <w:rFonts w:hint="default" w:ascii="Myriad Pro Light" w:hAnsi="Myriad Pro Light" w:eastAsia="Myriad Pro Light" w:cs="Myriad Pro Light"/>
        <w:color w:val="231F20"/>
        <w:spacing w:val="-8"/>
        <w:w w:val="100"/>
        <w:sz w:val="20"/>
        <w:szCs w:val="20"/>
      </w:rPr>
    </w:lvl>
    <w:lvl w:ilvl="1">
      <w:start w:val="1"/>
      <w:numFmt w:val="bullet"/>
      <w:lvlText w:val="•"/>
      <w:lvlJc w:val="left"/>
      <w:pPr>
        <w:ind w:left="1672" w:hanging="180"/>
      </w:pPr>
      <w:rPr>
        <w:rFonts w:hint="default"/>
      </w:rPr>
    </w:lvl>
    <w:lvl w:ilvl="2">
      <w:start w:val="1"/>
      <w:numFmt w:val="bullet"/>
      <w:lvlText w:val="•"/>
      <w:lvlJc w:val="left"/>
      <w:pPr>
        <w:ind w:left="2364" w:hanging="180"/>
      </w:pPr>
      <w:rPr>
        <w:rFonts w:hint="default"/>
      </w:rPr>
    </w:lvl>
    <w:lvl w:ilvl="3">
      <w:start w:val="1"/>
      <w:numFmt w:val="bullet"/>
      <w:lvlText w:val="•"/>
      <w:lvlJc w:val="left"/>
      <w:pPr>
        <w:ind w:left="3056" w:hanging="180"/>
      </w:pPr>
      <w:rPr>
        <w:rFonts w:hint="default"/>
      </w:rPr>
    </w:lvl>
    <w:lvl w:ilvl="4">
      <w:start w:val="1"/>
      <w:numFmt w:val="bullet"/>
      <w:lvlText w:val="•"/>
      <w:lvlJc w:val="left"/>
      <w:pPr>
        <w:ind w:left="3748" w:hanging="180"/>
      </w:pPr>
      <w:rPr>
        <w:rFonts w:hint="default"/>
      </w:rPr>
    </w:lvl>
    <w:lvl w:ilvl="5">
      <w:start w:val="1"/>
      <w:numFmt w:val="bullet"/>
      <w:lvlText w:val="•"/>
      <w:lvlJc w:val="left"/>
      <w:pPr>
        <w:ind w:left="4440" w:hanging="180"/>
      </w:pPr>
      <w:rPr>
        <w:rFonts w:hint="default"/>
      </w:rPr>
    </w:lvl>
    <w:lvl w:ilvl="6">
      <w:start w:val="1"/>
      <w:numFmt w:val="bullet"/>
      <w:lvlText w:val="•"/>
      <w:lvlJc w:val="left"/>
      <w:pPr>
        <w:ind w:left="5132" w:hanging="180"/>
      </w:pPr>
      <w:rPr>
        <w:rFonts w:hint="default"/>
      </w:rPr>
    </w:lvl>
    <w:lvl w:ilvl="7">
      <w:start w:val="1"/>
      <w:numFmt w:val="bullet"/>
      <w:lvlText w:val="•"/>
      <w:lvlJc w:val="left"/>
      <w:pPr>
        <w:ind w:left="5824" w:hanging="180"/>
      </w:pPr>
      <w:rPr>
        <w:rFonts w:hint="default"/>
      </w:rPr>
    </w:lvl>
    <w:lvl w:ilvl="8">
      <w:start w:val="1"/>
      <w:numFmt w:val="bullet"/>
      <w:lvlText w:val="•"/>
      <w:lvlJc w:val="left"/>
      <w:pPr>
        <w:ind w:left="6516" w:hanging="180"/>
      </w:pPr>
      <w:rPr>
        <w:rFonts w:hint="default"/>
      </w:rPr>
    </w:lvl>
  </w:abstractNum>
  <w:abstractNum w:abstractNumId="6">
    <w:multiLevelType w:val="hybridMultilevel"/>
    <w:lvl w:ilvl="0">
      <w:start w:val="1"/>
      <w:numFmt w:val="bullet"/>
      <w:lvlText w:val="-"/>
      <w:lvlJc w:val="left"/>
      <w:pPr>
        <w:ind w:left="197" w:hanging="147"/>
      </w:pPr>
      <w:rPr>
        <w:rFonts w:hint="default" w:ascii="Myriad Pro" w:hAnsi="Myriad Pro" w:eastAsia="Myriad Pro" w:cs="Myriad Pro"/>
        <w:color w:val="231F20"/>
        <w:spacing w:val="-1"/>
        <w:w w:val="99"/>
        <w:sz w:val="20"/>
        <w:szCs w:val="20"/>
      </w:rPr>
    </w:lvl>
    <w:lvl w:ilvl="1">
      <w:start w:val="1"/>
      <w:numFmt w:val="bullet"/>
      <w:lvlText w:val="•"/>
      <w:lvlJc w:val="left"/>
      <w:pPr>
        <w:ind w:left="714" w:hanging="147"/>
      </w:pPr>
      <w:rPr>
        <w:rFonts w:hint="default"/>
      </w:rPr>
    </w:lvl>
    <w:lvl w:ilvl="2">
      <w:start w:val="1"/>
      <w:numFmt w:val="bullet"/>
      <w:lvlText w:val="•"/>
      <w:lvlJc w:val="left"/>
      <w:pPr>
        <w:ind w:left="1229" w:hanging="147"/>
      </w:pPr>
      <w:rPr>
        <w:rFonts w:hint="default"/>
      </w:rPr>
    </w:lvl>
    <w:lvl w:ilvl="3">
      <w:start w:val="1"/>
      <w:numFmt w:val="bullet"/>
      <w:lvlText w:val="•"/>
      <w:lvlJc w:val="left"/>
      <w:pPr>
        <w:ind w:left="1744" w:hanging="147"/>
      </w:pPr>
      <w:rPr>
        <w:rFonts w:hint="default"/>
      </w:rPr>
    </w:lvl>
    <w:lvl w:ilvl="4">
      <w:start w:val="1"/>
      <w:numFmt w:val="bullet"/>
      <w:lvlText w:val="•"/>
      <w:lvlJc w:val="left"/>
      <w:pPr>
        <w:ind w:left="2259" w:hanging="147"/>
      </w:pPr>
      <w:rPr>
        <w:rFonts w:hint="default"/>
      </w:rPr>
    </w:lvl>
    <w:lvl w:ilvl="5">
      <w:start w:val="1"/>
      <w:numFmt w:val="bullet"/>
      <w:lvlText w:val="•"/>
      <w:lvlJc w:val="left"/>
      <w:pPr>
        <w:ind w:left="2773" w:hanging="147"/>
      </w:pPr>
      <w:rPr>
        <w:rFonts w:hint="default"/>
      </w:rPr>
    </w:lvl>
    <w:lvl w:ilvl="6">
      <w:start w:val="1"/>
      <w:numFmt w:val="bullet"/>
      <w:lvlText w:val="•"/>
      <w:lvlJc w:val="left"/>
      <w:pPr>
        <w:ind w:left="3288" w:hanging="147"/>
      </w:pPr>
      <w:rPr>
        <w:rFonts w:hint="default"/>
      </w:rPr>
    </w:lvl>
    <w:lvl w:ilvl="7">
      <w:start w:val="1"/>
      <w:numFmt w:val="bullet"/>
      <w:lvlText w:val="•"/>
      <w:lvlJc w:val="left"/>
      <w:pPr>
        <w:ind w:left="3803" w:hanging="147"/>
      </w:pPr>
      <w:rPr>
        <w:rFonts w:hint="default"/>
      </w:rPr>
    </w:lvl>
    <w:lvl w:ilvl="8">
      <w:start w:val="1"/>
      <w:numFmt w:val="bullet"/>
      <w:lvlText w:val="•"/>
      <w:lvlJc w:val="left"/>
      <w:pPr>
        <w:ind w:left="4318" w:hanging="147"/>
      </w:pPr>
      <w:rPr>
        <w:rFonts w:hint="default"/>
      </w:rPr>
    </w:lvl>
  </w:abstractNum>
  <w:abstractNum w:abstractNumId="4">
    <w:multiLevelType w:val="hybridMultilevel"/>
    <w:lvl w:ilvl="0">
      <w:start w:val="1"/>
      <w:numFmt w:val="decimal"/>
      <w:lvlText w:val="(%1)"/>
      <w:lvlJc w:val="left"/>
      <w:pPr>
        <w:ind w:left="460" w:hanging="259"/>
        <w:jc w:val="left"/>
      </w:pPr>
      <w:rPr>
        <w:rFonts w:hint="default" w:ascii="Myriad Pro" w:hAnsi="Myriad Pro" w:eastAsia="Myriad Pro" w:cs="Myriad Pro"/>
        <w:color w:val="231F20"/>
        <w:spacing w:val="-3"/>
        <w:w w:val="100"/>
        <w:sz w:val="20"/>
        <w:szCs w:val="20"/>
      </w:rPr>
    </w:lvl>
    <w:lvl w:ilvl="1">
      <w:start w:val="1"/>
      <w:numFmt w:val="lowerLetter"/>
      <w:lvlText w:val="(%2)"/>
      <w:lvlJc w:val="left"/>
      <w:pPr>
        <w:ind w:left="712" w:hanging="253"/>
        <w:jc w:val="left"/>
      </w:pPr>
      <w:rPr>
        <w:rFonts w:hint="default" w:ascii="Myriad Pro" w:hAnsi="Myriad Pro" w:eastAsia="Myriad Pro" w:cs="Myriad Pro"/>
        <w:color w:val="231F20"/>
        <w:spacing w:val="-2"/>
        <w:w w:val="100"/>
        <w:sz w:val="20"/>
        <w:szCs w:val="20"/>
      </w:rPr>
    </w:lvl>
    <w:lvl w:ilvl="2">
      <w:start w:val="1"/>
      <w:numFmt w:val="bullet"/>
      <w:lvlText w:val="•"/>
      <w:lvlJc w:val="left"/>
      <w:pPr>
        <w:ind w:left="740" w:hanging="253"/>
      </w:pPr>
      <w:rPr>
        <w:rFonts w:hint="default"/>
      </w:rPr>
    </w:lvl>
    <w:lvl w:ilvl="3">
      <w:start w:val="1"/>
      <w:numFmt w:val="bullet"/>
      <w:lvlText w:val="•"/>
      <w:lvlJc w:val="left"/>
      <w:pPr>
        <w:ind w:left="1635" w:hanging="253"/>
      </w:pPr>
      <w:rPr>
        <w:rFonts w:hint="default"/>
      </w:rPr>
    </w:lvl>
    <w:lvl w:ilvl="4">
      <w:start w:val="1"/>
      <w:numFmt w:val="bullet"/>
      <w:lvlText w:val="•"/>
      <w:lvlJc w:val="left"/>
      <w:pPr>
        <w:ind w:left="2530" w:hanging="253"/>
      </w:pPr>
      <w:rPr>
        <w:rFonts w:hint="default"/>
      </w:rPr>
    </w:lvl>
    <w:lvl w:ilvl="5">
      <w:start w:val="1"/>
      <w:numFmt w:val="bullet"/>
      <w:lvlText w:val="•"/>
      <w:lvlJc w:val="left"/>
      <w:pPr>
        <w:ind w:left="3425" w:hanging="253"/>
      </w:pPr>
      <w:rPr>
        <w:rFonts w:hint="default"/>
      </w:rPr>
    </w:lvl>
    <w:lvl w:ilvl="6">
      <w:start w:val="1"/>
      <w:numFmt w:val="bullet"/>
      <w:lvlText w:val="•"/>
      <w:lvlJc w:val="left"/>
      <w:pPr>
        <w:ind w:left="4320" w:hanging="253"/>
      </w:pPr>
      <w:rPr>
        <w:rFonts w:hint="default"/>
      </w:rPr>
    </w:lvl>
    <w:lvl w:ilvl="7">
      <w:start w:val="1"/>
      <w:numFmt w:val="bullet"/>
      <w:lvlText w:val="•"/>
      <w:lvlJc w:val="left"/>
      <w:pPr>
        <w:ind w:left="5215" w:hanging="253"/>
      </w:pPr>
      <w:rPr>
        <w:rFonts w:hint="default"/>
      </w:rPr>
    </w:lvl>
    <w:lvl w:ilvl="8">
      <w:start w:val="1"/>
      <w:numFmt w:val="bullet"/>
      <w:lvlText w:val="•"/>
      <w:lvlJc w:val="left"/>
      <w:pPr>
        <w:ind w:left="6110" w:hanging="253"/>
      </w:pPr>
      <w:rPr>
        <w:rFonts w:hint="default"/>
      </w:rPr>
    </w:lvl>
  </w:abstractNum>
  <w:abstractNum w:abstractNumId="3">
    <w:multiLevelType w:val="hybridMultilevel"/>
    <w:lvl w:ilvl="0">
      <w:start w:val="1"/>
      <w:numFmt w:val="decimal"/>
      <w:lvlText w:val="%1."/>
      <w:lvlJc w:val="left"/>
      <w:pPr>
        <w:ind w:left="3611" w:hanging="720"/>
        <w:jc w:val="right"/>
      </w:pPr>
      <w:rPr>
        <w:rFonts w:hint="default" w:ascii="Myriad Pro Light" w:hAnsi="Myriad Pro Light" w:eastAsia="Myriad Pro Light" w:cs="Myriad Pro Light"/>
        <w:color w:val="F99D25"/>
        <w:spacing w:val="-4"/>
        <w:w w:val="100"/>
        <w:sz w:val="28"/>
        <w:szCs w:val="28"/>
      </w:rPr>
    </w:lvl>
    <w:lvl w:ilvl="1">
      <w:start w:val="1"/>
      <w:numFmt w:val="bullet"/>
      <w:lvlText w:val="•"/>
      <w:lvlJc w:val="left"/>
      <w:pPr>
        <w:ind w:left="4340" w:hanging="720"/>
      </w:pPr>
      <w:rPr>
        <w:rFonts w:hint="default"/>
      </w:rPr>
    </w:lvl>
    <w:lvl w:ilvl="2">
      <w:start w:val="1"/>
      <w:numFmt w:val="bullet"/>
      <w:lvlText w:val="•"/>
      <w:lvlJc w:val="left"/>
      <w:pPr>
        <w:ind w:left="5061" w:hanging="720"/>
      </w:pPr>
      <w:rPr>
        <w:rFonts w:hint="default"/>
      </w:rPr>
    </w:lvl>
    <w:lvl w:ilvl="3">
      <w:start w:val="1"/>
      <w:numFmt w:val="bullet"/>
      <w:lvlText w:val="•"/>
      <w:lvlJc w:val="left"/>
      <w:pPr>
        <w:ind w:left="5781" w:hanging="720"/>
      </w:pPr>
      <w:rPr>
        <w:rFonts w:hint="default"/>
      </w:rPr>
    </w:lvl>
    <w:lvl w:ilvl="4">
      <w:start w:val="1"/>
      <w:numFmt w:val="bullet"/>
      <w:lvlText w:val="•"/>
      <w:lvlJc w:val="left"/>
      <w:pPr>
        <w:ind w:left="6502" w:hanging="720"/>
      </w:pPr>
      <w:rPr>
        <w:rFonts w:hint="default"/>
      </w:rPr>
    </w:lvl>
    <w:lvl w:ilvl="5">
      <w:start w:val="1"/>
      <w:numFmt w:val="bullet"/>
      <w:lvlText w:val="•"/>
      <w:lvlJc w:val="left"/>
      <w:pPr>
        <w:ind w:left="7222" w:hanging="720"/>
      </w:pPr>
      <w:rPr>
        <w:rFonts w:hint="default"/>
      </w:rPr>
    </w:lvl>
    <w:lvl w:ilvl="6">
      <w:start w:val="1"/>
      <w:numFmt w:val="bullet"/>
      <w:lvlText w:val="•"/>
      <w:lvlJc w:val="left"/>
      <w:pPr>
        <w:ind w:left="7943" w:hanging="720"/>
      </w:pPr>
      <w:rPr>
        <w:rFonts w:hint="default"/>
      </w:rPr>
    </w:lvl>
    <w:lvl w:ilvl="7">
      <w:start w:val="1"/>
      <w:numFmt w:val="bullet"/>
      <w:lvlText w:val="•"/>
      <w:lvlJc w:val="left"/>
      <w:pPr>
        <w:ind w:left="8663" w:hanging="720"/>
      </w:pPr>
      <w:rPr>
        <w:rFonts w:hint="default"/>
      </w:rPr>
    </w:lvl>
    <w:lvl w:ilvl="8">
      <w:start w:val="1"/>
      <w:numFmt w:val="bullet"/>
      <w:lvlText w:val="•"/>
      <w:lvlJc w:val="left"/>
      <w:pPr>
        <w:ind w:left="9384" w:hanging="720"/>
      </w:pPr>
      <w:rPr>
        <w:rFonts w:hint="default"/>
      </w:rPr>
    </w:lvl>
  </w:abstractNum>
  <w:abstractNum w:abstractNumId="2">
    <w:multiLevelType w:val="hybridMultilevel"/>
    <w:lvl w:ilvl="0">
      <w:start w:val="1"/>
      <w:numFmt w:val="decimal"/>
      <w:lvlText w:val="%1."/>
      <w:lvlJc w:val="left"/>
      <w:pPr>
        <w:ind w:left="3631" w:hanging="400"/>
        <w:jc w:val="left"/>
      </w:pPr>
      <w:rPr>
        <w:rFonts w:hint="default" w:ascii="Myriad Pro Light" w:hAnsi="Myriad Pro Light" w:eastAsia="Myriad Pro Light" w:cs="Myriad Pro Light"/>
        <w:color w:val="231F20"/>
        <w:spacing w:val="-15"/>
        <w:w w:val="100"/>
        <w:sz w:val="22"/>
        <w:szCs w:val="22"/>
      </w:rPr>
    </w:lvl>
    <w:lvl w:ilvl="1">
      <w:start w:val="1"/>
      <w:numFmt w:val="bullet"/>
      <w:lvlText w:val="•"/>
      <w:lvlJc w:val="left"/>
      <w:pPr>
        <w:ind w:left="4358" w:hanging="400"/>
      </w:pPr>
      <w:rPr>
        <w:rFonts w:hint="default"/>
      </w:rPr>
    </w:lvl>
    <w:lvl w:ilvl="2">
      <w:start w:val="1"/>
      <w:numFmt w:val="bullet"/>
      <w:lvlText w:val="•"/>
      <w:lvlJc w:val="left"/>
      <w:pPr>
        <w:ind w:left="5077" w:hanging="400"/>
      </w:pPr>
      <w:rPr>
        <w:rFonts w:hint="default"/>
      </w:rPr>
    </w:lvl>
    <w:lvl w:ilvl="3">
      <w:start w:val="1"/>
      <w:numFmt w:val="bullet"/>
      <w:lvlText w:val="•"/>
      <w:lvlJc w:val="left"/>
      <w:pPr>
        <w:ind w:left="5795" w:hanging="400"/>
      </w:pPr>
      <w:rPr>
        <w:rFonts w:hint="default"/>
      </w:rPr>
    </w:lvl>
    <w:lvl w:ilvl="4">
      <w:start w:val="1"/>
      <w:numFmt w:val="bullet"/>
      <w:lvlText w:val="•"/>
      <w:lvlJc w:val="left"/>
      <w:pPr>
        <w:ind w:left="6514" w:hanging="400"/>
      </w:pPr>
      <w:rPr>
        <w:rFonts w:hint="default"/>
      </w:rPr>
    </w:lvl>
    <w:lvl w:ilvl="5">
      <w:start w:val="1"/>
      <w:numFmt w:val="bullet"/>
      <w:lvlText w:val="•"/>
      <w:lvlJc w:val="left"/>
      <w:pPr>
        <w:ind w:left="7232" w:hanging="400"/>
      </w:pPr>
      <w:rPr>
        <w:rFonts w:hint="default"/>
      </w:rPr>
    </w:lvl>
    <w:lvl w:ilvl="6">
      <w:start w:val="1"/>
      <w:numFmt w:val="bullet"/>
      <w:lvlText w:val="•"/>
      <w:lvlJc w:val="left"/>
      <w:pPr>
        <w:ind w:left="7951" w:hanging="400"/>
      </w:pPr>
      <w:rPr>
        <w:rFonts w:hint="default"/>
      </w:rPr>
    </w:lvl>
    <w:lvl w:ilvl="7">
      <w:start w:val="1"/>
      <w:numFmt w:val="bullet"/>
      <w:lvlText w:val="•"/>
      <w:lvlJc w:val="left"/>
      <w:pPr>
        <w:ind w:left="8669" w:hanging="400"/>
      </w:pPr>
      <w:rPr>
        <w:rFonts w:hint="default"/>
      </w:rPr>
    </w:lvl>
    <w:lvl w:ilvl="8">
      <w:start w:val="1"/>
      <w:numFmt w:val="bullet"/>
      <w:lvlText w:val="•"/>
      <w:lvlJc w:val="left"/>
      <w:pPr>
        <w:ind w:left="9388" w:hanging="400"/>
      </w:pPr>
      <w:rPr>
        <w:rFonts w:hint="default"/>
      </w:rPr>
    </w:lvl>
  </w:abstractNum>
  <w:abstractNum w:abstractNumId="1">
    <w:multiLevelType w:val="hybridMultilevel"/>
    <w:lvl w:ilvl="0">
      <w:start w:val="1"/>
      <w:numFmt w:val="decimal"/>
      <w:lvlText w:val="%1."/>
      <w:lvlJc w:val="left"/>
      <w:pPr>
        <w:ind w:left="853" w:hanging="720"/>
        <w:jc w:val="right"/>
      </w:pPr>
      <w:rPr>
        <w:rFonts w:hint="default" w:ascii="Myriad Pro Light" w:hAnsi="Myriad Pro Light" w:eastAsia="Myriad Pro Light" w:cs="Myriad Pro Light"/>
        <w:color w:val="F99D25"/>
        <w:spacing w:val="-35"/>
        <w:w w:val="100"/>
        <w:sz w:val="42"/>
        <w:szCs w:val="42"/>
      </w:rPr>
    </w:lvl>
    <w:lvl w:ilvl="1">
      <w:start w:val="1"/>
      <w:numFmt w:val="upperLetter"/>
      <w:lvlText w:val="%1.%2."/>
      <w:lvlJc w:val="left"/>
      <w:pPr>
        <w:ind w:left="3611" w:hanging="720"/>
        <w:jc w:val="right"/>
      </w:pPr>
      <w:rPr>
        <w:rFonts w:hint="default" w:ascii="Myriad Pro Light" w:hAnsi="Myriad Pro Light" w:eastAsia="Myriad Pro Light" w:cs="Myriad Pro Light"/>
        <w:color w:val="231F20"/>
        <w:spacing w:val="-6"/>
        <w:w w:val="100"/>
        <w:sz w:val="32"/>
        <w:szCs w:val="32"/>
      </w:rPr>
    </w:lvl>
    <w:lvl w:ilvl="2">
      <w:start w:val="1"/>
      <w:numFmt w:val="bullet"/>
      <w:lvlText w:val="•"/>
      <w:lvlJc w:val="left"/>
      <w:pPr>
        <w:ind w:left="4247" w:hanging="720"/>
      </w:pPr>
      <w:rPr>
        <w:rFonts w:hint="default"/>
      </w:rPr>
    </w:lvl>
    <w:lvl w:ilvl="3">
      <w:start w:val="1"/>
      <w:numFmt w:val="bullet"/>
      <w:lvlText w:val="•"/>
      <w:lvlJc w:val="left"/>
      <w:pPr>
        <w:ind w:left="4874" w:hanging="720"/>
      </w:pPr>
      <w:rPr>
        <w:rFonts w:hint="default"/>
      </w:rPr>
    </w:lvl>
    <w:lvl w:ilvl="4">
      <w:start w:val="1"/>
      <w:numFmt w:val="bullet"/>
      <w:lvlText w:val="•"/>
      <w:lvlJc w:val="left"/>
      <w:pPr>
        <w:ind w:left="5501" w:hanging="720"/>
      </w:pPr>
      <w:rPr>
        <w:rFonts w:hint="default"/>
      </w:rPr>
    </w:lvl>
    <w:lvl w:ilvl="5">
      <w:start w:val="1"/>
      <w:numFmt w:val="bullet"/>
      <w:lvlText w:val="•"/>
      <w:lvlJc w:val="left"/>
      <w:pPr>
        <w:ind w:left="6129" w:hanging="720"/>
      </w:pPr>
      <w:rPr>
        <w:rFonts w:hint="default"/>
      </w:rPr>
    </w:lvl>
    <w:lvl w:ilvl="6">
      <w:start w:val="1"/>
      <w:numFmt w:val="bullet"/>
      <w:lvlText w:val="•"/>
      <w:lvlJc w:val="left"/>
      <w:pPr>
        <w:ind w:left="6756" w:hanging="720"/>
      </w:pPr>
      <w:rPr>
        <w:rFonts w:hint="default"/>
      </w:rPr>
    </w:lvl>
    <w:lvl w:ilvl="7">
      <w:start w:val="1"/>
      <w:numFmt w:val="bullet"/>
      <w:lvlText w:val="•"/>
      <w:lvlJc w:val="left"/>
      <w:pPr>
        <w:ind w:left="7383" w:hanging="720"/>
      </w:pPr>
      <w:rPr>
        <w:rFonts w:hint="default"/>
      </w:rPr>
    </w:lvl>
    <w:lvl w:ilvl="8">
      <w:start w:val="1"/>
      <w:numFmt w:val="bullet"/>
      <w:lvlText w:val="•"/>
      <w:lvlJc w:val="left"/>
      <w:pPr>
        <w:ind w:left="8010" w:hanging="720"/>
      </w:pPr>
      <w:rPr>
        <w:rFonts w:hint="default"/>
      </w:rPr>
    </w:lvl>
  </w:abstractNum>
  <w:abstractNum w:abstractNumId="0">
    <w:multiLevelType w:val="hybridMultilevel"/>
    <w:lvl w:ilvl="0">
      <w:start w:val="1"/>
      <w:numFmt w:val="decimal"/>
      <w:lvlText w:val="%1."/>
      <w:lvlJc w:val="left"/>
      <w:pPr>
        <w:ind w:left="510" w:hanging="397"/>
        <w:jc w:val="left"/>
      </w:pPr>
      <w:rPr>
        <w:rFonts w:hint="default" w:ascii="Myriad Pro Light" w:hAnsi="Myriad Pro Light" w:eastAsia="Myriad Pro Light" w:cs="Myriad Pro Light"/>
        <w:color w:val="F99D25"/>
        <w:spacing w:val="-20"/>
        <w:w w:val="100"/>
        <w:sz w:val="24"/>
        <w:szCs w:val="24"/>
      </w:rPr>
    </w:lvl>
    <w:lvl w:ilvl="1">
      <w:start w:val="1"/>
      <w:numFmt w:val="upperLetter"/>
      <w:lvlText w:val="%1.%2."/>
      <w:lvlJc w:val="left"/>
      <w:pPr>
        <w:ind w:left="964" w:hanging="454"/>
        <w:jc w:val="left"/>
      </w:pPr>
      <w:rPr>
        <w:rFonts w:hint="default" w:ascii="TradeGothic Light" w:hAnsi="TradeGothic Light" w:eastAsia="TradeGothic Light" w:cs="TradeGothic Ligh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num w:numId="6">
    <w:abstractNumId w:val="5"/>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rPr>
  </w:style>
  <w:style w:styleId="TOC1" w:type="paragraph">
    <w:name w:val="TOC 1"/>
    <w:basedOn w:val="Normal"/>
    <w:uiPriority w:val="1"/>
    <w:qFormat/>
    <w:pPr>
      <w:spacing w:before="566"/>
      <w:ind w:left="510" w:hanging="397"/>
    </w:pPr>
    <w:rPr>
      <w:rFonts w:ascii="Myriad Pro Light" w:hAnsi="Myriad Pro Light" w:eastAsia="Myriad Pro Light" w:cs="Myriad Pro Light"/>
      <w:sz w:val="24"/>
      <w:szCs w:val="24"/>
    </w:rPr>
  </w:style>
  <w:style w:styleId="TOC2" w:type="paragraph">
    <w:name w:val="TOC 2"/>
    <w:basedOn w:val="Normal"/>
    <w:uiPriority w:val="1"/>
    <w:qFormat/>
    <w:pPr>
      <w:spacing w:before="174"/>
      <w:ind w:left="964" w:hanging="454"/>
    </w:pPr>
    <w:rPr>
      <w:rFonts w:ascii="TradeGothic Light" w:hAnsi="TradeGothic Light" w:eastAsia="TradeGothic Light" w:cs="TradeGothic Light"/>
      <w:sz w:val="22"/>
      <w:szCs w:val="22"/>
    </w:rPr>
  </w:style>
  <w:style w:styleId="TOC3" w:type="paragraph">
    <w:name w:val="TOC 3"/>
    <w:basedOn w:val="Normal"/>
    <w:uiPriority w:val="1"/>
    <w:qFormat/>
    <w:pPr>
      <w:spacing w:before="4"/>
      <w:ind w:left="964"/>
    </w:pPr>
    <w:rPr>
      <w:rFonts w:ascii="TradeGothic Light" w:hAnsi="TradeGothic Light" w:eastAsia="TradeGothic Light" w:cs="TradeGothic Light"/>
      <w:sz w:val="22"/>
      <w:szCs w:val="22"/>
    </w:rPr>
  </w:style>
  <w:style w:styleId="BodyText" w:type="paragraph">
    <w:name w:val="Body Text"/>
    <w:basedOn w:val="Normal"/>
    <w:uiPriority w:val="1"/>
    <w:qFormat/>
    <w:pPr/>
    <w:rPr>
      <w:rFonts w:ascii="Myriad Pro Light" w:hAnsi="Myriad Pro Light" w:eastAsia="Myriad Pro Light" w:cs="Myriad Pro Light"/>
      <w:sz w:val="22"/>
      <w:szCs w:val="22"/>
    </w:rPr>
  </w:style>
  <w:style w:styleId="Heading1" w:type="paragraph">
    <w:name w:val="Heading 1"/>
    <w:basedOn w:val="Normal"/>
    <w:uiPriority w:val="1"/>
    <w:qFormat/>
    <w:pPr>
      <w:spacing w:before="26"/>
      <w:ind w:left="853" w:hanging="720"/>
      <w:outlineLvl w:val="1"/>
    </w:pPr>
    <w:rPr>
      <w:rFonts w:ascii="Myriad Pro Light" w:hAnsi="Myriad Pro Light" w:eastAsia="Myriad Pro Light" w:cs="Myriad Pro Light"/>
      <w:sz w:val="42"/>
      <w:szCs w:val="42"/>
    </w:rPr>
  </w:style>
  <w:style w:styleId="Heading2" w:type="paragraph">
    <w:name w:val="Heading 2"/>
    <w:basedOn w:val="Normal"/>
    <w:uiPriority w:val="1"/>
    <w:qFormat/>
    <w:pPr>
      <w:spacing w:before="338"/>
      <w:ind w:left="3611"/>
      <w:outlineLvl w:val="2"/>
    </w:pPr>
    <w:rPr>
      <w:rFonts w:ascii="Myriad Pro Light" w:hAnsi="Myriad Pro Light" w:eastAsia="Myriad Pro Light" w:cs="Myriad Pro Light"/>
      <w:sz w:val="32"/>
      <w:szCs w:val="32"/>
    </w:rPr>
  </w:style>
  <w:style w:styleId="Heading3" w:type="paragraph">
    <w:name w:val="Heading 3"/>
    <w:basedOn w:val="Normal"/>
    <w:uiPriority w:val="1"/>
    <w:qFormat/>
    <w:pPr>
      <w:spacing w:before="51"/>
      <w:ind w:left="3611" w:hanging="720"/>
      <w:outlineLvl w:val="3"/>
    </w:pPr>
    <w:rPr>
      <w:rFonts w:ascii="Myriad Pro Light" w:hAnsi="Myriad Pro Light" w:eastAsia="Myriad Pro Light" w:cs="Myriad Pro Light"/>
      <w:sz w:val="28"/>
      <w:szCs w:val="28"/>
    </w:rPr>
  </w:style>
  <w:style w:styleId="Heading4" w:type="paragraph">
    <w:name w:val="Heading 4"/>
    <w:basedOn w:val="Normal"/>
    <w:uiPriority w:val="1"/>
    <w:qFormat/>
    <w:pPr>
      <w:spacing w:before="59"/>
      <w:ind w:left="186"/>
      <w:outlineLvl w:val="4"/>
    </w:pPr>
    <w:rPr>
      <w:rFonts w:ascii="Myriad Pro" w:hAnsi="Myriad Pro" w:eastAsia="Myriad Pro" w:cs="Myriad Pro"/>
      <w:sz w:val="26"/>
      <w:szCs w:val="26"/>
    </w:rPr>
  </w:style>
  <w:style w:styleId="Heading5" w:type="paragraph">
    <w:name w:val="Heading 5"/>
    <w:basedOn w:val="Normal"/>
    <w:uiPriority w:val="1"/>
    <w:qFormat/>
    <w:pPr>
      <w:ind w:left="133"/>
      <w:outlineLvl w:val="5"/>
    </w:pPr>
    <w:rPr>
      <w:rFonts w:ascii="Myriad Pro" w:hAnsi="Myriad Pro" w:eastAsia="Myriad Pro" w:cs="Myriad Pro"/>
      <w:b/>
      <w:bCs/>
      <w:sz w:val="22"/>
      <w:szCs w:val="22"/>
    </w:rPr>
  </w:style>
  <w:style w:styleId="Heading6" w:type="paragraph">
    <w:name w:val="Heading 6"/>
    <w:basedOn w:val="Normal"/>
    <w:uiPriority w:val="1"/>
    <w:qFormat/>
    <w:pPr>
      <w:spacing w:before="59"/>
      <w:ind w:left="1251" w:right="321"/>
      <w:outlineLvl w:val="6"/>
    </w:pPr>
    <w:rPr>
      <w:rFonts w:ascii="Myriad Pro" w:hAnsi="Myriad Pro" w:eastAsia="Myriad Pro" w:cs="Myriad Pro"/>
      <w:b/>
      <w:bCs/>
      <w:i/>
      <w:sz w:val="22"/>
      <w:szCs w:val="22"/>
    </w:rPr>
  </w:style>
  <w:style w:styleId="ListParagraph" w:type="paragraph">
    <w:name w:val="List Paragraph"/>
    <w:basedOn w:val="Normal"/>
    <w:uiPriority w:val="1"/>
    <w:qFormat/>
    <w:pPr>
      <w:spacing w:before="112"/>
      <w:ind w:left="3611" w:hanging="720"/>
    </w:pPr>
    <w:rPr>
      <w:rFonts w:ascii="Myriad Pro Light" w:hAnsi="Myriad Pro Light" w:eastAsia="Myriad Pro Light" w:cs="Myriad Pro Light"/>
    </w:rPr>
  </w:style>
  <w:style w:styleId="TableParagraph" w:type="paragraph">
    <w:name w:val="Table Paragraph"/>
    <w:basedOn w:val="Normal"/>
    <w:uiPriority w:val="1"/>
    <w:qFormat/>
    <w:pPr>
      <w:spacing w:before="34"/>
      <w:ind w:left="70" w:right="137"/>
    </w:pPr>
    <w:rPr>
      <w:rFonts w:ascii="Myriad Pro" w:hAnsi="Myriad Pro" w:eastAsia="Myriad Pro" w:cs="Myriad 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s://wcd.coe.int/wcd/ViewDoc.jsp?Ref=PR242(2011)&amp;amp;Language=lanEnglish%20&amp;amp;Ver=orig%20inal&amp;amp;BackColorInternet=F5CA75&amp;amp;BackColorIntranet=F5CA75&amp;amp;Back%20ColorLogged=A9BACE" TargetMode="External"/><Relationship Id="rId19" Type="http://schemas.openxmlformats.org/officeDocument/2006/relationships/hyperlink" Target="http://www.modernghana.com/news/63517/1/tactile-balloting-to-help-blind-voters-in-election.html" TargetMode="External"/><Relationship Id="rId20" Type="http://schemas.openxmlformats.org/officeDocument/2006/relationships/hyperlink" Target="http://www.electionaccess.org/" TargetMode="External"/><Relationship Id="rId21" Type="http://schemas.openxmlformats.org/officeDocument/2006/relationships/image" Target="media/image14.png"/><Relationship Id="rId22" Type="http://schemas.openxmlformats.org/officeDocument/2006/relationships/hyperlink" Target="http://www.ohchr.org/EN/HRBodies/CRPD/Pages/Session6.aspx" TargetMode="External"/><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2017-12-01T15:35:44Z</dcterms:created>
  <dcterms:modified xsi:type="dcterms:W3CDTF">2017-12-01T15:35:44Z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