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FF" w:rsidRPr="009D3CD3" w:rsidRDefault="002F45FF" w:rsidP="002F45FF">
      <w:pPr>
        <w:spacing w:line="60" w:lineRule="exact"/>
        <w:rPr>
          <w:color w:val="010000"/>
          <w:sz w:val="6"/>
        </w:rPr>
        <w:sectPr w:rsidR="002F45FF" w:rsidRPr="009D3CD3" w:rsidSect="002F45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/>
          <w:pgMar w:top="1742" w:right="1200" w:bottom="1898" w:left="1200" w:header="576" w:footer="1030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9D3CD3" w:rsidRDefault="009D3CD3" w:rsidP="00532565">
      <w:pPr>
        <w:pStyle w:val="H1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>
        <w:lastRenderedPageBreak/>
        <w:t>Конференция государств</w:t>
      </w:r>
      <w:r w:rsidR="009612A4">
        <w:t xml:space="preserve"> — </w:t>
      </w:r>
      <w:r>
        <w:t>участников</w:t>
      </w:r>
      <w:r>
        <w:br/>
        <w:t>Конвенции о правах инвалидов</w:t>
      </w:r>
    </w:p>
    <w:p w:rsidR="009D3CD3" w:rsidRPr="00532565" w:rsidRDefault="009D3CD3" w:rsidP="00532565">
      <w:pPr>
        <w:rPr>
          <w:b/>
        </w:rPr>
      </w:pPr>
      <w:r w:rsidRPr="00532565">
        <w:rPr>
          <w:b/>
        </w:rPr>
        <w:t>Девятая сессия</w:t>
      </w:r>
    </w:p>
    <w:p w:rsidR="009D3CD3" w:rsidRDefault="009D3CD3" w:rsidP="00532565">
      <w:r>
        <w:t>Нью-Йорк, 14–16 июня 2016</w:t>
      </w:r>
      <w:r>
        <w:rPr>
          <w:lang w:val="en-US"/>
        </w:rPr>
        <w:t> </w:t>
      </w:r>
      <w:r>
        <w:t>года</w:t>
      </w:r>
    </w:p>
    <w:p w:rsidR="009D3CD3" w:rsidRPr="00532565" w:rsidRDefault="009D3CD3" w:rsidP="00532565">
      <w:r>
        <w:t>Пункт 5</w:t>
      </w:r>
      <w:r w:rsidRPr="00532565">
        <w:t>(</w:t>
      </w:r>
      <w:r>
        <w:rPr>
          <w:lang w:val="en-US"/>
        </w:rPr>
        <w:t>d</w:t>
      </w:r>
      <w:r w:rsidRPr="00532565">
        <w:t>)</w:t>
      </w:r>
      <w:r>
        <w:t xml:space="preserve"> предварительной повестки дня</w:t>
      </w:r>
      <w:r w:rsidRPr="009D3CD3">
        <w:rPr>
          <w:rStyle w:val="FootnoteReference"/>
        </w:rPr>
        <w:footnoteReference w:customMarkFollows="1" w:id="1"/>
        <w:t>*</w:t>
      </w:r>
    </w:p>
    <w:p w:rsidR="009D3CD3" w:rsidRPr="009D3CD3" w:rsidRDefault="009D3CD3" w:rsidP="00532565">
      <w:pPr>
        <w:rPr>
          <w:b/>
        </w:rPr>
      </w:pPr>
      <w:r w:rsidRPr="00532565">
        <w:rPr>
          <w:b/>
        </w:rPr>
        <w:t>Вопросы, касающиеся осуществления</w:t>
      </w:r>
      <w:r w:rsidRPr="00532565">
        <w:rPr>
          <w:b/>
        </w:rPr>
        <w:br/>
        <w:t xml:space="preserve">Конвенции: рабочая группа </w:t>
      </w:r>
      <w:r w:rsidRPr="009D3CD3">
        <w:rPr>
          <w:b/>
        </w:rPr>
        <w:t>3</w:t>
      </w:r>
    </w:p>
    <w:p w:rsidR="009D3CD3" w:rsidRPr="00532565" w:rsidRDefault="009D3CD3" w:rsidP="00532565">
      <w:pPr>
        <w:pStyle w:val="SingleTxt"/>
        <w:spacing w:after="0" w:line="120" w:lineRule="exact"/>
        <w:rPr>
          <w:sz w:val="10"/>
        </w:rPr>
      </w:pPr>
    </w:p>
    <w:p w:rsidR="009D3CD3" w:rsidRPr="00532565" w:rsidRDefault="009D3CD3" w:rsidP="00532565">
      <w:pPr>
        <w:pStyle w:val="SingleTxt"/>
        <w:spacing w:after="0" w:line="120" w:lineRule="exact"/>
        <w:rPr>
          <w:sz w:val="10"/>
        </w:rPr>
      </w:pPr>
    </w:p>
    <w:p w:rsidR="009D3CD3" w:rsidRPr="00532565" w:rsidRDefault="009D3CD3" w:rsidP="00532565">
      <w:pPr>
        <w:pStyle w:val="SingleTxt"/>
        <w:spacing w:after="0" w:line="120" w:lineRule="exact"/>
        <w:rPr>
          <w:sz w:val="10"/>
        </w:rPr>
      </w:pPr>
    </w:p>
    <w:p w:rsidR="009D3CD3" w:rsidRDefault="009D3CD3" w:rsidP="009D3CD3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  <w:t>Расширение доступа к информации и технологиям и открытое для всех развитие</w:t>
      </w:r>
    </w:p>
    <w:p w:rsidR="009D3CD3" w:rsidRPr="00532565" w:rsidRDefault="009D3CD3" w:rsidP="00532565">
      <w:pPr>
        <w:pStyle w:val="SingleTxt"/>
        <w:spacing w:after="0" w:line="120" w:lineRule="exact"/>
        <w:rPr>
          <w:sz w:val="10"/>
        </w:rPr>
      </w:pPr>
    </w:p>
    <w:p w:rsidR="009D3CD3" w:rsidRPr="00532565" w:rsidRDefault="009D3CD3" w:rsidP="00532565">
      <w:pPr>
        <w:pStyle w:val="SingleTxt"/>
        <w:spacing w:after="0" w:line="120" w:lineRule="exact"/>
        <w:rPr>
          <w:sz w:val="10"/>
        </w:rPr>
      </w:pPr>
    </w:p>
    <w:p w:rsidR="009D3CD3" w:rsidRDefault="009D3CD3" w:rsidP="009D3CD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  <w:t>Записка Секретариата</w:t>
      </w:r>
    </w:p>
    <w:p w:rsidR="009D3CD3" w:rsidRDefault="009D3CD3" w:rsidP="00532565">
      <w:pPr>
        <w:pStyle w:val="SingleTxt"/>
        <w:spacing w:after="0" w:line="120" w:lineRule="exact"/>
        <w:rPr>
          <w:sz w:val="10"/>
        </w:rPr>
      </w:pPr>
    </w:p>
    <w:p w:rsidR="009D3CD3" w:rsidRPr="00532565" w:rsidRDefault="009D3CD3" w:rsidP="00532565">
      <w:pPr>
        <w:pStyle w:val="SingleTxt"/>
        <w:spacing w:after="0" w:line="120" w:lineRule="exact"/>
        <w:rPr>
          <w:sz w:val="10"/>
        </w:rPr>
      </w:pPr>
    </w:p>
    <w:p w:rsidR="009D3CD3" w:rsidRDefault="009D3CD3" w:rsidP="003173D0">
      <w:pPr>
        <w:pStyle w:val="SingleTxt"/>
      </w:pPr>
      <w:r>
        <w:tab/>
        <w:t>Настоящий документ подготовлен Секретариатом на основе имеющейся в распоряжении Секретариата информации в целях содействия проведению обсуждения за круглым столом по теме «Расширение доступа к информации и технологиям и открытое для всех развитие», которое состоится в ходе девятой сессии Конференции государств</w:t>
      </w:r>
      <w:r w:rsidR="009612A4">
        <w:t xml:space="preserve"> — </w:t>
      </w:r>
      <w:r>
        <w:t>участников Конвенции о правах инвалидов.</w:t>
      </w:r>
    </w:p>
    <w:p w:rsidR="009D3CD3" w:rsidRDefault="009D3CD3" w:rsidP="000061B8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>
        <w:lastRenderedPageBreak/>
        <w:tab/>
      </w:r>
      <w:r>
        <w:tab/>
        <w:t>Введение</w:t>
      </w:r>
    </w:p>
    <w:p w:rsidR="009D3CD3" w:rsidRDefault="009D3CD3" w:rsidP="000061B8">
      <w:pPr>
        <w:pStyle w:val="SingleTxt"/>
        <w:spacing w:after="0" w:line="120" w:lineRule="exact"/>
        <w:rPr>
          <w:sz w:val="10"/>
        </w:rPr>
      </w:pPr>
    </w:p>
    <w:p w:rsidR="009D3CD3" w:rsidRDefault="009D3CD3" w:rsidP="006961B9">
      <w:pPr>
        <w:pStyle w:val="SingleTxt"/>
        <w:spacing w:line="234" w:lineRule="exact"/>
      </w:pPr>
      <w:r>
        <w:t>1.</w:t>
      </w:r>
      <w:r>
        <w:tab/>
        <w:t>В настоящем документе представлен обзор того исключительно важного значения, которое доступ, включая доступ к информации и технологиям, имеет для выполнения Повестки дня в области устойчивого развития на период до 2030 года</w:t>
      </w:r>
      <w:r w:rsidRPr="009D3CD3">
        <w:t xml:space="preserve"> </w:t>
      </w:r>
      <w:r>
        <w:t xml:space="preserve">для всех, включая инвалидов. Термин «возможность доступа», используемый в настоящем документе, описывает то, в какой степени окружающая среда, услуги или продукты обеспечивают доступ для максимально возможного числа людей, включая инвалидов. Существует огромный потенциал и возможности содействия обеспечению доступа в качестве составной части политики и программ развития городских и сельских районов. Признавая разные уровни развития и разные экономические проблемы, с которыми сталкиваются правительства в процессе содействия открытому для всех развитию, в процессе </w:t>
      </w:r>
      <w:r w:rsidR="007A38C0">
        <w:t>планирования</w:t>
      </w:r>
      <w:r>
        <w:t xml:space="preserve"> и развития городских районов в первую очередь необходимо активно </w:t>
      </w:r>
      <w:r w:rsidR="007A38C0">
        <w:t>поощрять</w:t>
      </w:r>
      <w:r>
        <w:t xml:space="preserve"> концепции универсального дизайна</w:t>
      </w:r>
      <w:r w:rsidRPr="009D3CD3">
        <w:rPr>
          <w:rStyle w:val="FootnoteReference"/>
        </w:rPr>
        <w:footnoteReference w:id="2"/>
      </w:r>
      <w:r>
        <w:t xml:space="preserve"> и соответствующие технические стандарты, касающиеся обеспечения доступа.</w:t>
      </w:r>
    </w:p>
    <w:p w:rsidR="009D3CD3" w:rsidRDefault="009D3CD3" w:rsidP="006961B9">
      <w:pPr>
        <w:pStyle w:val="SingleTxt"/>
        <w:spacing w:line="234" w:lineRule="exact"/>
      </w:pPr>
      <w:r>
        <w:t>2.</w:t>
      </w:r>
      <w:r>
        <w:tab/>
        <w:t xml:space="preserve">Окружающая среда может создавать барьеры или предоставлять возможности, сохраняя исключение или содействуя участию и охвату. Это особо касается вопроса доступа к информационно-коммуникационным технологиям </w:t>
      </w:r>
      <w:r w:rsidRPr="00532565">
        <w:t>(</w:t>
      </w:r>
      <w:r>
        <w:t>ИКТ</w:t>
      </w:r>
      <w:r w:rsidRPr="00532565">
        <w:t>)</w:t>
      </w:r>
      <w:r>
        <w:t>. Слишком часто для проживающих в мире 1 миллиарда людей, имеющих инвалидность, широко распространенные барьеры или отсутствие доступа в среде, связанного с информацией и коммуникациями, а также соответствующими технологиями и услугами, являются основной проблемой, затрудняющей осуществление всеобщих прав человека, полноправное участие в обществе и процессе развития на равной основе с другими</w:t>
      </w:r>
      <w:r w:rsidRPr="009D3CD3">
        <w:rPr>
          <w:rStyle w:val="FootnoteReference"/>
        </w:rPr>
        <w:footnoteReference w:id="3"/>
      </w:r>
      <w:r>
        <w:t>.</w:t>
      </w:r>
    </w:p>
    <w:p w:rsidR="009D3CD3" w:rsidRPr="009612A4" w:rsidRDefault="009D3CD3" w:rsidP="009612A4">
      <w:pPr>
        <w:pStyle w:val="SingleTxt"/>
        <w:spacing w:after="0" w:line="120" w:lineRule="exact"/>
        <w:rPr>
          <w:sz w:val="10"/>
        </w:rPr>
      </w:pPr>
    </w:p>
    <w:p w:rsidR="009612A4" w:rsidRPr="00532565" w:rsidRDefault="009612A4" w:rsidP="00532565">
      <w:pPr>
        <w:pStyle w:val="SingleTxt"/>
        <w:spacing w:after="0" w:line="120" w:lineRule="exact"/>
        <w:rPr>
          <w:sz w:val="10"/>
        </w:rPr>
      </w:pPr>
    </w:p>
    <w:p w:rsidR="009D3CD3" w:rsidRDefault="009D3CD3" w:rsidP="009612A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  <w:t>Международная нормативная основа</w:t>
      </w:r>
      <w:r w:rsidRPr="009D3CD3">
        <w:rPr>
          <w:rStyle w:val="FootnoteReference"/>
          <w:b w:val="0"/>
        </w:rPr>
        <w:footnoteReference w:id="4"/>
      </w:r>
    </w:p>
    <w:p w:rsidR="009612A4" w:rsidRPr="00470E99" w:rsidRDefault="009612A4" w:rsidP="009612A4">
      <w:pPr>
        <w:pStyle w:val="SingleTxt"/>
        <w:spacing w:after="0" w:line="120" w:lineRule="exact"/>
        <w:rPr>
          <w:sz w:val="10"/>
        </w:rPr>
      </w:pPr>
    </w:p>
    <w:p w:rsidR="009D3CD3" w:rsidRDefault="009D3CD3" w:rsidP="006961B9">
      <w:pPr>
        <w:pStyle w:val="SingleTxt"/>
      </w:pPr>
      <w:r>
        <w:lastRenderedPageBreak/>
        <w:t>3.</w:t>
      </w:r>
      <w:r>
        <w:tab/>
        <w:t xml:space="preserve">В соответствии с Конвенцией о правах инвалидов возможность доступа рассматривается в качестве необходимого для инвалидов условия жить самостоятельно и в полной мере участвовать во всех сферах жизни общества и процессе развития. Возможность доступа в качестве междисциплинарного вопроса является общим принципом </w:t>
      </w:r>
      <w:r w:rsidRPr="00470E99">
        <w:t>(</w:t>
      </w:r>
      <w:r>
        <w:t>статья 3</w:t>
      </w:r>
      <w:r w:rsidRPr="00470E99">
        <w:t xml:space="preserve">) </w:t>
      </w:r>
      <w:r>
        <w:t xml:space="preserve">и общим обязательством государств-участников </w:t>
      </w:r>
      <w:r w:rsidRPr="00470E99">
        <w:t>(</w:t>
      </w:r>
      <w:r>
        <w:t>статья 4</w:t>
      </w:r>
      <w:r w:rsidRPr="00470E99">
        <w:t>)</w:t>
      </w:r>
      <w:r>
        <w:t xml:space="preserve">, </w:t>
      </w:r>
      <w:r w:rsidR="00C438F3">
        <w:t xml:space="preserve">в соответствии с которым </w:t>
      </w:r>
      <w:r>
        <w:t xml:space="preserve">государства-участники обязаны инициативно содействовать обеспечению доступа с точки зрения проектирования и разработки новых технологий, включая ИКТ, а также обеспечивать возможность их использования инвалидами. В Конвенции имеется отдельная статья о возможностях доступа </w:t>
      </w:r>
      <w:r w:rsidRPr="00470E99">
        <w:t>(</w:t>
      </w:r>
      <w:r>
        <w:t>статья 9</w:t>
      </w:r>
      <w:r w:rsidRPr="00470E99">
        <w:t>)</w:t>
      </w:r>
      <w:r>
        <w:t>. В соответствии со статьей 21, специально посвященной свободе слова и доступу к информации, государства обязаны содействовать доступу инвалидов к новым ИКТ и системам, включая Интернет.</w:t>
      </w:r>
    </w:p>
    <w:p w:rsidR="009D3CD3" w:rsidRDefault="009D3CD3" w:rsidP="00C438F3">
      <w:pPr>
        <w:pStyle w:val="SingleTxt"/>
      </w:pPr>
      <w:r>
        <w:t>4.</w:t>
      </w:r>
      <w:r>
        <w:tab/>
      </w:r>
      <w:r w:rsidR="00C438F3">
        <w:t>Р</w:t>
      </w:r>
      <w:r>
        <w:t>езультат</w:t>
      </w:r>
      <w:r w:rsidR="00C438F3">
        <w:t>ом</w:t>
      </w:r>
      <w:r>
        <w:t xml:space="preserve"> недавно состоявшегося в ходе Генеральной Ассамблеи совещания высокого уровня по </w:t>
      </w:r>
      <w:r w:rsidR="00C438F3">
        <w:t xml:space="preserve">достижению целей в области развития, сформулированных в Декларации тысячелетия, и других согласованных на международном уровне целей в области развития в интересах инвалидов был </w:t>
      </w:r>
      <w:r>
        <w:t>принят ориентированный на конкретные действия итоговый документ</w:t>
      </w:r>
      <w:r w:rsidRPr="009D3CD3">
        <w:rPr>
          <w:rStyle w:val="FootnoteReference"/>
        </w:rPr>
        <w:footnoteReference w:id="5"/>
      </w:r>
      <w:r>
        <w:t xml:space="preserve">, в котором было подчеркнуто важное значение обеспечения доступа для включения инвалидов во все области развития, в том числе в контексте открытой для всех </w:t>
      </w:r>
      <w:r w:rsidR="00C438F3">
        <w:t>П</w:t>
      </w:r>
      <w:r>
        <w:t>овестки дня в области устойчивого развития на период</w:t>
      </w:r>
      <w:r w:rsidR="00C438F3">
        <w:t xml:space="preserve"> </w:t>
      </w:r>
      <w:r>
        <w:t xml:space="preserve">до 2030 года. В итоговом документе </w:t>
      </w:r>
      <w:r w:rsidR="00C438F3">
        <w:t xml:space="preserve">главы государств и правительств призвали осуществлять меры </w:t>
      </w:r>
      <w:r>
        <w:t>по обеспечению доступа в соответствии с подходом, предусматривающим универсальный дизайн, путем устранения барьеров, препятствующих доступу к физической среде, транспорту, занятости, образованию, охране здоровья, услугам, информации и ассистивным устройствам, таким как ИКТ, в том числе в удаленных и сельских районах, для достижения самого полного потенциала на протяжении всей жизни инвалидов.</w:t>
      </w:r>
    </w:p>
    <w:p w:rsidR="00A778C9" w:rsidRDefault="009D3CD3" w:rsidP="003A0143">
      <w:pPr>
        <w:pStyle w:val="SingleTxt"/>
      </w:pPr>
      <w:r>
        <w:t>5.</w:t>
      </w:r>
      <w:r>
        <w:tab/>
        <w:t xml:space="preserve">В </w:t>
      </w:r>
      <w:r w:rsidR="00C438F3">
        <w:t>П</w:t>
      </w:r>
      <w:r>
        <w:t>овестке дня в области устойчивого развития на период до 2030 года</w:t>
      </w:r>
      <w:r w:rsidRPr="009D3CD3">
        <w:rPr>
          <w:rStyle w:val="FootnoteReference"/>
        </w:rPr>
        <w:footnoteReference w:id="6"/>
      </w:r>
      <w:r>
        <w:t xml:space="preserve"> на государства-члены возлагается обязательство содействовать обеспечению доступа во многих областях, например, цель 11 предусматривает «обеспечение открытости, безопасности, жизнестойкости и экологической устойчивости транспортных систем для всех… с уделением особого внимания нуждам тех, кто находится в уязвимом положении… </w:t>
      </w:r>
      <w:r w:rsidRPr="0062437B">
        <w:t>[</w:t>
      </w:r>
      <w:r>
        <w:t>включая</w:t>
      </w:r>
      <w:r w:rsidRPr="0062437B">
        <w:t>]</w:t>
      </w:r>
      <w:r>
        <w:t xml:space="preserve"> инвалидов» </w:t>
      </w:r>
      <w:r w:rsidRPr="0062437B">
        <w:t>(</w:t>
      </w:r>
      <w:r w:rsidR="00C438F3">
        <w:t xml:space="preserve">цель </w:t>
      </w:r>
      <w:r w:rsidRPr="0062437B">
        <w:t>11.2)</w:t>
      </w:r>
      <w:r>
        <w:t xml:space="preserve">; и «обеспечение всеобщего доступа к безопасным, доступным и открытым для </w:t>
      </w:r>
      <w:r>
        <w:lastRenderedPageBreak/>
        <w:t xml:space="preserve">всех зеленым зонам и общественным местам, особенно… для инвалидов </w:t>
      </w:r>
      <w:r w:rsidRPr="0062437B">
        <w:t>(</w:t>
      </w:r>
      <w:r w:rsidR="00C438F3">
        <w:t>цель </w:t>
      </w:r>
      <w:r w:rsidRPr="0062437B">
        <w:t>11.7)</w:t>
      </w:r>
      <w:r>
        <w:t>.</w:t>
      </w:r>
      <w:r w:rsidR="00A778C9">
        <w:t xml:space="preserve"> В других случаях в Повестку дня включены универсальные цели, которые касаются инвалидов, например цели 3.8 (всеобщий охват услугами здравоохранения), 9.</w:t>
      </w:r>
      <w:r w:rsidR="00A778C9">
        <w:rPr>
          <w:lang w:val="en-US"/>
        </w:rPr>
        <w:t>c</w:t>
      </w:r>
      <w:r w:rsidR="00A778C9" w:rsidRPr="004B06A6">
        <w:t xml:space="preserve"> </w:t>
      </w:r>
      <w:r w:rsidR="00A778C9">
        <w:t xml:space="preserve">(существенное расширение доступа к информационно-коммуникационным технологиям и стремление к обеспечению всеобщего и недорогого доступа к Интернету в наименее развитых странах к </w:t>
      </w:r>
      <w:r w:rsidR="00A778C9" w:rsidRPr="004B06A6">
        <w:t>2020</w:t>
      </w:r>
      <w:r w:rsidR="00A778C9">
        <w:t xml:space="preserve"> году) и </w:t>
      </w:r>
      <w:r w:rsidR="00A778C9" w:rsidRPr="004B06A6">
        <w:t>11.1</w:t>
      </w:r>
      <w:r w:rsidR="00A778C9">
        <w:t xml:space="preserve"> (обеспечение всеобщего доступа к достаточному, безопасному и недорогому жилью и основным услугам и благоустройство трущоб).</w:t>
      </w:r>
    </w:p>
    <w:p w:rsidR="00A778C9" w:rsidRPr="009612A4" w:rsidRDefault="00A778C9" w:rsidP="009612A4">
      <w:pPr>
        <w:pStyle w:val="SingleTxt"/>
        <w:spacing w:after="0" w:line="120" w:lineRule="exact"/>
        <w:rPr>
          <w:sz w:val="10"/>
        </w:rPr>
      </w:pPr>
    </w:p>
    <w:p w:rsidR="009612A4" w:rsidRPr="004B06A6" w:rsidRDefault="009612A4" w:rsidP="004B06A6">
      <w:pPr>
        <w:pStyle w:val="SingleTxt"/>
        <w:spacing w:after="0" w:line="120" w:lineRule="exact"/>
        <w:rPr>
          <w:sz w:val="10"/>
        </w:rPr>
      </w:pPr>
    </w:p>
    <w:p w:rsidR="00A778C9" w:rsidRDefault="00A778C9" w:rsidP="009612A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  <w:t>Проблемы и задачи</w:t>
      </w:r>
    </w:p>
    <w:p w:rsidR="00A778C9" w:rsidRPr="009612A4" w:rsidRDefault="00A778C9" w:rsidP="009612A4">
      <w:pPr>
        <w:pStyle w:val="SingleTxt"/>
        <w:spacing w:after="0" w:line="120" w:lineRule="exact"/>
        <w:rPr>
          <w:sz w:val="10"/>
        </w:rPr>
      </w:pPr>
    </w:p>
    <w:p w:rsidR="009612A4" w:rsidRPr="004B06A6" w:rsidRDefault="009612A4" w:rsidP="004B06A6">
      <w:pPr>
        <w:pStyle w:val="SingleTxt"/>
        <w:spacing w:after="0" w:line="120" w:lineRule="exact"/>
        <w:rPr>
          <w:sz w:val="10"/>
        </w:rPr>
      </w:pPr>
    </w:p>
    <w:p w:rsidR="00A778C9" w:rsidRPr="004B06A6" w:rsidRDefault="00A778C9" w:rsidP="004B06A6">
      <w:pPr>
        <w:pStyle w:val="SingleTxt"/>
      </w:pPr>
      <w:r w:rsidRPr="004B06A6">
        <w:t>6.</w:t>
      </w:r>
      <w:r w:rsidRPr="004B06A6">
        <w:tab/>
      </w:r>
      <w:r>
        <w:t>Информация позволяет людям принимать решения и эффективным образом участвовать в жизни общества и процессе развития и вносить свой вклад в этой области. Доступ к информации и соответствующим технологиям имеет в эру информационного общества важнейшее значение. Он позволяет создать новые возможности для людей, в частности инвалидов, которые зачастую сталкиваются с трудностями доступа к ИКТ и невозможностью доступа к физической и виртуальной среде.</w:t>
      </w:r>
    </w:p>
    <w:p w:rsidR="00A778C9" w:rsidRPr="00497197" w:rsidRDefault="00A778C9" w:rsidP="004B06A6">
      <w:pPr>
        <w:pStyle w:val="SingleTxt"/>
      </w:pPr>
      <w:r w:rsidRPr="00497197">
        <w:t>7.</w:t>
      </w:r>
      <w:r w:rsidRPr="00497197">
        <w:tab/>
      </w:r>
      <w:r>
        <w:t>Хотя достигнут значительный прогресс в деле повышения информированности о правах инвалидов после принятия Конвенции о правах инвалидов в 2006 году, сохраняются серьезные пробелы с точки зрения возможности доступа к информации и соответствующим технологиям. Во многих частях мира инвалиды продолжают испытывать трудности или по</w:t>
      </w:r>
      <w:r>
        <w:noBreakHyphen/>
        <w:t>прежнему не имеют доступа к физической и информационно-коммуникационной среде, как, например, отсутствие доступа к информации или отсутствие информации в таких доступных форматах, как шрифт Брайля, язык жестов или удобные для пользователей веб-сайты с программами экранного доступа.</w:t>
      </w:r>
    </w:p>
    <w:p w:rsidR="00A778C9" w:rsidRPr="00497197" w:rsidRDefault="00A778C9" w:rsidP="004B06A6">
      <w:pPr>
        <w:pStyle w:val="SingleTxt"/>
      </w:pPr>
      <w:r w:rsidRPr="00497197">
        <w:t>8.</w:t>
      </w:r>
      <w:r w:rsidRPr="00497197">
        <w:tab/>
      </w:r>
      <w:r>
        <w:t>Одним из наглядных примеров является ограниченный доступ слепых людей, людей с нарушениями зрения и людей, имеющих трудности с пониманием печатного текста, к печатным изданиям. Согласно Всемирному союзу слепых, до 2013 года имелся доступ лишь к 7 процентам изданных книг (в таких форматах, как шрифт Брайля, аудиоиздания и крупная печать) в самых богатых странах мира и менее 1 процента в более бедных странах</w:t>
      </w:r>
      <w:r w:rsidRPr="00EC3AF9">
        <w:rPr>
          <w:rStyle w:val="FootnoteReference"/>
        </w:rPr>
        <w:footnoteReference w:id="7"/>
      </w:r>
      <w:r>
        <w:t>. В ответ в договоре Всемирной организации интеллектуальной собственности (ВОИС)</w:t>
      </w:r>
      <w:r>
        <w:rPr>
          <w:rStyle w:val="FootnoteReference"/>
        </w:rPr>
        <w:footnoteReference w:id="8"/>
      </w:r>
      <w:r>
        <w:t>, который был принял в 201</w:t>
      </w:r>
      <w:r w:rsidR="009612A4">
        <w:t>3</w:t>
      </w:r>
      <w:r>
        <w:t> году и вступит в силу, когда его ратифицируют 20 стран, ставится задача покончить с таким «книжным голодом» путем введения исключений из авторского права для содействия трансграничной передаче книг более 280 миллионам слепых людей, людей с нарушениями зрения и людей, имеющих другие трудности с пониманием печатного текста.</w:t>
      </w:r>
    </w:p>
    <w:p w:rsidR="00A778C9" w:rsidRPr="00EC3AF9" w:rsidRDefault="00A778C9" w:rsidP="004B06A6">
      <w:pPr>
        <w:pStyle w:val="SingleTxt"/>
      </w:pPr>
      <w:r w:rsidRPr="00EC3AF9">
        <w:t>9.</w:t>
      </w:r>
      <w:r w:rsidRPr="00EC3AF9">
        <w:tab/>
      </w:r>
      <w:r>
        <w:t>Прогресс в деле предоставления инвалидам доступа к цифровым технологиям также является медленным, особенно во многих развивающихся странах. Например, в Африке Интернет-услуги для находящихся в неблагоприятном положении и уязвимых групп населения оста</w:t>
      </w:r>
      <w:r w:rsidR="009612A4">
        <w:t>ю</w:t>
      </w:r>
      <w:r>
        <w:t xml:space="preserve">тся на низком </w:t>
      </w:r>
      <w:r>
        <w:lastRenderedPageBreak/>
        <w:t xml:space="preserve">уровне и лишь 4 процента стран предлагают Интернет-услуги бедным людям и инвалидам. В Океании 14 процентов стран предлагают такие услуги пожилым людям, бедным людям и инвалидам. </w:t>
      </w:r>
      <w:r w:rsidR="00BF7477">
        <w:t>В Океании у</w:t>
      </w:r>
      <w:r>
        <w:t>слуги для бедных имеются в 21 проценте стран. И наконец, в странах американского континента 31 процент стран предоставляют услуги инвалидам и пожилым людям</w:t>
      </w:r>
      <w:r>
        <w:rPr>
          <w:rStyle w:val="FootnoteReference"/>
        </w:rPr>
        <w:footnoteReference w:id="9"/>
      </w:r>
      <w:r>
        <w:t>.</w:t>
      </w:r>
    </w:p>
    <w:p w:rsidR="00A778C9" w:rsidRPr="0098418A" w:rsidRDefault="00A778C9" w:rsidP="004B06A6">
      <w:pPr>
        <w:pStyle w:val="SingleTxt"/>
      </w:pPr>
      <w:r w:rsidRPr="0098418A">
        <w:t>10.</w:t>
      </w:r>
      <w:r w:rsidRPr="0098418A">
        <w:tab/>
      </w:r>
      <w:r>
        <w:t xml:space="preserve">Отсутствие доступа или ограниченный доступ к ИКТ обусловлены рядом факторов. Представителям директивных органов и другим заинтересованным сторонам предстоит признать, что обеспечение доступа не является вопросом дополнительных мер или лишь удовлетворения особых потребностей «специальных групп». Универсальный дизайн и его сопряжение со средствами и услугами ИКТ отвечают интересам всех и должны быть составной частью политики в области развития. Во-вторых, хотя многие страны приняли законодательство, касающееся инвалидов, не </w:t>
      </w:r>
      <w:r w:rsidR="00BF7477">
        <w:t xml:space="preserve">на </w:t>
      </w:r>
      <w:r>
        <w:t xml:space="preserve">все сектора ИКТ </w:t>
      </w:r>
      <w:r w:rsidR="00BF7477">
        <w:t xml:space="preserve">распространяется </w:t>
      </w:r>
      <w:r>
        <w:t>так</w:t>
      </w:r>
      <w:r w:rsidR="00BF7477">
        <w:t>ое</w:t>
      </w:r>
      <w:r>
        <w:t xml:space="preserve"> законодательство. В-третьих, в результате стремительного развития сектора ИКТ зачастую существующие регулирующие положения устаревают. Например, зачастую неохваченными остаются мобильные телефоны и Интернет-услуги. Во многих случаях работа по разработке технических стандартов ИКТ проводится с за</w:t>
      </w:r>
      <w:r w:rsidR="00BF7477">
        <w:t>держкой</w:t>
      </w:r>
      <w:r>
        <w:t>. Кроме того, имеющиеся ассистивные технологии и устройства для доступа к ИКТ могут в короткие сроки стать устаревшими в результате быстрых темпов развития новых технологий, поскольку лишь немногие ИКТ разрабатываются таким образом, чтобы быть безусловно доступными в соответствии с подходом, предусматривающим универсальный дизайн. И наконец, высокая стоимость многих ИКТ также ограничивает доступ инвалидов, нуждающихся в них, в частности в странах с низким доходом. Во многих случаях многие ассистивные устройства недоступны по цене или отсутствуют.</w:t>
      </w:r>
    </w:p>
    <w:p w:rsidR="00A778C9" w:rsidRPr="00B23024" w:rsidRDefault="00A778C9" w:rsidP="004B06A6">
      <w:pPr>
        <w:pStyle w:val="SingleTxt"/>
      </w:pPr>
      <w:r w:rsidRPr="00B23024">
        <w:t>11.</w:t>
      </w:r>
      <w:r w:rsidRPr="00B23024">
        <w:tab/>
      </w:r>
      <w:r>
        <w:t>Ввиду отсутствия доступа или ограниченного доступа к информации и связанным с информацией технологиям, средствам и услугам инвалиды во многих частях мира сталкиваются со значительными трудностями, неудобствами и исключением в социальной, экономической и политической жизни.</w:t>
      </w:r>
    </w:p>
    <w:p w:rsidR="00A778C9" w:rsidRDefault="00A778C9" w:rsidP="004B06A6">
      <w:pPr>
        <w:pStyle w:val="SingleTxt"/>
      </w:pPr>
      <w:r w:rsidRPr="00B23024">
        <w:t>12.</w:t>
      </w:r>
      <w:r w:rsidRPr="00B23024">
        <w:tab/>
      </w:r>
      <w:r>
        <w:t xml:space="preserve">В чрезвычайных ситуациях, как, например, в результате стихийных бедствий, отсутствие доступа к ИКТ может быть вопросом жизни и смерти. Имеющиеся данные показывают, что показатель смертности среди инвалидов в моменты стихийных бедствий в </w:t>
      </w:r>
      <w:r w:rsidR="009612A4">
        <w:t xml:space="preserve">два-четыре </w:t>
      </w:r>
      <w:r>
        <w:t xml:space="preserve">раза выше, чем среди населения в целом в этом же затронутом районе. </w:t>
      </w:r>
      <w:r w:rsidR="007A38C0">
        <w:t>Например, во время Великого восточно-японского землетрясения и цунами отсутствие доступа к раннему предупреждению и оперативной системе поддержки и оказания услуг было признано одним из основных факторов, способствовавших более высоким показателям смертности среди инвалидов, особенно лиц с нарушениями зрения и слуха</w:t>
      </w:r>
      <w:r w:rsidR="007A38C0">
        <w:rPr>
          <w:rStyle w:val="FootnoteReference"/>
        </w:rPr>
        <w:footnoteReference w:id="10"/>
      </w:r>
      <w:r w:rsidR="007A38C0">
        <w:t>.</w:t>
      </w:r>
    </w:p>
    <w:p w:rsidR="00A778C9" w:rsidRPr="009612A4" w:rsidRDefault="00A778C9" w:rsidP="009612A4">
      <w:pPr>
        <w:pStyle w:val="SingleTxt"/>
        <w:spacing w:after="0" w:line="120" w:lineRule="exact"/>
        <w:rPr>
          <w:sz w:val="10"/>
        </w:rPr>
      </w:pPr>
    </w:p>
    <w:p w:rsidR="009612A4" w:rsidRPr="009966E6" w:rsidRDefault="009612A4" w:rsidP="009966E6">
      <w:pPr>
        <w:pStyle w:val="SingleTxt"/>
        <w:spacing w:after="0" w:line="120" w:lineRule="exact"/>
        <w:rPr>
          <w:sz w:val="10"/>
        </w:rPr>
      </w:pPr>
    </w:p>
    <w:p w:rsidR="00BE3FEC" w:rsidRDefault="00BE3FEC" w:rsidP="009612A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  <w:t>Направление дальнейших действий</w:t>
      </w:r>
    </w:p>
    <w:p w:rsidR="00BE3FEC" w:rsidRPr="009612A4" w:rsidRDefault="00BE3FEC" w:rsidP="009612A4">
      <w:pPr>
        <w:pStyle w:val="SingleTxt"/>
        <w:spacing w:after="0" w:line="120" w:lineRule="exact"/>
        <w:rPr>
          <w:sz w:val="10"/>
        </w:rPr>
      </w:pPr>
    </w:p>
    <w:p w:rsidR="009612A4" w:rsidRPr="002729EA" w:rsidRDefault="009612A4" w:rsidP="002729EA">
      <w:pPr>
        <w:pStyle w:val="SingleTxt"/>
        <w:spacing w:after="0" w:line="120" w:lineRule="exact"/>
        <w:rPr>
          <w:sz w:val="10"/>
        </w:rPr>
      </w:pPr>
    </w:p>
    <w:p w:rsidR="00BE3FEC" w:rsidRDefault="00BE3FEC" w:rsidP="002729EA">
      <w:pPr>
        <w:pStyle w:val="SingleTxt"/>
      </w:pPr>
      <w:r>
        <w:lastRenderedPageBreak/>
        <w:t>13.</w:t>
      </w:r>
      <w:r>
        <w:tab/>
        <w:t xml:space="preserve">В последние годы появились инициативы и передовая практика в деле содействия обеспечению доступа к ИКТ для развития городских и сельских районов во всем мире с учетом потребностей инвалидов. Определенный прогресс достигнут и в рамках системы Организации Объединенных Наций. Генеральный секретарь впервые опубликовал в рамках Секретариата </w:t>
      </w:r>
      <w:r w:rsidR="009612A4">
        <w:t>(</w:t>
      </w:r>
      <w:r>
        <w:t>бюллетень Генерального секретаря</w:t>
      </w:r>
      <w:r w:rsidR="009612A4">
        <w:t>)</w:t>
      </w:r>
      <w:r>
        <w:t xml:space="preserve"> политику обеспечения занятости и доступа сотрудников, имеющих умственные и физические недостатки, и назначил Специального посланника по проблемам инвалидов и доступности. Отдел социальной политики и развития Департамента по экономическим и социальным вопросам в качестве глобального координатора по вопросам инвалидности в рамках системы Организации Объединенных Наций поощряет обеспечение доступности в качестве составной части инклюзивного развития, поддерживая укрепление потенциала государств-членов и организаций инвалидов в процессе содействия обеспечению доступности в обществе и в процессе развития. На основе опыта поддержки Специального комитета Генеральной Ассамблеи, который подготавливал проект Конвенции о правах инвалидов, Конференция государств — участников Конвенции инициировала конкретные шаги по улучшению доступа и приемлемого размещения в целях удовлетворения потребностей делегатов и наблюдателей Конференции, имеющих инвалидность. В последние годы Отдел организовал несколько заседаний дискуссионных групп и групп экспертов по вопросам доступности. Например, в апреле 2012 года Отдел в сотрудничестве с Информационным центром Организации Объединенных Наций и Фондом «Ниппон» организовал в Токио совещание группы экспертов по вопросу доступа к ИКТ для изучения путей продвижения доступных ИКТ в целях содействия инклюзивному обществу и развитию, в том числе в контексте реагирования на стихийные бедствия и чрезвычайные ситуации. Такие инициативы способствовали повышению информированности и укреплению базы знаний заинтересованных сторон в целях содействия обеспечению доступа к ИКТ и процессу развития с учетом потребностей инвалидов.</w:t>
      </w:r>
    </w:p>
    <w:p w:rsidR="00BE3FEC" w:rsidRDefault="00BE3FEC" w:rsidP="002729EA">
      <w:pPr>
        <w:pStyle w:val="SingleTxt"/>
      </w:pPr>
      <w:r>
        <w:t>14.</w:t>
      </w:r>
      <w:r>
        <w:tab/>
        <w:t xml:space="preserve">Как отмечалось в пункте 8 выше, </w:t>
      </w:r>
      <w:r w:rsidR="009612A4">
        <w:t xml:space="preserve">в </w:t>
      </w:r>
      <w:r>
        <w:t>2013 году в Марракеше, Марокко, под эгидой Всемирной организации интеллектуальной собственности был принят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произведениям. В договоре первоочередное внимание уделяется исключениям к авторскому праву в целях содействия созданию доступных версий книг и других авторских работ. Для вступления в силу этого договора по</w:t>
      </w:r>
      <w:r>
        <w:noBreakHyphen/>
        <w:t>прежнему требуется его ратификация 20 государствами.</w:t>
      </w:r>
    </w:p>
    <w:p w:rsidR="00BE3FEC" w:rsidRDefault="00BE3FEC" w:rsidP="002729EA">
      <w:pPr>
        <w:pStyle w:val="SingleTxt"/>
      </w:pPr>
      <w:r>
        <w:t>15.</w:t>
      </w:r>
      <w:r>
        <w:tab/>
        <w:t xml:space="preserve">На основе накопленного в течение 10 лет опыта осуществления Конвенции и благодаря динамике, приданной в результате принятия Повестки дня в области устойчивого развития на период до 2030 года, международное сообщество имеет хорошие возможности для продвижения ИКТ в интересах развития с учетом потребностей инвалидов в ходе предстоящих конференций Организации Объединенных Наций по глобальным вопросам развития, таких как </w:t>
      </w:r>
      <w:r>
        <w:rPr>
          <w:rStyle w:val="preferred"/>
        </w:rPr>
        <w:t>Конференция Организации Объединенных Наций по жилью и устойчивому городскому развитию</w:t>
      </w:r>
      <w:r>
        <w:t xml:space="preserve"> (Хабитат III), которая состоится в Кито в октябре 2016 года, в целях содействия продвижению в мире в следующие два десятилетия программы инклюзивного развития городских районов.</w:t>
      </w:r>
    </w:p>
    <w:p w:rsidR="00BE3FEC" w:rsidRDefault="00BE3FEC" w:rsidP="002729EA">
      <w:pPr>
        <w:pStyle w:val="SingleTxt"/>
      </w:pPr>
      <w:r>
        <w:lastRenderedPageBreak/>
        <w:t>16.</w:t>
      </w:r>
      <w:r>
        <w:tab/>
        <w:t>Для выполнения амбициозной Повестки дня в области устойчивого развития на период до 2030 года и обеспечения при этом того, чтобы никто не был забыт, необходимо, чтобы доступ к ИКТ и другим технологиям был обеспечен для всех, в частности инвалидов. Для этого требуется также активное участие инвалидов и их организаций в качестве агентов и бенефициаров развития на всех этапах процесса развития.</w:t>
      </w:r>
    </w:p>
    <w:p w:rsidR="00BE3FEC" w:rsidRDefault="00BE3FEC" w:rsidP="002729EA">
      <w:pPr>
        <w:pStyle w:val="SingleTxt"/>
      </w:pPr>
      <w:r>
        <w:t>17.</w:t>
      </w:r>
      <w:r>
        <w:tab/>
        <w:t>По мере продвижения вперед для расширения доступа к ИКТ и обеспечения инклюзивного развития для всех важное значение могут иметь следующие меры:</w:t>
      </w:r>
    </w:p>
    <w:p w:rsidR="00BE3FEC" w:rsidRDefault="00BE3FEC" w:rsidP="001328E4">
      <w:pPr>
        <w:pStyle w:val="SingleTxt"/>
        <w:tabs>
          <w:tab w:val="right" w:pos="1685"/>
        </w:tabs>
        <w:ind w:left="1742" w:hanging="475"/>
      </w:pPr>
      <w:r>
        <w:tab/>
        <w:t>•</w:t>
      </w:r>
      <w:r>
        <w:tab/>
        <w:t>правительствам и другим заинтересованным сторонам следует признать доступность в качестве важнейшего компонента всех этапов устойчивого, равноправного и инклюзивного развития и политики и программ развития на основе ИКТ;</w:t>
      </w:r>
    </w:p>
    <w:p w:rsidR="00BE3FEC" w:rsidRDefault="00BE3FEC" w:rsidP="001328E4">
      <w:pPr>
        <w:pStyle w:val="SingleTxt"/>
        <w:tabs>
          <w:tab w:val="right" w:pos="1685"/>
        </w:tabs>
        <w:ind w:left="1742" w:hanging="475"/>
      </w:pPr>
      <w:r>
        <w:tab/>
        <w:t>•</w:t>
      </w:r>
      <w:r>
        <w:tab/>
        <w:t>правительствам следует поддерживать разработку в их планах развития городских и сельских районов доступных ИКТ, включая мобильные приложения, государственные веб-сайты, публичные киоски и автоматизированные кассовые аппараты и доступные услуги ИКТ;</w:t>
      </w:r>
    </w:p>
    <w:p w:rsidR="00BE3FEC" w:rsidRDefault="00BE3FEC" w:rsidP="001328E4">
      <w:pPr>
        <w:pStyle w:val="SingleTxt"/>
        <w:tabs>
          <w:tab w:val="right" w:pos="1685"/>
        </w:tabs>
        <w:ind w:left="1742" w:hanging="475"/>
      </w:pPr>
      <w:r>
        <w:tab/>
        <w:t>•</w:t>
      </w:r>
      <w:r>
        <w:tab/>
        <w:t>правительствам следует содействовать проведению исследований и широкому внедрению доступных ИКТ путем включения требований к обеспечению доступности в процедуры государственных закупок продуктов и услуг ИКТ, используемых государственными организациями или их клиентами или сотрудниками;</w:t>
      </w:r>
    </w:p>
    <w:p w:rsidR="00BE3FEC" w:rsidRDefault="00BE3FEC" w:rsidP="001328E4">
      <w:pPr>
        <w:pStyle w:val="SingleTxt"/>
        <w:tabs>
          <w:tab w:val="right" w:pos="1685"/>
        </w:tabs>
        <w:ind w:left="1742" w:hanging="475"/>
      </w:pPr>
      <w:r>
        <w:tab/>
        <w:t>•</w:t>
      </w:r>
      <w:r>
        <w:tab/>
        <w:t>многие национальные службы телекоммуникаций поставили перед собой цели, касающиеся универсального обслуживания, в соответствии с которыми доступность и доступ к сетям признается в качестве права; в срочном порядке необходимо рассмотреть вопрос об обеспечении доступа в качестве еще одной цели, касающейся универсального обслуживания</w:t>
      </w:r>
      <w:r>
        <w:rPr>
          <w:rStyle w:val="FootnoteReference"/>
        </w:rPr>
        <w:footnoteReference w:id="11"/>
      </w:r>
      <w:r>
        <w:t>.</w:t>
      </w:r>
    </w:p>
    <w:p w:rsidR="00BE3FEC" w:rsidRPr="009612A4" w:rsidRDefault="00BE3FEC" w:rsidP="009612A4">
      <w:pPr>
        <w:pStyle w:val="SingleTxt"/>
        <w:spacing w:after="0" w:line="120" w:lineRule="exact"/>
        <w:rPr>
          <w:sz w:val="10"/>
        </w:rPr>
      </w:pPr>
    </w:p>
    <w:p w:rsidR="009612A4" w:rsidRPr="001328E4" w:rsidRDefault="009612A4" w:rsidP="001328E4">
      <w:pPr>
        <w:pStyle w:val="SingleTxt"/>
        <w:spacing w:after="0" w:line="120" w:lineRule="exact"/>
        <w:rPr>
          <w:sz w:val="10"/>
        </w:rPr>
      </w:pPr>
    </w:p>
    <w:p w:rsidR="00BE3FEC" w:rsidRDefault="00BE3FEC" w:rsidP="009612A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  <w:t>Вопросы для рассмотрения</w:t>
      </w:r>
    </w:p>
    <w:p w:rsidR="00BE3FEC" w:rsidRPr="009612A4" w:rsidRDefault="00BE3FEC" w:rsidP="009612A4">
      <w:pPr>
        <w:pStyle w:val="SingleTxt"/>
        <w:spacing w:after="0" w:line="120" w:lineRule="exact"/>
        <w:rPr>
          <w:sz w:val="10"/>
        </w:rPr>
      </w:pPr>
    </w:p>
    <w:p w:rsidR="009612A4" w:rsidRPr="001328E4" w:rsidRDefault="009612A4" w:rsidP="001328E4">
      <w:pPr>
        <w:pStyle w:val="SingleTxt"/>
        <w:spacing w:after="0" w:line="120" w:lineRule="exact"/>
        <w:rPr>
          <w:sz w:val="10"/>
        </w:rPr>
      </w:pPr>
    </w:p>
    <w:p w:rsidR="00BE3FEC" w:rsidRDefault="00BE3FEC" w:rsidP="001328E4">
      <w:pPr>
        <w:pStyle w:val="SingleTxt"/>
      </w:pPr>
      <w:r>
        <w:t>1.</w:t>
      </w:r>
      <w:r>
        <w:tab/>
        <w:t>В эру информационного общества в результате научно-технического прогресса возникают как проблемы, так и возможности включения инвалидов в жизнь общества и процесс развития. Какие меры приняты государствами-членами для обеспечения доступа к информационно-коммуникационным технологиям для всех, включая инвалидов?</w:t>
      </w:r>
    </w:p>
    <w:p w:rsidR="00BE3FEC" w:rsidRDefault="00BE3FEC" w:rsidP="001328E4">
      <w:pPr>
        <w:pStyle w:val="SingleTxt"/>
      </w:pPr>
      <w:r>
        <w:t>2.</w:t>
      </w:r>
      <w:r>
        <w:tab/>
        <w:t>В какой степени подход и концепция универсального дизайна включены в существующие национальные политику и программы в области развития?</w:t>
      </w:r>
    </w:p>
    <w:p w:rsidR="00BE3FEC" w:rsidRDefault="00BE3FEC" w:rsidP="001328E4">
      <w:pPr>
        <w:pStyle w:val="SingleTxt"/>
      </w:pPr>
      <w:r>
        <w:t>3.</w:t>
      </w:r>
      <w:r>
        <w:tab/>
        <w:t>Что необходимо для обеспечения учета вопросов доступа к ИКТ и другим соответствующим технологиям в политике в области развития?</w:t>
      </w:r>
    </w:p>
    <w:p w:rsidR="00BE3FEC" w:rsidRDefault="00BE3FEC" w:rsidP="001328E4">
      <w:pPr>
        <w:pStyle w:val="SingleTxt"/>
      </w:pPr>
      <w:r>
        <w:lastRenderedPageBreak/>
        <w:t>4.</w:t>
      </w:r>
      <w:r>
        <w:tab/>
        <w:t>Какова передовая практика такого включения в интересах всех людей?</w:t>
      </w:r>
    </w:p>
    <w:p w:rsidR="002F45FF" w:rsidRDefault="009612A4" w:rsidP="002F45FF">
      <w:pPr>
        <w:pStyle w:val="SingleTxt"/>
      </w:pPr>
      <w:r>
        <w:br w:type="page"/>
      </w:r>
      <w:r w:rsidR="00BE3FEC">
        <w:lastRenderedPageBreak/>
        <w:t>5.</w:t>
      </w:r>
      <w:r w:rsidR="00BE3FEC">
        <w:tab/>
        <w:t>Новаторские подходы, в том числе на основе партнерских отношений государственного и частного секторов, могут играть важную роль в деле содействия обеспечению доступа в обществе и в процессе развития. Что могут сделать партнерства частного и государственного секторов для содействия обеспечению доступных ИКТ и других технологий в качестве составной части осуществления Повестки дня в области устойчивого развития на период до 2030 года?</w:t>
      </w:r>
    </w:p>
    <w:p w:rsidR="009612A4" w:rsidRPr="009612A4" w:rsidRDefault="009612A4" w:rsidP="009612A4">
      <w:pPr>
        <w:pStyle w:val="SingleTxt"/>
        <w:spacing w:after="0" w:line="240" w:lineRule="auto"/>
      </w:pPr>
      <w:r>
        <w:rPr>
          <w:noProof/>
          <w:w w:val="100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9612A4" w:rsidRPr="009612A4" w:rsidSect="009D3CD3">
      <w:type w:val="continuous"/>
      <w:pgSz w:w="12240" w:h="15840"/>
      <w:pgMar w:top="1742" w:right="1200" w:bottom="1898" w:left="1200" w:header="576" w:footer="10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5A" w:rsidRDefault="0011365A" w:rsidP="008A1A7A">
      <w:pPr>
        <w:spacing w:line="240" w:lineRule="auto"/>
      </w:pPr>
      <w:r>
        <w:separator/>
      </w:r>
    </w:p>
  </w:endnote>
  <w:endnote w:type="continuationSeparator" w:id="0">
    <w:p w:rsidR="0011365A" w:rsidRDefault="0011365A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2F45FF" w:rsidTr="002F45FF">
      <w:tc>
        <w:tcPr>
          <w:tcW w:w="5028" w:type="dxa"/>
          <w:shd w:val="clear" w:color="auto" w:fill="auto"/>
          <w:vAlign w:val="bottom"/>
        </w:tcPr>
        <w:p w:rsidR="002F45FF" w:rsidRPr="002F45FF" w:rsidRDefault="002F45FF" w:rsidP="002F45FF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B4922">
            <w:rPr>
              <w:noProof/>
            </w:rPr>
            <w:t>8</w:t>
          </w:r>
          <w:r>
            <w:fldChar w:fldCharType="end"/>
          </w:r>
          <w:r>
            <w:t>/</w:t>
          </w:r>
          <w:fldSimple w:instr=" NUMPAGES  \* Arabic  \* MERGEFORMAT ">
            <w:r w:rsidR="00CB4922">
              <w:rPr>
                <w:noProof/>
              </w:rPr>
              <w:t>8</w:t>
            </w:r>
          </w:fldSimple>
        </w:p>
      </w:tc>
      <w:tc>
        <w:tcPr>
          <w:tcW w:w="5028" w:type="dxa"/>
          <w:shd w:val="clear" w:color="auto" w:fill="auto"/>
          <w:vAlign w:val="bottom"/>
        </w:tcPr>
        <w:p w:rsidR="002F45FF" w:rsidRPr="002F45FF" w:rsidRDefault="002F45FF" w:rsidP="002F45FF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174D17">
            <w:rPr>
              <w:b w:val="0"/>
              <w:color w:val="000000"/>
              <w:sz w:val="14"/>
            </w:rPr>
            <w:t>16-03540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2F45FF" w:rsidRPr="002F45FF" w:rsidRDefault="002F45FF" w:rsidP="002F45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2F45FF" w:rsidTr="002F45FF">
      <w:tc>
        <w:tcPr>
          <w:tcW w:w="5028" w:type="dxa"/>
          <w:shd w:val="clear" w:color="auto" w:fill="auto"/>
          <w:vAlign w:val="bottom"/>
        </w:tcPr>
        <w:p w:rsidR="002F45FF" w:rsidRPr="002F45FF" w:rsidRDefault="002F45FF" w:rsidP="002F45FF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174D17">
            <w:rPr>
              <w:b w:val="0"/>
              <w:color w:val="000000"/>
              <w:sz w:val="14"/>
            </w:rPr>
            <w:t>16-03540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028" w:type="dxa"/>
          <w:shd w:val="clear" w:color="auto" w:fill="auto"/>
          <w:vAlign w:val="bottom"/>
        </w:tcPr>
        <w:p w:rsidR="002F45FF" w:rsidRPr="002F45FF" w:rsidRDefault="002F45FF" w:rsidP="002F45FF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B4922">
            <w:rPr>
              <w:noProof/>
            </w:rPr>
            <w:t>9</w:t>
          </w:r>
          <w:r>
            <w:fldChar w:fldCharType="end"/>
          </w:r>
          <w:r>
            <w:t>/</w:t>
          </w:r>
          <w:fldSimple w:instr=" NUMPAGES  \* Arabic  \* MERGEFORMAT ">
            <w:r w:rsidR="00CB4922">
              <w:rPr>
                <w:noProof/>
              </w:rPr>
              <w:t>9</w:t>
            </w:r>
          </w:fldSimple>
        </w:p>
      </w:tc>
    </w:tr>
  </w:tbl>
  <w:p w:rsidR="002F45FF" w:rsidRPr="002F45FF" w:rsidRDefault="002F45FF" w:rsidP="002F45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30"/>
      <w:gridCol w:w="5028"/>
    </w:tblGrid>
    <w:tr w:rsidR="002F45FF" w:rsidTr="002F45FF">
      <w:tc>
        <w:tcPr>
          <w:tcW w:w="3830" w:type="dxa"/>
        </w:tcPr>
        <w:p w:rsidR="002F45FF" w:rsidRDefault="002F45FF" w:rsidP="002F45FF">
          <w:pPr>
            <w:pStyle w:val="ReleaseDate"/>
            <w:rPr>
              <w:color w:val="010000"/>
            </w:rPr>
          </w:pPr>
          <w:r>
            <w:rPr>
              <w:noProof/>
              <w:lang w:val="en-GB" w:eastAsia="zh-CN"/>
            </w:rPr>
            <w:drawing>
              <wp:anchor distT="0" distB="0" distL="114300" distR="114300" simplePos="0" relativeHeight="251658240" behindDoc="0" locked="0" layoutInCell="1" allowOverlap="1" wp14:anchorId="31800AE2" wp14:editId="182E4D0E">
                <wp:simplePos x="0" y="0"/>
                <wp:positionH relativeFrom="column">
                  <wp:posOffset>5541010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CRPD/CSP/016/4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CRPD/CSP/016/4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16-03540 (R)</w:t>
          </w:r>
          <w:r>
            <w:rPr>
              <w:color w:val="010000"/>
            </w:rPr>
            <w:t xml:space="preserve">    </w:t>
          </w:r>
          <w:r w:rsidR="00567340">
            <w:rPr>
              <w:color w:val="010000"/>
            </w:rPr>
            <w:t>04</w:t>
          </w:r>
          <w:r>
            <w:rPr>
              <w:color w:val="010000"/>
            </w:rPr>
            <w:t>0416    1</w:t>
          </w:r>
          <w:r w:rsidR="00567340">
            <w:rPr>
              <w:color w:val="010000"/>
            </w:rPr>
            <w:t>8</w:t>
          </w:r>
          <w:r>
            <w:rPr>
              <w:color w:val="010000"/>
            </w:rPr>
            <w:t>0416</w:t>
          </w:r>
        </w:p>
        <w:p w:rsidR="002F45FF" w:rsidRPr="002F45FF" w:rsidRDefault="002F45FF" w:rsidP="002F45FF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*1603540*</w:t>
          </w:r>
        </w:p>
      </w:tc>
      <w:tc>
        <w:tcPr>
          <w:tcW w:w="5028" w:type="dxa"/>
        </w:tcPr>
        <w:p w:rsidR="002F45FF" w:rsidRDefault="002F45FF" w:rsidP="002F45FF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zh-CN"/>
            </w:rPr>
            <w:drawing>
              <wp:inline distT="0" distB="0" distL="0" distR="0" wp14:anchorId="434EDA77" wp14:editId="431FF2E7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F45FF" w:rsidRPr="002F45FF" w:rsidRDefault="002F45FF" w:rsidP="002F45FF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5A" w:rsidRPr="009D3CD3" w:rsidRDefault="0011365A" w:rsidP="009D3CD3">
      <w:pPr>
        <w:pStyle w:val="Footer"/>
        <w:spacing w:after="80"/>
        <w:ind w:left="792"/>
        <w:rPr>
          <w:sz w:val="16"/>
        </w:rPr>
      </w:pPr>
      <w:r w:rsidRPr="009D3CD3">
        <w:rPr>
          <w:sz w:val="16"/>
        </w:rPr>
        <w:t>__________________</w:t>
      </w:r>
    </w:p>
  </w:footnote>
  <w:footnote w:type="continuationSeparator" w:id="0">
    <w:p w:rsidR="0011365A" w:rsidRPr="009D3CD3" w:rsidRDefault="0011365A" w:rsidP="009D3CD3">
      <w:pPr>
        <w:pStyle w:val="Footer"/>
        <w:spacing w:after="80"/>
        <w:ind w:left="792"/>
        <w:rPr>
          <w:sz w:val="16"/>
        </w:rPr>
      </w:pPr>
      <w:r w:rsidRPr="009D3CD3">
        <w:rPr>
          <w:sz w:val="16"/>
        </w:rPr>
        <w:t>__________________</w:t>
      </w:r>
    </w:p>
  </w:footnote>
  <w:footnote w:id="1">
    <w:p w:rsidR="009D3CD3" w:rsidRPr="00532565" w:rsidRDefault="009D3CD3" w:rsidP="009D3CD3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470E99">
        <w:rPr>
          <w:rStyle w:val="FootnoteReference"/>
        </w:rPr>
        <w:tab/>
      </w:r>
      <w:r>
        <w:rPr>
          <w:rStyle w:val="FootnoteReference"/>
        </w:rPr>
        <w:t>*</w:t>
      </w:r>
      <w:r>
        <w:rPr>
          <w:rStyle w:val="FootnoteReference"/>
        </w:rPr>
        <w:tab/>
      </w:r>
      <w:hyperlink r:id="rId1" w:history="1">
        <w:proofErr w:type="gramStart"/>
        <w:r w:rsidRPr="004A131C">
          <w:rPr>
            <w:rStyle w:val="Hyperlink"/>
            <w:lang w:val="en-US"/>
          </w:rPr>
          <w:t>CRPD</w:t>
        </w:r>
        <w:r w:rsidRPr="004A131C">
          <w:rPr>
            <w:rStyle w:val="Hyperlink"/>
          </w:rPr>
          <w:t>/</w:t>
        </w:r>
        <w:r w:rsidRPr="004A131C">
          <w:rPr>
            <w:rStyle w:val="Hyperlink"/>
            <w:lang w:val="en-US"/>
          </w:rPr>
          <w:t>CSP</w:t>
        </w:r>
        <w:r w:rsidRPr="004A131C">
          <w:rPr>
            <w:rStyle w:val="Hyperlink"/>
          </w:rPr>
          <w:t>/2016/</w:t>
        </w:r>
        <w:r w:rsidRPr="00567340">
          <w:rPr>
            <w:rStyle w:val="Hyperlink"/>
          </w:rPr>
          <w:t>1</w:t>
        </w:r>
      </w:hyperlink>
      <w:r>
        <w:t>.</w:t>
      </w:r>
      <w:proofErr w:type="gramEnd"/>
    </w:p>
  </w:footnote>
  <w:footnote w:id="2">
    <w:p w:rsidR="009D3CD3" w:rsidRPr="00532565" w:rsidRDefault="009D3CD3" w:rsidP="00F508F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spacing w:line="200" w:lineRule="exact"/>
        <w:ind w:left="1267" w:right="1267" w:hanging="432"/>
      </w:pPr>
      <w:r>
        <w:tab/>
      </w:r>
      <w:r>
        <w:rPr>
          <w:rStyle w:val="FootnoteReference"/>
        </w:rPr>
        <w:footnoteRef/>
      </w:r>
      <w:r>
        <w:tab/>
        <w:t xml:space="preserve">«Универсальный дизайн» означает дизайн предметов, обстановок, программ и услуг, призванный сделать их в максимально возможной степени пригодными к пользованию для всех людей без необходимости адаптации или специального дизайна. Универсальный дизайн не исключает ассистивные устройства для конкретных групп инвалидов, где это необходимо </w:t>
      </w:r>
      <w:r w:rsidRPr="00532565">
        <w:t>(</w:t>
      </w:r>
      <w:r>
        <w:t xml:space="preserve">Конвенция о правах инвалидов </w:t>
      </w:r>
      <w:r w:rsidRPr="00532565">
        <w:t>(</w:t>
      </w:r>
      <w:r>
        <w:t>статья 2</w:t>
      </w:r>
      <w:r w:rsidRPr="00532565">
        <w:t>))</w:t>
      </w:r>
      <w:r>
        <w:t>.</w:t>
      </w:r>
    </w:p>
  </w:footnote>
  <w:footnote w:id="3">
    <w:p w:rsidR="009D3CD3" w:rsidRDefault="009D3CD3" w:rsidP="00F508F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spacing w:line="200" w:lineRule="exact"/>
        <w:ind w:left="1267" w:right="1267" w:hanging="432"/>
      </w:pPr>
      <w:r>
        <w:tab/>
      </w:r>
      <w:r>
        <w:rPr>
          <w:rStyle w:val="FootnoteReference"/>
        </w:rPr>
        <w:footnoteRef/>
      </w:r>
      <w:r>
        <w:tab/>
        <w:t xml:space="preserve">Всемирная организация здравоохранения и Всемирный банк, </w:t>
      </w:r>
      <w:r w:rsidR="009612A4" w:rsidRPr="009612A4">
        <w:rPr>
          <w:i/>
        </w:rPr>
        <w:t>В</w:t>
      </w:r>
      <w:r w:rsidRPr="009612A4">
        <w:rPr>
          <w:i/>
        </w:rPr>
        <w:t>семирный доклад об инвалидности, 2011 год</w:t>
      </w:r>
      <w:r>
        <w:t xml:space="preserve"> (Женева, 2011 год).</w:t>
      </w:r>
    </w:p>
  </w:footnote>
  <w:footnote w:id="4">
    <w:p w:rsidR="009D3CD3" w:rsidRPr="00532565" w:rsidRDefault="009D3CD3" w:rsidP="00F508FA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spacing w:line="200" w:lineRule="exact"/>
        <w:ind w:left="1267" w:right="1267" w:hanging="432"/>
      </w:pPr>
      <w:r>
        <w:tab/>
      </w:r>
      <w:r>
        <w:rPr>
          <w:rStyle w:val="FootnoteReference"/>
        </w:rPr>
        <w:footnoteRef/>
      </w:r>
      <w:r>
        <w:tab/>
      </w:r>
      <w:r>
        <w:t xml:space="preserve">В </w:t>
      </w:r>
      <w:r w:rsidR="00630861">
        <w:t>Т</w:t>
      </w:r>
      <w:r>
        <w:t>унисском обязательстве и Тунисской программе для информационного общества</w:t>
      </w:r>
      <w:r w:rsidR="00630861">
        <w:t xml:space="preserve"> (см. </w:t>
      </w:r>
      <w:r w:rsidR="0011365A">
        <w:fldChar w:fldCharType="begin"/>
      </w:r>
      <w:r w:rsidR="0011365A">
        <w:instrText xml:space="preserve"> HYPERLINK "http://undocs.org/ru/A/60/687" </w:instrText>
      </w:r>
      <w:r w:rsidR="0011365A">
        <w:fldChar w:fldCharType="separate"/>
      </w:r>
      <w:r w:rsidR="00630861" w:rsidRPr="004A131C">
        <w:rPr>
          <w:rStyle w:val="Hyperlink"/>
          <w:lang w:val="en-US"/>
        </w:rPr>
        <w:t>A</w:t>
      </w:r>
      <w:r w:rsidR="00630861" w:rsidRPr="004A131C">
        <w:rPr>
          <w:rStyle w:val="Hyperlink"/>
        </w:rPr>
        <w:t>/60/687</w:t>
      </w:r>
      <w:r w:rsidR="0011365A">
        <w:rPr>
          <w:rStyle w:val="Hyperlink"/>
        </w:rPr>
        <w:fldChar w:fldCharType="end"/>
      </w:r>
      <w:r w:rsidR="00630861">
        <w:t>)</w:t>
      </w:r>
      <w:r>
        <w:t>, принятых на Всемирной встрече на высшем уровне по вопросам информационного общества в 2005</w:t>
      </w:r>
      <w:r>
        <w:rPr>
          <w:lang w:val="en-US"/>
        </w:rPr>
        <w:t> </w:t>
      </w:r>
      <w:r>
        <w:t>году</w:t>
      </w:r>
      <w:r w:rsidR="00630861">
        <w:t>,</w:t>
      </w:r>
      <w:r>
        <w:t xml:space="preserve"> подтверждается «стремление и решимость построить ориентированное на интересы людей, открытое для всех и направленное на развитие информационное общество» и стремление «к оказанию содействия обеспечению универсального, повсеместного, равноправного и приемлемого в ценовом отношении доступа к ИКТ, включая универсальные концепции и ассистивные технологии, для людей во всем мире, в особенности для лиц с физическими и умственными недостатками». Признавая роль ИКТ для экономического роста и развития, в Тунисском плане действий </w:t>
      </w:r>
      <w:r w:rsidR="00630861">
        <w:t xml:space="preserve">для </w:t>
      </w:r>
      <w:r>
        <w:t xml:space="preserve">информационного общества также подтверждена приверженность «созданию потенциала в сфере информационно-коммуникационных технологий для всех и повышению доверия при использовании этих технологий всеми, включая… инвалидов… на основе улучшения и осуществления соответствующих программ и систем просвещения и подготовки, включая обучение на протяжении всей жизни и дистанционное обучение» и «уделения особого внимания разработке универсальных концепций и использованию ассистивных технологий, которые содействуют доступу всех лиц, в том числе лиц с физическими и умственными недостатками». </w:t>
      </w:r>
    </w:p>
  </w:footnote>
  <w:footnote w:id="5">
    <w:p w:rsidR="009D3CD3" w:rsidRDefault="009D3CD3" w:rsidP="009D3CD3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  <w:t>Резолюция 68/3 Генеральной Ассамблеи.</w:t>
      </w:r>
    </w:p>
  </w:footnote>
  <w:footnote w:id="6">
    <w:p w:rsidR="009D3CD3" w:rsidRPr="009352A9" w:rsidRDefault="009D3CD3" w:rsidP="009D3CD3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  <w:t xml:space="preserve">Повестка дня на период до 2030 года предусматривает равный доступ к информации и содействие обеспечению доступа всех людей, независимо от того, являются ли они инвалидами или нет, к соответствующим технологиям. </w:t>
      </w:r>
      <w:r>
        <w:t xml:space="preserve">Например, в соответствии с целью 16 </w:t>
      </w:r>
      <w:r w:rsidRPr="009352A9">
        <w:t>(</w:t>
      </w:r>
      <w:r>
        <w:t>содействие построению миролюбивого и открытого общества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</w:t>
      </w:r>
      <w:r w:rsidRPr="009352A9">
        <w:t>)</w:t>
      </w:r>
      <w:r>
        <w:t xml:space="preserve"> Повестк</w:t>
      </w:r>
      <w:r w:rsidR="00C438F3">
        <w:t>а</w:t>
      </w:r>
      <w:r>
        <w:t xml:space="preserve"> </w:t>
      </w:r>
      <w:r w:rsidR="00C438F3">
        <w:t xml:space="preserve">обязывает </w:t>
      </w:r>
      <w:r>
        <w:t>обеспечи</w:t>
      </w:r>
      <w:r w:rsidR="00C438F3">
        <w:t>ва</w:t>
      </w:r>
      <w:r>
        <w:t xml:space="preserve">ть доступ общественности к информации и </w:t>
      </w:r>
      <w:r w:rsidR="00C438F3">
        <w:t xml:space="preserve">защищать </w:t>
      </w:r>
      <w:r>
        <w:t xml:space="preserve">основные свободы в соответствии с национальным законодательством и международными соглашениями </w:t>
      </w:r>
      <w:r w:rsidRPr="009352A9">
        <w:t>(</w:t>
      </w:r>
      <w:r w:rsidR="00C438F3">
        <w:t xml:space="preserve">цель </w:t>
      </w:r>
      <w:r w:rsidRPr="009352A9">
        <w:t>16.10)</w:t>
      </w:r>
      <w:r>
        <w:t xml:space="preserve"> и в соответствии с целью 9 </w:t>
      </w:r>
      <w:r w:rsidRPr="009352A9">
        <w:t>(</w:t>
      </w:r>
      <w:r>
        <w:t>создание стойкой инфраструктуры, содействие всеохватной и устойчивой индустриализации и инновациям</w:t>
      </w:r>
      <w:r w:rsidRPr="009352A9">
        <w:t>)</w:t>
      </w:r>
      <w:r>
        <w:t xml:space="preserve"> возлагается обязательство «развивать качественную, надежную, устойчивую и стойкую инфраструктуру, включая региональную и трансграничную инфраструктуру, в целях поддержки экономического развития и благополучия людей, уделяя особое внимание обеспечению недорогого и равноправного доступа для всех </w:t>
      </w:r>
      <w:r w:rsidRPr="009352A9">
        <w:t>(</w:t>
      </w:r>
      <w:r w:rsidR="00C438F3">
        <w:t xml:space="preserve">цель </w:t>
      </w:r>
      <w:r w:rsidRPr="009352A9">
        <w:t>9.1)</w:t>
      </w:r>
      <w:r>
        <w:t>.</w:t>
      </w:r>
    </w:p>
  </w:footnote>
  <w:footnote w:id="7">
    <w:p w:rsidR="00A778C9" w:rsidRPr="00A778C9" w:rsidRDefault="00A778C9" w:rsidP="00EC3AF9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567340">
        <w:tab/>
      </w:r>
      <w:r>
        <w:rPr>
          <w:rStyle w:val="FootnoteReference"/>
        </w:rPr>
        <w:footnoteRef/>
      </w:r>
      <w:r w:rsidRPr="00A778C9">
        <w:rPr>
          <w:lang w:val="en-US"/>
        </w:rPr>
        <w:tab/>
      </w:r>
      <w:proofErr w:type="gramStart"/>
      <w:r w:rsidRPr="00A778C9">
        <w:rPr>
          <w:bCs/>
          <w:lang w:val="en-US"/>
        </w:rPr>
        <w:t>I</w:t>
      </w:r>
      <w:r w:rsidRPr="00A778C9">
        <w:rPr>
          <w:lang w:val="en-US"/>
        </w:rPr>
        <w:t>nternational </w:t>
      </w:r>
      <w:r w:rsidRPr="00A778C9">
        <w:rPr>
          <w:bCs/>
          <w:lang w:val="en-US"/>
        </w:rPr>
        <w:t>F</w:t>
      </w:r>
      <w:r w:rsidRPr="00A778C9">
        <w:rPr>
          <w:lang w:val="en-US"/>
        </w:rPr>
        <w:t>ederation of </w:t>
      </w:r>
      <w:r w:rsidRPr="00A778C9">
        <w:rPr>
          <w:bCs/>
          <w:lang w:val="en-US"/>
        </w:rPr>
        <w:t>L</w:t>
      </w:r>
      <w:r w:rsidRPr="00A778C9">
        <w:rPr>
          <w:lang w:val="en-US"/>
        </w:rPr>
        <w:t>ibrary </w:t>
      </w:r>
      <w:r w:rsidRPr="00A778C9">
        <w:rPr>
          <w:bCs/>
          <w:lang w:val="en-US"/>
        </w:rPr>
        <w:t>A</w:t>
      </w:r>
      <w:r w:rsidRPr="00A778C9">
        <w:rPr>
          <w:lang w:val="en-US"/>
        </w:rPr>
        <w:t>ssociations and Institutions, “IFLA welcomes WIPO treaty for blind and print disabled people”, 27 June 2013.</w:t>
      </w:r>
      <w:proofErr w:type="gramEnd"/>
      <w:r w:rsidRPr="00A778C9">
        <w:rPr>
          <w:lang w:val="en-US"/>
        </w:rPr>
        <w:t xml:space="preserve"> </w:t>
      </w:r>
      <w:proofErr w:type="gramStart"/>
      <w:r w:rsidRPr="00A778C9">
        <w:rPr>
          <w:lang w:val="en-US"/>
        </w:rPr>
        <w:t>Available from www.ifla.org/node/7811.</w:t>
      </w:r>
      <w:proofErr w:type="gramEnd"/>
    </w:p>
  </w:footnote>
  <w:footnote w:id="8">
    <w:p w:rsidR="00A778C9" w:rsidRPr="00A778C9" w:rsidRDefault="00A778C9" w:rsidP="00A778C9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lang w:val="en-US"/>
        </w:rPr>
      </w:pPr>
      <w:r w:rsidRPr="00A778C9">
        <w:rPr>
          <w:lang w:val="en-US"/>
        </w:rPr>
        <w:tab/>
      </w:r>
      <w:r>
        <w:rPr>
          <w:rStyle w:val="FootnoteReference"/>
        </w:rPr>
        <w:footnoteRef/>
      </w:r>
      <w:r w:rsidRPr="00A778C9">
        <w:rPr>
          <w:lang w:val="en-US"/>
        </w:rPr>
        <w:tab/>
        <w:t>Marrakesh Treaty to Facilitate Access to Published Works for Persons Who Are Blind, Visually Impaired, or Otherwise Print Disabled.</w:t>
      </w:r>
    </w:p>
  </w:footnote>
  <w:footnote w:id="9">
    <w:p w:rsidR="00A778C9" w:rsidRPr="00BF7477" w:rsidRDefault="00A778C9" w:rsidP="00EC3AF9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b/>
          <w:lang w:val="en-US"/>
        </w:rPr>
      </w:pPr>
      <w:r w:rsidRPr="00A778C9">
        <w:rPr>
          <w:lang w:val="en-US"/>
        </w:rPr>
        <w:tab/>
      </w:r>
      <w:r>
        <w:rPr>
          <w:rStyle w:val="FootnoteReference"/>
        </w:rPr>
        <w:footnoteRef/>
      </w:r>
      <w:r w:rsidRPr="00BF7477">
        <w:rPr>
          <w:lang w:val="en-US"/>
        </w:rPr>
        <w:tab/>
      </w:r>
      <w:r w:rsidR="00BF7477" w:rsidRPr="00BF7477">
        <w:rPr>
          <w:i/>
          <w:iCs/>
          <w:lang w:val="en-US"/>
        </w:rPr>
        <w:t>United Nations E-Government Survey 2014: E-Government for the Future We Want</w:t>
      </w:r>
      <w:r w:rsidR="00BF7477" w:rsidRPr="00BF7477">
        <w:rPr>
          <w:lang w:val="en-US"/>
        </w:rPr>
        <w:t xml:space="preserve"> (United Nations publication, Sales No. 14.II.H.1), chap. 6.</w:t>
      </w:r>
    </w:p>
  </w:footnote>
  <w:footnote w:id="10">
    <w:p w:rsidR="007A38C0" w:rsidRPr="00BF7477" w:rsidRDefault="007A38C0" w:rsidP="00B23024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  <w:rPr>
          <w:b/>
        </w:rPr>
      </w:pPr>
      <w:r w:rsidRPr="00BF7477">
        <w:rPr>
          <w:lang w:val="en-US"/>
        </w:rPr>
        <w:tab/>
      </w:r>
      <w:r>
        <w:rPr>
          <w:rStyle w:val="FootnoteReference"/>
        </w:rPr>
        <w:footnoteRef/>
      </w:r>
      <w:r w:rsidRPr="00CC75F1">
        <w:rPr>
          <w:lang w:val="en-US"/>
        </w:rPr>
        <w:tab/>
      </w:r>
      <w:r w:rsidR="00CC75F1">
        <w:t>См</w:t>
      </w:r>
      <w:r w:rsidR="00CC75F1" w:rsidRPr="00CC75F1">
        <w:rPr>
          <w:lang w:val="en-US"/>
        </w:rPr>
        <w:t>.</w:t>
      </w:r>
      <w:r w:rsidRPr="00CC75F1">
        <w:rPr>
          <w:lang w:val="en-US"/>
        </w:rPr>
        <w:t xml:space="preserve"> </w:t>
      </w:r>
      <w:r w:rsidRPr="00BF7477">
        <w:rPr>
          <w:lang w:val="en-US"/>
        </w:rPr>
        <w:t>E</w:t>
      </w:r>
      <w:r w:rsidRPr="00CC75F1">
        <w:rPr>
          <w:lang w:val="en-US"/>
        </w:rPr>
        <w:t>/</w:t>
      </w:r>
      <w:r w:rsidRPr="00BF7477">
        <w:rPr>
          <w:lang w:val="en-US"/>
        </w:rPr>
        <w:t>ESCAP</w:t>
      </w:r>
      <w:r w:rsidRPr="00CC75F1">
        <w:rPr>
          <w:lang w:val="en-US"/>
        </w:rPr>
        <w:t>/</w:t>
      </w:r>
      <w:r w:rsidRPr="00BF7477">
        <w:rPr>
          <w:lang w:val="en-US"/>
        </w:rPr>
        <w:t>CDR</w:t>
      </w:r>
      <w:r w:rsidRPr="00CC75F1">
        <w:rPr>
          <w:lang w:val="en-US"/>
        </w:rPr>
        <w:t>(4)/</w:t>
      </w:r>
      <w:r w:rsidRPr="00BF7477">
        <w:rPr>
          <w:lang w:val="en-US"/>
        </w:rPr>
        <w:t>INF</w:t>
      </w:r>
      <w:r w:rsidRPr="00CC75F1">
        <w:rPr>
          <w:lang w:val="en-US"/>
        </w:rPr>
        <w:t xml:space="preserve">/4, </w:t>
      </w:r>
      <w:r w:rsidRPr="00BF7477">
        <w:rPr>
          <w:lang w:val="en-US"/>
        </w:rPr>
        <w:t>para</w:t>
      </w:r>
      <w:r w:rsidRPr="00CC75F1">
        <w:rPr>
          <w:lang w:val="en-US"/>
        </w:rPr>
        <w:t xml:space="preserve">. </w:t>
      </w:r>
      <w:r w:rsidRPr="00CC75F1">
        <w:t>5.</w:t>
      </w:r>
    </w:p>
  </w:footnote>
  <w:footnote w:id="11">
    <w:p w:rsidR="00BE3FEC" w:rsidRPr="001328E4" w:rsidRDefault="00BE3FEC" w:rsidP="001328E4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  <w:t xml:space="preserve">Рекомендации группы экспертов, представленные на форуме Департамента по экономическим и социальным вопросам по вопросам инвалидности и развития, состоявшемся в Найроби 28–30 октября 2015 года, по теме «Учет вопросов инвалидности и развитие городских районов на основе обеспечения доступа». В отношении более подробной информации см. </w:t>
      </w:r>
      <w:r w:rsidRPr="001328E4">
        <w:rPr>
          <w:lang w:val="en-US"/>
        </w:rPr>
        <w:t>www</w:t>
      </w:r>
      <w:r w:rsidRPr="001328E4">
        <w:t>.</w:t>
      </w:r>
      <w:r w:rsidRPr="001328E4">
        <w:rPr>
          <w:lang w:val="en-US"/>
        </w:rPr>
        <w:t>un</w:t>
      </w:r>
      <w:r w:rsidRPr="001328E4">
        <w:t>.</w:t>
      </w:r>
      <w:r w:rsidRPr="001328E4">
        <w:rPr>
          <w:lang w:val="en-US"/>
        </w:rPr>
        <w:t>org</w:t>
      </w:r>
      <w:r w:rsidRPr="001328E4">
        <w:t>/</w:t>
      </w:r>
      <w:r w:rsidRPr="001328E4">
        <w:rPr>
          <w:lang w:val="en-US"/>
        </w:rPr>
        <w:t>development</w:t>
      </w:r>
      <w:r w:rsidRPr="001328E4">
        <w:t>/</w:t>
      </w:r>
      <w:r w:rsidRPr="001328E4">
        <w:rPr>
          <w:lang w:val="en-US"/>
        </w:rPr>
        <w:t>desa</w:t>
      </w:r>
      <w:r w:rsidRPr="001328E4">
        <w:t>/</w:t>
      </w:r>
      <w:r w:rsidRPr="001328E4">
        <w:rPr>
          <w:lang w:val="en-US"/>
        </w:rPr>
        <w:t>disabilities</w:t>
      </w:r>
      <w:r w:rsidRPr="001328E4">
        <w:t>/</w:t>
      </w:r>
      <w:r w:rsidRPr="001328E4">
        <w:rPr>
          <w:lang w:val="en-US"/>
        </w:rPr>
        <w:t>about</w:t>
      </w:r>
      <w:r w:rsidRPr="001328E4">
        <w:t>-</w:t>
      </w:r>
      <w:r w:rsidRPr="001328E4">
        <w:rPr>
          <w:lang w:val="en-US"/>
        </w:rPr>
        <w:t>us</w:t>
      </w:r>
      <w:r w:rsidRPr="001328E4">
        <w:t>/</w:t>
      </w:r>
      <w:r w:rsidRPr="001328E4">
        <w:rPr>
          <w:lang w:val="en-US"/>
        </w:rPr>
        <w:t>undesadspd</w:t>
      </w:r>
      <w:r w:rsidRPr="001328E4">
        <w:t>-</w:t>
      </w:r>
      <w:r w:rsidRPr="001328E4">
        <w:rPr>
          <w:lang w:val="en-US"/>
        </w:rPr>
        <w:t>forum</w:t>
      </w:r>
      <w:r w:rsidRPr="001328E4">
        <w:t>-</w:t>
      </w:r>
      <w:r w:rsidRPr="001328E4">
        <w:rPr>
          <w:lang w:val="en-US"/>
        </w:rPr>
        <w:t>on</w:t>
      </w:r>
      <w:r w:rsidRPr="001328E4">
        <w:t>-</w:t>
      </w:r>
      <w:r w:rsidRPr="001328E4">
        <w:rPr>
          <w:lang w:val="en-US"/>
        </w:rPr>
        <w:t>disability</w:t>
      </w:r>
      <w:r w:rsidRPr="001328E4">
        <w:t>-</w:t>
      </w:r>
      <w:r w:rsidRPr="001328E4">
        <w:rPr>
          <w:lang w:val="en-US"/>
        </w:rPr>
        <w:t>and</w:t>
      </w:r>
      <w:r w:rsidRPr="001328E4">
        <w:t>-</w:t>
      </w:r>
      <w:r w:rsidRPr="001328E4">
        <w:rPr>
          <w:lang w:val="en-US"/>
        </w:rPr>
        <w:t>development</w:t>
      </w:r>
      <w:r w:rsidRPr="001328E4">
        <w:t>-28-30-</w:t>
      </w:r>
      <w:r w:rsidRPr="001328E4">
        <w:rPr>
          <w:lang w:val="en-US"/>
        </w:rPr>
        <w:t>october</w:t>
      </w:r>
      <w:r w:rsidRPr="001328E4">
        <w:t>-2015.</w:t>
      </w:r>
      <w:r w:rsidRPr="001328E4">
        <w:rPr>
          <w:lang w:val="en-US"/>
        </w:rPr>
        <w:t>html</w:t>
      </w:r>
      <w:r w:rsidRPr="001328E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2F45FF" w:rsidTr="002F45FF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2F45FF" w:rsidRPr="00567340" w:rsidRDefault="00567340" w:rsidP="002F45FF">
          <w:pPr>
            <w:pStyle w:val="Header"/>
            <w:spacing w:after="80"/>
            <w:rPr>
              <w:b/>
              <w:lang w:val="en-US"/>
            </w:rPr>
          </w:pPr>
          <w:r>
            <w:rPr>
              <w:b/>
              <w:lang w:val="en-US"/>
            </w:rPr>
            <w:t>CRPD/CSP/2016/4</w:t>
          </w:r>
        </w:p>
      </w:tc>
      <w:tc>
        <w:tcPr>
          <w:tcW w:w="5028" w:type="dxa"/>
          <w:shd w:val="clear" w:color="auto" w:fill="auto"/>
          <w:vAlign w:val="bottom"/>
        </w:tcPr>
        <w:p w:rsidR="002F45FF" w:rsidRDefault="002F45FF" w:rsidP="002F45FF">
          <w:pPr>
            <w:pStyle w:val="Header"/>
          </w:pPr>
        </w:p>
      </w:tc>
    </w:tr>
  </w:tbl>
  <w:p w:rsidR="002F45FF" w:rsidRPr="002F45FF" w:rsidRDefault="002F45FF" w:rsidP="002F45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2F45FF" w:rsidTr="002F45FF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2F45FF" w:rsidRDefault="002F45FF" w:rsidP="002F45FF">
          <w:pPr>
            <w:pStyle w:val="Header"/>
          </w:pPr>
        </w:p>
      </w:tc>
      <w:tc>
        <w:tcPr>
          <w:tcW w:w="5028" w:type="dxa"/>
          <w:shd w:val="clear" w:color="auto" w:fill="auto"/>
          <w:vAlign w:val="bottom"/>
        </w:tcPr>
        <w:p w:rsidR="002F45FF" w:rsidRPr="002F45FF" w:rsidRDefault="00567340" w:rsidP="002F45FF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  <w:lang w:val="en-US"/>
            </w:rPr>
            <w:t>CRPD/CSP/2016/4</w:t>
          </w:r>
        </w:p>
      </w:tc>
    </w:tr>
  </w:tbl>
  <w:p w:rsidR="002F45FF" w:rsidRPr="002F45FF" w:rsidRDefault="002F45FF" w:rsidP="002F45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140"/>
      <w:gridCol w:w="40"/>
    </w:tblGrid>
    <w:tr w:rsidR="002F45FF" w:rsidTr="002F45FF">
      <w:trPr>
        <w:gridAfter w:val="1"/>
        <w:wAfter w:w="40" w:type="dxa"/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2F45FF" w:rsidRPr="002F45FF" w:rsidRDefault="002F45FF" w:rsidP="002F45FF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F45FF" w:rsidRDefault="002F45FF" w:rsidP="002F45FF">
          <w:pPr>
            <w:pStyle w:val="Header"/>
            <w:spacing w:after="120"/>
          </w:pPr>
        </w:p>
      </w:tc>
      <w:tc>
        <w:tcPr>
          <w:tcW w:w="5213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2F45FF" w:rsidRPr="002F45FF" w:rsidRDefault="002F45FF" w:rsidP="002F45FF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CRPD</w:t>
          </w:r>
          <w:r>
            <w:rPr>
              <w:sz w:val="20"/>
            </w:rPr>
            <w:t>/CSP/</w:t>
          </w:r>
          <w:r w:rsidR="00567340">
            <w:rPr>
              <w:sz w:val="20"/>
            </w:rPr>
            <w:t>2</w:t>
          </w:r>
          <w:r>
            <w:rPr>
              <w:sz w:val="20"/>
            </w:rPr>
            <w:t>016/4</w:t>
          </w:r>
        </w:p>
      </w:tc>
    </w:tr>
    <w:tr w:rsidR="002F45FF" w:rsidRPr="00567340" w:rsidTr="002F45FF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2F45FF" w:rsidRPr="002F45FF" w:rsidRDefault="002F45FF" w:rsidP="002F45FF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zh-CN"/>
            </w:rPr>
            <w:drawing>
              <wp:inline distT="0" distB="0" distL="0" distR="0" wp14:anchorId="27D00218" wp14:editId="71ED23B7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2F45FF" w:rsidRDefault="002F45FF" w:rsidP="002F45FF">
          <w:pPr>
            <w:pStyle w:val="XLarge"/>
            <w:spacing w:before="109"/>
          </w:pPr>
          <w:r>
            <w:t>Конвенция о правах инвалидов</w:t>
          </w:r>
        </w:p>
        <w:p w:rsidR="002F45FF" w:rsidRPr="002F45FF" w:rsidRDefault="002F45FF" w:rsidP="002F45FF">
          <w:pPr>
            <w:pStyle w:val="XLarge"/>
            <w:spacing w:before="109"/>
          </w:pP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2F45FF" w:rsidRPr="002F45FF" w:rsidRDefault="002F45FF" w:rsidP="002F45FF">
          <w:pPr>
            <w:pStyle w:val="Header"/>
            <w:spacing w:before="109"/>
          </w:pPr>
        </w:p>
      </w:tc>
      <w:tc>
        <w:tcPr>
          <w:tcW w:w="3180" w:type="dxa"/>
          <w:gridSpan w:val="2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2F45FF" w:rsidRPr="009D3CD3" w:rsidRDefault="002F45FF" w:rsidP="002F45FF">
          <w:pPr>
            <w:pStyle w:val="Distribution"/>
            <w:rPr>
              <w:color w:val="000000"/>
              <w:lang w:val="en-US"/>
            </w:rPr>
          </w:pPr>
          <w:r w:rsidRPr="009D3CD3">
            <w:rPr>
              <w:color w:val="000000"/>
              <w:lang w:val="en-US"/>
            </w:rPr>
            <w:t>Distr.: General</w:t>
          </w:r>
        </w:p>
        <w:p w:rsidR="002F45FF" w:rsidRPr="009D3CD3" w:rsidRDefault="002F45FF" w:rsidP="002F45FF">
          <w:pPr>
            <w:pStyle w:val="Publication"/>
            <w:spacing w:before="120"/>
            <w:rPr>
              <w:color w:val="000000"/>
              <w:lang w:val="en-US"/>
            </w:rPr>
          </w:pPr>
          <w:r w:rsidRPr="009D3CD3">
            <w:rPr>
              <w:color w:val="000000"/>
              <w:lang w:val="en-US"/>
            </w:rPr>
            <w:t>29 March 2016</w:t>
          </w:r>
        </w:p>
        <w:p w:rsidR="002F45FF" w:rsidRPr="009D3CD3" w:rsidRDefault="002F45FF" w:rsidP="002F45FF">
          <w:pPr>
            <w:rPr>
              <w:color w:val="000000"/>
              <w:lang w:val="en-US"/>
            </w:rPr>
          </w:pPr>
          <w:r w:rsidRPr="009D3CD3">
            <w:rPr>
              <w:color w:val="000000"/>
              <w:lang w:val="en-US"/>
            </w:rPr>
            <w:t>Russian</w:t>
          </w:r>
        </w:p>
        <w:p w:rsidR="002F45FF" w:rsidRPr="009D3CD3" w:rsidRDefault="002F45FF" w:rsidP="002F45FF">
          <w:pPr>
            <w:pStyle w:val="Original"/>
            <w:rPr>
              <w:color w:val="000000"/>
              <w:lang w:val="en-US"/>
            </w:rPr>
          </w:pPr>
          <w:r w:rsidRPr="009D3CD3">
            <w:rPr>
              <w:color w:val="000000"/>
              <w:lang w:val="en-US"/>
            </w:rPr>
            <w:t>Original: English</w:t>
          </w:r>
        </w:p>
        <w:p w:rsidR="002F45FF" w:rsidRPr="009D3CD3" w:rsidRDefault="002F45FF" w:rsidP="002F45FF">
          <w:pPr>
            <w:rPr>
              <w:lang w:val="en-US"/>
            </w:rPr>
          </w:pPr>
        </w:p>
      </w:tc>
    </w:tr>
  </w:tbl>
  <w:p w:rsidR="002F45FF" w:rsidRPr="009D3CD3" w:rsidRDefault="002F45FF" w:rsidP="002F45FF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603540*"/>
    <w:docVar w:name="CreationDt" w:val="15/04/2016 3:08: PM"/>
    <w:docVar w:name="DocCategory" w:val="Doc"/>
    <w:docVar w:name="DocType" w:val="Final"/>
    <w:docVar w:name="DutyStation" w:val="New York"/>
    <w:docVar w:name="FooterJN" w:val="16-03540"/>
    <w:docVar w:name="jobn" w:val="16-03540 (R)"/>
    <w:docVar w:name="jobnDT" w:val="16-03540 (R)   150416"/>
    <w:docVar w:name="jobnDTDT" w:val="16-03540 (R)   150416   150416"/>
    <w:docVar w:name="JobNo" w:val="1603540R"/>
    <w:docVar w:name="JobNo2" w:val="1608831R"/>
    <w:docVar w:name="LocalDrive" w:val="0"/>
    <w:docVar w:name="OandT" w:val=" "/>
    <w:docVar w:name="PaperSize" w:val="Letter"/>
    <w:docVar w:name="sss1" w:val="CRPD/CSP/016/4"/>
    <w:docVar w:name="sss2" w:val="-"/>
    <w:docVar w:name="Symbol1" w:val="CRPD/CSP/016/4"/>
    <w:docVar w:name="Symbol2" w:val="-"/>
  </w:docVars>
  <w:rsids>
    <w:rsidRoot w:val="00501A37"/>
    <w:rsid w:val="00004615"/>
    <w:rsid w:val="00004756"/>
    <w:rsid w:val="00010735"/>
    <w:rsid w:val="00010CB8"/>
    <w:rsid w:val="00013E03"/>
    <w:rsid w:val="00015201"/>
    <w:rsid w:val="0001588C"/>
    <w:rsid w:val="000162FB"/>
    <w:rsid w:val="00024A67"/>
    <w:rsid w:val="00025CF3"/>
    <w:rsid w:val="0002669B"/>
    <w:rsid w:val="00033C1F"/>
    <w:rsid w:val="0004020D"/>
    <w:rsid w:val="00041A49"/>
    <w:rsid w:val="000513EF"/>
    <w:rsid w:val="0005420D"/>
    <w:rsid w:val="00055EA2"/>
    <w:rsid w:val="00067A5A"/>
    <w:rsid w:val="00067A90"/>
    <w:rsid w:val="00070C37"/>
    <w:rsid w:val="000738BD"/>
    <w:rsid w:val="00076F88"/>
    <w:rsid w:val="0007796A"/>
    <w:rsid w:val="0008067C"/>
    <w:rsid w:val="00091DC8"/>
    <w:rsid w:val="00092464"/>
    <w:rsid w:val="000A111E"/>
    <w:rsid w:val="000A1DF3"/>
    <w:rsid w:val="000A4A11"/>
    <w:rsid w:val="000A58E3"/>
    <w:rsid w:val="000B02B7"/>
    <w:rsid w:val="000C069D"/>
    <w:rsid w:val="000C67BC"/>
    <w:rsid w:val="000D300C"/>
    <w:rsid w:val="000D64CF"/>
    <w:rsid w:val="000E0F08"/>
    <w:rsid w:val="000E30BA"/>
    <w:rsid w:val="000E35C6"/>
    <w:rsid w:val="000E3712"/>
    <w:rsid w:val="000E4411"/>
    <w:rsid w:val="000F1ACD"/>
    <w:rsid w:val="000F5D07"/>
    <w:rsid w:val="000F5EFB"/>
    <w:rsid w:val="00105B0E"/>
    <w:rsid w:val="0011365A"/>
    <w:rsid w:val="00113678"/>
    <w:rsid w:val="00116984"/>
    <w:rsid w:val="001235FD"/>
    <w:rsid w:val="0014308F"/>
    <w:rsid w:val="001444A3"/>
    <w:rsid w:val="00145BAE"/>
    <w:rsid w:val="00153645"/>
    <w:rsid w:val="00153E04"/>
    <w:rsid w:val="00153E8C"/>
    <w:rsid w:val="001565FD"/>
    <w:rsid w:val="00160648"/>
    <w:rsid w:val="00161F29"/>
    <w:rsid w:val="00162200"/>
    <w:rsid w:val="00162E88"/>
    <w:rsid w:val="00167FE9"/>
    <w:rsid w:val="00171F41"/>
    <w:rsid w:val="001726A4"/>
    <w:rsid w:val="001744B4"/>
    <w:rsid w:val="00174D17"/>
    <w:rsid w:val="00175AC4"/>
    <w:rsid w:val="00177361"/>
    <w:rsid w:val="001802BD"/>
    <w:rsid w:val="001862BD"/>
    <w:rsid w:val="00193822"/>
    <w:rsid w:val="0019704E"/>
    <w:rsid w:val="001A0D31"/>
    <w:rsid w:val="001A1775"/>
    <w:rsid w:val="001A39EE"/>
    <w:rsid w:val="001A4338"/>
    <w:rsid w:val="001A6777"/>
    <w:rsid w:val="001A76E4"/>
    <w:rsid w:val="001C072D"/>
    <w:rsid w:val="001C54CE"/>
    <w:rsid w:val="001D15F8"/>
    <w:rsid w:val="001D1749"/>
    <w:rsid w:val="001D2679"/>
    <w:rsid w:val="001D502D"/>
    <w:rsid w:val="001D60ED"/>
    <w:rsid w:val="001E21CE"/>
    <w:rsid w:val="001E25A2"/>
    <w:rsid w:val="001E26CE"/>
    <w:rsid w:val="001E45CB"/>
    <w:rsid w:val="001E61AD"/>
    <w:rsid w:val="001E639C"/>
    <w:rsid w:val="001F1B08"/>
    <w:rsid w:val="001F4353"/>
    <w:rsid w:val="001F639D"/>
    <w:rsid w:val="00205CBD"/>
    <w:rsid w:val="00206603"/>
    <w:rsid w:val="002078A2"/>
    <w:rsid w:val="002102DE"/>
    <w:rsid w:val="00211A7E"/>
    <w:rsid w:val="00215955"/>
    <w:rsid w:val="00217A24"/>
    <w:rsid w:val="00223C57"/>
    <w:rsid w:val="00227D15"/>
    <w:rsid w:val="002329FD"/>
    <w:rsid w:val="00242477"/>
    <w:rsid w:val="00244051"/>
    <w:rsid w:val="002469E1"/>
    <w:rsid w:val="002524D1"/>
    <w:rsid w:val="002535D8"/>
    <w:rsid w:val="00254046"/>
    <w:rsid w:val="002564AC"/>
    <w:rsid w:val="002608F3"/>
    <w:rsid w:val="00261386"/>
    <w:rsid w:val="00261C41"/>
    <w:rsid w:val="00264124"/>
    <w:rsid w:val="00264A43"/>
    <w:rsid w:val="002726BA"/>
    <w:rsid w:val="0027350A"/>
    <w:rsid w:val="00277697"/>
    <w:rsid w:val="00281B96"/>
    <w:rsid w:val="002853F1"/>
    <w:rsid w:val="00285565"/>
    <w:rsid w:val="00297C3D"/>
    <w:rsid w:val="002A04A3"/>
    <w:rsid w:val="002A0BAE"/>
    <w:rsid w:val="002A2DD8"/>
    <w:rsid w:val="002A712C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4A88"/>
    <w:rsid w:val="002D666D"/>
    <w:rsid w:val="002E1F79"/>
    <w:rsid w:val="002F3CF9"/>
    <w:rsid w:val="002F45FF"/>
    <w:rsid w:val="002F5C45"/>
    <w:rsid w:val="002F6149"/>
    <w:rsid w:val="002F7D25"/>
    <w:rsid w:val="00310EA4"/>
    <w:rsid w:val="00310ED4"/>
    <w:rsid w:val="00325C10"/>
    <w:rsid w:val="00326F5F"/>
    <w:rsid w:val="00332D90"/>
    <w:rsid w:val="00333B06"/>
    <w:rsid w:val="00337D91"/>
    <w:rsid w:val="00343513"/>
    <w:rsid w:val="00346BFB"/>
    <w:rsid w:val="00350756"/>
    <w:rsid w:val="003542EE"/>
    <w:rsid w:val="00360D26"/>
    <w:rsid w:val="00362148"/>
    <w:rsid w:val="00362FFE"/>
    <w:rsid w:val="003658B0"/>
    <w:rsid w:val="0038044D"/>
    <w:rsid w:val="00384AEE"/>
    <w:rsid w:val="0038527A"/>
    <w:rsid w:val="00386A98"/>
    <w:rsid w:val="00391367"/>
    <w:rsid w:val="0039505F"/>
    <w:rsid w:val="003A150E"/>
    <w:rsid w:val="003A2730"/>
    <w:rsid w:val="003B16B4"/>
    <w:rsid w:val="003B5A03"/>
    <w:rsid w:val="003B6E50"/>
    <w:rsid w:val="003C12AC"/>
    <w:rsid w:val="003C2842"/>
    <w:rsid w:val="003D0825"/>
    <w:rsid w:val="003D2003"/>
    <w:rsid w:val="003D5DA2"/>
    <w:rsid w:val="003E5193"/>
    <w:rsid w:val="00401CDD"/>
    <w:rsid w:val="00402244"/>
    <w:rsid w:val="00410A3F"/>
    <w:rsid w:val="00415DEC"/>
    <w:rsid w:val="00427FE5"/>
    <w:rsid w:val="00433222"/>
    <w:rsid w:val="00436A23"/>
    <w:rsid w:val="00436F13"/>
    <w:rsid w:val="00437F47"/>
    <w:rsid w:val="004420FB"/>
    <w:rsid w:val="00445A4E"/>
    <w:rsid w:val="00445BBD"/>
    <w:rsid w:val="004502EC"/>
    <w:rsid w:val="004504A6"/>
    <w:rsid w:val="00460CDF"/>
    <w:rsid w:val="00460D23"/>
    <w:rsid w:val="004645DD"/>
    <w:rsid w:val="0046710A"/>
    <w:rsid w:val="0047759D"/>
    <w:rsid w:val="00487893"/>
    <w:rsid w:val="0049612D"/>
    <w:rsid w:val="004964B8"/>
    <w:rsid w:val="004A04A6"/>
    <w:rsid w:val="004A131C"/>
    <w:rsid w:val="004A21EE"/>
    <w:rsid w:val="004A36EE"/>
    <w:rsid w:val="004A5D8D"/>
    <w:rsid w:val="004A7499"/>
    <w:rsid w:val="004B1314"/>
    <w:rsid w:val="004B16C7"/>
    <w:rsid w:val="004B722C"/>
    <w:rsid w:val="004C1B79"/>
    <w:rsid w:val="004C27B4"/>
    <w:rsid w:val="004C3F11"/>
    <w:rsid w:val="004C6A2C"/>
    <w:rsid w:val="004D275F"/>
    <w:rsid w:val="004D474D"/>
    <w:rsid w:val="004D5D39"/>
    <w:rsid w:val="004D6276"/>
    <w:rsid w:val="004D656E"/>
    <w:rsid w:val="004D7B0A"/>
    <w:rsid w:val="004E1A1F"/>
    <w:rsid w:val="004E6443"/>
    <w:rsid w:val="004E7743"/>
    <w:rsid w:val="00501A37"/>
    <w:rsid w:val="00504669"/>
    <w:rsid w:val="005058E0"/>
    <w:rsid w:val="00511EAC"/>
    <w:rsid w:val="005121DC"/>
    <w:rsid w:val="00513113"/>
    <w:rsid w:val="005135CF"/>
    <w:rsid w:val="00515869"/>
    <w:rsid w:val="005160BC"/>
    <w:rsid w:val="005214BA"/>
    <w:rsid w:val="00522E6D"/>
    <w:rsid w:val="00524A24"/>
    <w:rsid w:val="005251C4"/>
    <w:rsid w:val="00526E12"/>
    <w:rsid w:val="00532578"/>
    <w:rsid w:val="00533411"/>
    <w:rsid w:val="00533DAB"/>
    <w:rsid w:val="00535D1A"/>
    <w:rsid w:val="00540BD6"/>
    <w:rsid w:val="005427EA"/>
    <w:rsid w:val="00545562"/>
    <w:rsid w:val="0054563F"/>
    <w:rsid w:val="005469E1"/>
    <w:rsid w:val="0055087F"/>
    <w:rsid w:val="00552E08"/>
    <w:rsid w:val="00557DA1"/>
    <w:rsid w:val="005635F7"/>
    <w:rsid w:val="00563A41"/>
    <w:rsid w:val="0056579C"/>
    <w:rsid w:val="00567340"/>
    <w:rsid w:val="00567706"/>
    <w:rsid w:val="00572298"/>
    <w:rsid w:val="005734C2"/>
    <w:rsid w:val="00574AA1"/>
    <w:rsid w:val="00574BF2"/>
    <w:rsid w:val="0057633B"/>
    <w:rsid w:val="00577545"/>
    <w:rsid w:val="00585859"/>
    <w:rsid w:val="00590EDF"/>
    <w:rsid w:val="0059185A"/>
    <w:rsid w:val="005933CB"/>
    <w:rsid w:val="00593E2F"/>
    <w:rsid w:val="00595A74"/>
    <w:rsid w:val="005A002C"/>
    <w:rsid w:val="005A1D01"/>
    <w:rsid w:val="005A5601"/>
    <w:rsid w:val="005A62A9"/>
    <w:rsid w:val="005A637F"/>
    <w:rsid w:val="005A7964"/>
    <w:rsid w:val="005B01FC"/>
    <w:rsid w:val="005B064E"/>
    <w:rsid w:val="005B0686"/>
    <w:rsid w:val="005B499C"/>
    <w:rsid w:val="005B7528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1EE5"/>
    <w:rsid w:val="00616833"/>
    <w:rsid w:val="00616B8D"/>
    <w:rsid w:val="006261A6"/>
    <w:rsid w:val="0062751F"/>
    <w:rsid w:val="00630861"/>
    <w:rsid w:val="00632AFD"/>
    <w:rsid w:val="0063491E"/>
    <w:rsid w:val="00634A27"/>
    <w:rsid w:val="00634BC5"/>
    <w:rsid w:val="00635AF8"/>
    <w:rsid w:val="006409EF"/>
    <w:rsid w:val="00643CBD"/>
    <w:rsid w:val="006457F1"/>
    <w:rsid w:val="006459C6"/>
    <w:rsid w:val="00646363"/>
    <w:rsid w:val="00647668"/>
    <w:rsid w:val="00655212"/>
    <w:rsid w:val="00657EE4"/>
    <w:rsid w:val="006816AA"/>
    <w:rsid w:val="00682A27"/>
    <w:rsid w:val="00684FCA"/>
    <w:rsid w:val="006961B9"/>
    <w:rsid w:val="0069689E"/>
    <w:rsid w:val="006A1698"/>
    <w:rsid w:val="006A1D06"/>
    <w:rsid w:val="006A3F10"/>
    <w:rsid w:val="006A71EB"/>
    <w:rsid w:val="006B12A2"/>
    <w:rsid w:val="006B2AB7"/>
    <w:rsid w:val="006B34CB"/>
    <w:rsid w:val="006B452C"/>
    <w:rsid w:val="006B590B"/>
    <w:rsid w:val="006C44B7"/>
    <w:rsid w:val="006C59D5"/>
    <w:rsid w:val="006D58BE"/>
    <w:rsid w:val="006D60E4"/>
    <w:rsid w:val="006E09D5"/>
    <w:rsid w:val="006E12EC"/>
    <w:rsid w:val="006E1418"/>
    <w:rsid w:val="006E3D95"/>
    <w:rsid w:val="006F3683"/>
    <w:rsid w:val="00700738"/>
    <w:rsid w:val="007042EA"/>
    <w:rsid w:val="007043B9"/>
    <w:rsid w:val="00705549"/>
    <w:rsid w:val="0071210D"/>
    <w:rsid w:val="00716BC5"/>
    <w:rsid w:val="007170E5"/>
    <w:rsid w:val="00723115"/>
    <w:rsid w:val="00723A18"/>
    <w:rsid w:val="00724550"/>
    <w:rsid w:val="00726A54"/>
    <w:rsid w:val="00726F7D"/>
    <w:rsid w:val="00730859"/>
    <w:rsid w:val="00731830"/>
    <w:rsid w:val="00736A19"/>
    <w:rsid w:val="00743C8D"/>
    <w:rsid w:val="00745258"/>
    <w:rsid w:val="00763C4A"/>
    <w:rsid w:val="00767AED"/>
    <w:rsid w:val="007732BE"/>
    <w:rsid w:val="0077374B"/>
    <w:rsid w:val="007746A3"/>
    <w:rsid w:val="0077623B"/>
    <w:rsid w:val="007766E6"/>
    <w:rsid w:val="00781ACA"/>
    <w:rsid w:val="00785F8F"/>
    <w:rsid w:val="00787B44"/>
    <w:rsid w:val="00790CD9"/>
    <w:rsid w:val="00791F20"/>
    <w:rsid w:val="00795A5A"/>
    <w:rsid w:val="00795F48"/>
    <w:rsid w:val="00796EC3"/>
    <w:rsid w:val="007A0441"/>
    <w:rsid w:val="007A072C"/>
    <w:rsid w:val="007A38C0"/>
    <w:rsid w:val="007A7058"/>
    <w:rsid w:val="007B098D"/>
    <w:rsid w:val="007B1DE5"/>
    <w:rsid w:val="007B5785"/>
    <w:rsid w:val="007B5CF3"/>
    <w:rsid w:val="007B67AE"/>
    <w:rsid w:val="007B6EBF"/>
    <w:rsid w:val="007B7682"/>
    <w:rsid w:val="007C4E4D"/>
    <w:rsid w:val="007C62D1"/>
    <w:rsid w:val="007C706F"/>
    <w:rsid w:val="007C7320"/>
    <w:rsid w:val="007D01FF"/>
    <w:rsid w:val="007E0E39"/>
    <w:rsid w:val="007E2B60"/>
    <w:rsid w:val="007E5E3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2DFF"/>
    <w:rsid w:val="0084324F"/>
    <w:rsid w:val="00843750"/>
    <w:rsid w:val="00844407"/>
    <w:rsid w:val="00853B24"/>
    <w:rsid w:val="00853E2A"/>
    <w:rsid w:val="008541E9"/>
    <w:rsid w:val="00856EEB"/>
    <w:rsid w:val="00863E2B"/>
    <w:rsid w:val="00873020"/>
    <w:rsid w:val="008739EB"/>
    <w:rsid w:val="00874DB2"/>
    <w:rsid w:val="008776BB"/>
    <w:rsid w:val="00880540"/>
    <w:rsid w:val="0088396E"/>
    <w:rsid w:val="00884EB1"/>
    <w:rsid w:val="008862E4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3A6F"/>
    <w:rsid w:val="008C6372"/>
    <w:rsid w:val="008D0CE3"/>
    <w:rsid w:val="008E37BE"/>
    <w:rsid w:val="008E7A0A"/>
    <w:rsid w:val="008F12FD"/>
    <w:rsid w:val="008F13EA"/>
    <w:rsid w:val="008F24E6"/>
    <w:rsid w:val="00904F3C"/>
    <w:rsid w:val="0090623F"/>
    <w:rsid w:val="00906702"/>
    <w:rsid w:val="00907279"/>
    <w:rsid w:val="00907EDB"/>
    <w:rsid w:val="009110C5"/>
    <w:rsid w:val="00912FB5"/>
    <w:rsid w:val="00913A54"/>
    <w:rsid w:val="00915944"/>
    <w:rsid w:val="00915A9F"/>
    <w:rsid w:val="00922460"/>
    <w:rsid w:val="009228D9"/>
    <w:rsid w:val="00930B74"/>
    <w:rsid w:val="009312DC"/>
    <w:rsid w:val="009327BF"/>
    <w:rsid w:val="00934047"/>
    <w:rsid w:val="0093512D"/>
    <w:rsid w:val="00935F33"/>
    <w:rsid w:val="009403E4"/>
    <w:rsid w:val="0094745A"/>
    <w:rsid w:val="00952B5F"/>
    <w:rsid w:val="00953546"/>
    <w:rsid w:val="009541F6"/>
    <w:rsid w:val="0095649D"/>
    <w:rsid w:val="009565AD"/>
    <w:rsid w:val="00960332"/>
    <w:rsid w:val="009612A4"/>
    <w:rsid w:val="00961B26"/>
    <w:rsid w:val="00963BDB"/>
    <w:rsid w:val="0097006F"/>
    <w:rsid w:val="00970DDD"/>
    <w:rsid w:val="00984A17"/>
    <w:rsid w:val="00984EE4"/>
    <w:rsid w:val="00990168"/>
    <w:rsid w:val="0099354F"/>
    <w:rsid w:val="009966E6"/>
    <w:rsid w:val="00996CBB"/>
    <w:rsid w:val="009A074F"/>
    <w:rsid w:val="009A3DB2"/>
    <w:rsid w:val="009A5318"/>
    <w:rsid w:val="009B16EA"/>
    <w:rsid w:val="009B3444"/>
    <w:rsid w:val="009B5DCD"/>
    <w:rsid w:val="009B5EE6"/>
    <w:rsid w:val="009B7193"/>
    <w:rsid w:val="009C02FB"/>
    <w:rsid w:val="009C0F43"/>
    <w:rsid w:val="009C20B9"/>
    <w:rsid w:val="009C382E"/>
    <w:rsid w:val="009C490E"/>
    <w:rsid w:val="009C495F"/>
    <w:rsid w:val="009C589E"/>
    <w:rsid w:val="009C6A25"/>
    <w:rsid w:val="009D28B9"/>
    <w:rsid w:val="009D3CD3"/>
    <w:rsid w:val="009D6E3D"/>
    <w:rsid w:val="009E5E58"/>
    <w:rsid w:val="009F0808"/>
    <w:rsid w:val="00A0688A"/>
    <w:rsid w:val="00A070E6"/>
    <w:rsid w:val="00A1426A"/>
    <w:rsid w:val="00A14F1D"/>
    <w:rsid w:val="00A152DC"/>
    <w:rsid w:val="00A1703F"/>
    <w:rsid w:val="00A2180A"/>
    <w:rsid w:val="00A22293"/>
    <w:rsid w:val="00A26973"/>
    <w:rsid w:val="00A305DE"/>
    <w:rsid w:val="00A312E7"/>
    <w:rsid w:val="00A3401C"/>
    <w:rsid w:val="00A344D5"/>
    <w:rsid w:val="00A37E33"/>
    <w:rsid w:val="00A452CF"/>
    <w:rsid w:val="00A46574"/>
    <w:rsid w:val="00A471A3"/>
    <w:rsid w:val="00A47B1B"/>
    <w:rsid w:val="00A5253A"/>
    <w:rsid w:val="00A63339"/>
    <w:rsid w:val="00A778C9"/>
    <w:rsid w:val="00A80C4C"/>
    <w:rsid w:val="00A849DE"/>
    <w:rsid w:val="00A90F41"/>
    <w:rsid w:val="00A910E7"/>
    <w:rsid w:val="00A93B3B"/>
    <w:rsid w:val="00A951DD"/>
    <w:rsid w:val="00A95CBB"/>
    <w:rsid w:val="00A9600A"/>
    <w:rsid w:val="00A96C80"/>
    <w:rsid w:val="00AA0ABF"/>
    <w:rsid w:val="00AA27C2"/>
    <w:rsid w:val="00AB2CCF"/>
    <w:rsid w:val="00AB49FD"/>
    <w:rsid w:val="00AB69B0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17F6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84557"/>
    <w:rsid w:val="00B95AA2"/>
    <w:rsid w:val="00BA6AD7"/>
    <w:rsid w:val="00BB052D"/>
    <w:rsid w:val="00BB1F92"/>
    <w:rsid w:val="00BB2E06"/>
    <w:rsid w:val="00BB46C6"/>
    <w:rsid w:val="00BB5B7F"/>
    <w:rsid w:val="00BB5C4E"/>
    <w:rsid w:val="00BB7E8A"/>
    <w:rsid w:val="00BC1DDE"/>
    <w:rsid w:val="00BC20A0"/>
    <w:rsid w:val="00BC27F5"/>
    <w:rsid w:val="00BC5F6D"/>
    <w:rsid w:val="00BC75AA"/>
    <w:rsid w:val="00BD0770"/>
    <w:rsid w:val="00BD2F16"/>
    <w:rsid w:val="00BE1C7B"/>
    <w:rsid w:val="00BE2488"/>
    <w:rsid w:val="00BE2994"/>
    <w:rsid w:val="00BE2D25"/>
    <w:rsid w:val="00BE3FEC"/>
    <w:rsid w:val="00BE448A"/>
    <w:rsid w:val="00BE531D"/>
    <w:rsid w:val="00BE7378"/>
    <w:rsid w:val="00BF2725"/>
    <w:rsid w:val="00BF3D60"/>
    <w:rsid w:val="00BF5FCB"/>
    <w:rsid w:val="00BF72EA"/>
    <w:rsid w:val="00BF7477"/>
    <w:rsid w:val="00C00290"/>
    <w:rsid w:val="00C05FFF"/>
    <w:rsid w:val="00C10BAE"/>
    <w:rsid w:val="00C15F35"/>
    <w:rsid w:val="00C1699D"/>
    <w:rsid w:val="00C16B93"/>
    <w:rsid w:val="00C2210E"/>
    <w:rsid w:val="00C2524E"/>
    <w:rsid w:val="00C32802"/>
    <w:rsid w:val="00C35DFA"/>
    <w:rsid w:val="00C36272"/>
    <w:rsid w:val="00C40B0B"/>
    <w:rsid w:val="00C41B6F"/>
    <w:rsid w:val="00C42BBF"/>
    <w:rsid w:val="00C438F3"/>
    <w:rsid w:val="00C44979"/>
    <w:rsid w:val="00C45525"/>
    <w:rsid w:val="00C45A45"/>
    <w:rsid w:val="00C47EFE"/>
    <w:rsid w:val="00C50728"/>
    <w:rsid w:val="00C56B0F"/>
    <w:rsid w:val="00C57690"/>
    <w:rsid w:val="00C57E6A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B4922"/>
    <w:rsid w:val="00CB519E"/>
    <w:rsid w:val="00CC2E58"/>
    <w:rsid w:val="00CC3D89"/>
    <w:rsid w:val="00CC5B37"/>
    <w:rsid w:val="00CC75F1"/>
    <w:rsid w:val="00CD2ED3"/>
    <w:rsid w:val="00CD2F27"/>
    <w:rsid w:val="00CD3C62"/>
    <w:rsid w:val="00CE4211"/>
    <w:rsid w:val="00CF021B"/>
    <w:rsid w:val="00CF066B"/>
    <w:rsid w:val="00CF07BE"/>
    <w:rsid w:val="00CF40E0"/>
    <w:rsid w:val="00CF4412"/>
    <w:rsid w:val="00CF5B33"/>
    <w:rsid w:val="00D01748"/>
    <w:rsid w:val="00D028FF"/>
    <w:rsid w:val="00D03ECD"/>
    <w:rsid w:val="00D05963"/>
    <w:rsid w:val="00D07231"/>
    <w:rsid w:val="00D107E0"/>
    <w:rsid w:val="00D11640"/>
    <w:rsid w:val="00D1470E"/>
    <w:rsid w:val="00D20AA4"/>
    <w:rsid w:val="00D25A7B"/>
    <w:rsid w:val="00D32157"/>
    <w:rsid w:val="00D35B2E"/>
    <w:rsid w:val="00D40F84"/>
    <w:rsid w:val="00D434AF"/>
    <w:rsid w:val="00D44FA6"/>
    <w:rsid w:val="00D554C9"/>
    <w:rsid w:val="00D57802"/>
    <w:rsid w:val="00D60D62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A7B41"/>
    <w:rsid w:val="00DB058E"/>
    <w:rsid w:val="00DB326E"/>
    <w:rsid w:val="00DC1E7E"/>
    <w:rsid w:val="00DC31D2"/>
    <w:rsid w:val="00DC7A5F"/>
    <w:rsid w:val="00DD0504"/>
    <w:rsid w:val="00DD0CE6"/>
    <w:rsid w:val="00DD6A66"/>
    <w:rsid w:val="00DE0D15"/>
    <w:rsid w:val="00DF1CF0"/>
    <w:rsid w:val="00DF6656"/>
    <w:rsid w:val="00DF7388"/>
    <w:rsid w:val="00E02FA4"/>
    <w:rsid w:val="00E04C73"/>
    <w:rsid w:val="00E079A3"/>
    <w:rsid w:val="00E11718"/>
    <w:rsid w:val="00E12674"/>
    <w:rsid w:val="00E132AC"/>
    <w:rsid w:val="00E15CCC"/>
    <w:rsid w:val="00E15D7D"/>
    <w:rsid w:val="00E16246"/>
    <w:rsid w:val="00E17234"/>
    <w:rsid w:val="00E23ABA"/>
    <w:rsid w:val="00E24428"/>
    <w:rsid w:val="00E261F5"/>
    <w:rsid w:val="00E34A5B"/>
    <w:rsid w:val="00E3623B"/>
    <w:rsid w:val="00E455D9"/>
    <w:rsid w:val="00E4741B"/>
    <w:rsid w:val="00E478DE"/>
    <w:rsid w:val="00E5157F"/>
    <w:rsid w:val="00E5226F"/>
    <w:rsid w:val="00E53135"/>
    <w:rsid w:val="00E54141"/>
    <w:rsid w:val="00E54D94"/>
    <w:rsid w:val="00E57E26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D1E90"/>
    <w:rsid w:val="00ED3E61"/>
    <w:rsid w:val="00EE3586"/>
    <w:rsid w:val="00EE63A7"/>
    <w:rsid w:val="00EE7479"/>
    <w:rsid w:val="00EE7954"/>
    <w:rsid w:val="00EF1FBD"/>
    <w:rsid w:val="00EF29BE"/>
    <w:rsid w:val="00EF7FD0"/>
    <w:rsid w:val="00F07943"/>
    <w:rsid w:val="00F07DDF"/>
    <w:rsid w:val="00F11204"/>
    <w:rsid w:val="00F16256"/>
    <w:rsid w:val="00F209ED"/>
    <w:rsid w:val="00F231E8"/>
    <w:rsid w:val="00F26EA8"/>
    <w:rsid w:val="00F30632"/>
    <w:rsid w:val="00F31B97"/>
    <w:rsid w:val="00F329D8"/>
    <w:rsid w:val="00F32BCD"/>
    <w:rsid w:val="00F33544"/>
    <w:rsid w:val="00F35ACF"/>
    <w:rsid w:val="00F36445"/>
    <w:rsid w:val="00F402F3"/>
    <w:rsid w:val="00F40CAB"/>
    <w:rsid w:val="00F414C3"/>
    <w:rsid w:val="00F508FA"/>
    <w:rsid w:val="00F51C87"/>
    <w:rsid w:val="00F5214D"/>
    <w:rsid w:val="00F55457"/>
    <w:rsid w:val="00F6077B"/>
    <w:rsid w:val="00F60D85"/>
    <w:rsid w:val="00F624BD"/>
    <w:rsid w:val="00F62A5E"/>
    <w:rsid w:val="00F631B9"/>
    <w:rsid w:val="00F634A6"/>
    <w:rsid w:val="00F6634F"/>
    <w:rsid w:val="00F72CD1"/>
    <w:rsid w:val="00F73C29"/>
    <w:rsid w:val="00F74A39"/>
    <w:rsid w:val="00F8138E"/>
    <w:rsid w:val="00F85203"/>
    <w:rsid w:val="00F85EC0"/>
    <w:rsid w:val="00F87D5A"/>
    <w:rsid w:val="00F87EF6"/>
    <w:rsid w:val="00F906DA"/>
    <w:rsid w:val="00F92676"/>
    <w:rsid w:val="00F94262"/>
    <w:rsid w:val="00F947D0"/>
    <w:rsid w:val="00F9616B"/>
    <w:rsid w:val="00F979A8"/>
    <w:rsid w:val="00FA1B93"/>
    <w:rsid w:val="00FA5551"/>
    <w:rsid w:val="00FA6C8A"/>
    <w:rsid w:val="00FA6D66"/>
    <w:rsid w:val="00FA7C7A"/>
    <w:rsid w:val="00FC1C00"/>
    <w:rsid w:val="00FD213B"/>
    <w:rsid w:val="00FD29BF"/>
    <w:rsid w:val="00FD3CE8"/>
    <w:rsid w:val="00FD5B91"/>
    <w:rsid w:val="00FD7004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iPriority="2" w:unhideWhenUsed="0"/>
    <w:lsdException w:name="footer" w:semiHidden="0" w:uiPriority="2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1E45CB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TitleH2">
    <w:name w:val="Title_H2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CH">
    <w:name w:val="Title_H_CH"/>
    <w:basedOn w:val="HCh"/>
    <w:next w:val="SingleTxt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H1">
    <w:name w:val="Title_H1"/>
    <w:basedOn w:val="H1"/>
    <w:next w:val="SingleTxt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5B01F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C27F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paragraph" w:customStyle="1" w:styleId="AgendaItemNormal">
    <w:name w:val="Agenda_Item_Normal"/>
    <w:next w:val="Normal"/>
    <w:qFormat/>
    <w:rsid w:val="002469E1"/>
    <w:pPr>
      <w:spacing w:after="0" w:line="240" w:lineRule="exact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customStyle="1" w:styleId="AgendaTitleH2">
    <w:name w:val="Agenda_Title_H2"/>
    <w:basedOn w:val="TitleH1"/>
    <w:next w:val="Normal"/>
    <w:qFormat/>
    <w:rsid w:val="002469E1"/>
    <w:pPr>
      <w:keepNext/>
      <w:keepLines/>
      <w:spacing w:line="240" w:lineRule="exact"/>
      <w:ind w:left="0" w:right="0" w:firstLine="0"/>
      <w:outlineLvl w:val="1"/>
    </w:pPr>
    <w:rPr>
      <w:sz w:val="20"/>
    </w:rPr>
  </w:style>
  <w:style w:type="character" w:styleId="CommentReference">
    <w:name w:val="annotation reference"/>
    <w:basedOn w:val="DefaultParagraphFont"/>
    <w:uiPriority w:val="1"/>
    <w:semiHidden/>
    <w:unhideWhenUsed/>
    <w:rsid w:val="002F4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5F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5FF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5FF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customStyle="1" w:styleId="preferred">
    <w:name w:val="preferred"/>
    <w:basedOn w:val="DefaultParagraphFont"/>
    <w:rsid w:val="00BE3FEC"/>
  </w:style>
  <w:style w:type="character" w:styleId="Hyperlink">
    <w:name w:val="Hyperlink"/>
    <w:basedOn w:val="DefaultParagraphFont"/>
    <w:uiPriority w:val="99"/>
    <w:unhideWhenUsed/>
    <w:rsid w:val="004A131C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A131C"/>
    <w:rPr>
      <w:color w:val="0000FF"/>
      <w:u w:val="none"/>
    </w:rPr>
  </w:style>
  <w:style w:type="paragraph" w:styleId="Revision">
    <w:name w:val="Revision"/>
    <w:hidden/>
    <w:uiPriority w:val="99"/>
    <w:semiHidden/>
    <w:rsid w:val="00567340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3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40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iPriority="2" w:unhideWhenUsed="0"/>
    <w:lsdException w:name="footer" w:semiHidden="0" w:uiPriority="2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1E45CB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TitleH2">
    <w:name w:val="Title_H2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CH">
    <w:name w:val="Title_H_CH"/>
    <w:basedOn w:val="HCh"/>
    <w:next w:val="SingleTxt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H1">
    <w:name w:val="Title_H1"/>
    <w:basedOn w:val="H1"/>
    <w:next w:val="SingleTxt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5B01F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C27F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paragraph" w:customStyle="1" w:styleId="AgendaItemNormal">
    <w:name w:val="Agenda_Item_Normal"/>
    <w:next w:val="Normal"/>
    <w:qFormat/>
    <w:rsid w:val="002469E1"/>
    <w:pPr>
      <w:spacing w:after="0" w:line="240" w:lineRule="exact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customStyle="1" w:styleId="AgendaTitleH2">
    <w:name w:val="Agenda_Title_H2"/>
    <w:basedOn w:val="TitleH1"/>
    <w:next w:val="Normal"/>
    <w:qFormat/>
    <w:rsid w:val="002469E1"/>
    <w:pPr>
      <w:keepNext/>
      <w:keepLines/>
      <w:spacing w:line="240" w:lineRule="exact"/>
      <w:ind w:left="0" w:right="0" w:firstLine="0"/>
      <w:outlineLvl w:val="1"/>
    </w:pPr>
    <w:rPr>
      <w:sz w:val="20"/>
    </w:rPr>
  </w:style>
  <w:style w:type="character" w:styleId="CommentReference">
    <w:name w:val="annotation reference"/>
    <w:basedOn w:val="DefaultParagraphFont"/>
    <w:uiPriority w:val="1"/>
    <w:semiHidden/>
    <w:unhideWhenUsed/>
    <w:rsid w:val="002F4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5F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5FF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5FF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customStyle="1" w:styleId="preferred">
    <w:name w:val="preferred"/>
    <w:basedOn w:val="DefaultParagraphFont"/>
    <w:rsid w:val="00BE3FEC"/>
  </w:style>
  <w:style w:type="character" w:styleId="Hyperlink">
    <w:name w:val="Hyperlink"/>
    <w:basedOn w:val="DefaultParagraphFont"/>
    <w:uiPriority w:val="99"/>
    <w:unhideWhenUsed/>
    <w:rsid w:val="004A131C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A131C"/>
    <w:rPr>
      <w:color w:val="0000FF"/>
      <w:u w:val="none"/>
    </w:rPr>
  </w:style>
  <w:style w:type="paragraph" w:styleId="Revision">
    <w:name w:val="Revision"/>
    <w:hidden/>
    <w:uiPriority w:val="99"/>
    <w:semiHidden/>
    <w:rsid w:val="00567340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3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40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undocs.org/ru/CRPD/CSP/2016/1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63BA3-6EB6-43FB-A096-BA09814F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United Nations</Company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20150602</dc:title>
  <dc:creator>Irina Galitskaia</dc:creator>
  <cp:lastModifiedBy>Xinyi Ge</cp:lastModifiedBy>
  <cp:revision>5</cp:revision>
  <cp:lastPrinted>2016-04-18T16:27:00Z</cp:lastPrinted>
  <dcterms:created xsi:type="dcterms:W3CDTF">2016-04-18T16:27:00Z</dcterms:created>
  <dcterms:modified xsi:type="dcterms:W3CDTF">2016-04-20T16:50:00Z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1603540R</vt:lpwstr>
  </property>
  <property fmtid="{D5CDD505-2E9C-101B-9397-08002B2CF9AE}" pid="3" name="ODSRefJobNo">
    <vt:lpwstr>1608831R</vt:lpwstr>
  </property>
  <property fmtid="{D5CDD505-2E9C-101B-9397-08002B2CF9AE}" pid="4" name="Symbol1">
    <vt:lpwstr>CRPD/CSP/2016/4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Distribution">
    <vt:lpwstr>General</vt:lpwstr>
  </property>
  <property fmtid="{D5CDD505-2E9C-101B-9397-08002B2CF9AE}" pid="8" name="Publication Date">
    <vt:lpwstr>29 March 2016</vt:lpwstr>
  </property>
  <property fmtid="{D5CDD505-2E9C-101B-9397-08002B2CF9AE}" pid="9" name="Original">
    <vt:lpwstr>English</vt:lpwstr>
  </property>
  <property fmtid="{D5CDD505-2E9C-101B-9397-08002B2CF9AE}" pid="10" name="Release Date">
    <vt:lpwstr>150416</vt:lpwstr>
  </property>
  <property fmtid="{D5CDD505-2E9C-101B-9397-08002B2CF9AE}" pid="11" name="Comment">
    <vt:lpwstr/>
  </property>
  <property fmtid="{D5CDD505-2E9C-101B-9397-08002B2CF9AE}" pid="12" name="DraftPages">
    <vt:lpwstr> 8</vt:lpwstr>
  </property>
  <property fmtid="{D5CDD505-2E9C-101B-9397-08002B2CF9AE}" pid="13" name="Operator">
    <vt:lpwstr>Fedorova</vt:lpwstr>
  </property>
</Properties>
</file>