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D3" w:rsidRDefault="001E23D3" w:rsidP="001E23D3">
      <w:pPr>
        <w:spacing w:line="240" w:lineRule="auto"/>
        <w:jc w:val="left"/>
        <w:rPr>
          <w:szCs w:val="6"/>
        </w:rPr>
        <w:sectPr w:rsidR="001E23D3" w:rsidSect="001E23D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cols w:space="720"/>
          <w:titlePg/>
          <w:bidi/>
          <w:rtlGutter/>
          <w:docGrid w:linePitch="278"/>
        </w:sectPr>
      </w:pPr>
      <w:bookmarkStart w:id="0" w:name="_GoBack"/>
      <w:bookmarkEnd w:id="0"/>
    </w:p>
    <w:p w:rsidR="002A6363" w:rsidRPr="002A6363" w:rsidRDefault="002A6363" w:rsidP="002A6363">
      <w:pPr>
        <w:pStyle w:val="H1"/>
        <w:tabs>
          <w:tab w:val="left" w:pos="662"/>
          <w:tab w:val="left" w:pos="1325"/>
          <w:tab w:val="left" w:pos="1987"/>
          <w:tab w:val="left" w:pos="2650"/>
          <w:tab w:val="left" w:pos="3312"/>
          <w:tab w:val="left" w:pos="3810"/>
          <w:tab w:val="left" w:pos="4637"/>
          <w:tab w:val="left" w:pos="5299"/>
          <w:tab w:val="left" w:pos="5962"/>
          <w:tab w:val="left" w:pos="6624"/>
          <w:tab w:val="left" w:pos="7286"/>
        </w:tabs>
        <w:ind w:right="6030"/>
        <w:rPr>
          <w:rtl/>
        </w:rPr>
      </w:pPr>
      <w:r w:rsidRPr="002A6363">
        <w:rPr>
          <w:rtl/>
        </w:rPr>
        <w:lastRenderedPageBreak/>
        <w:t>مؤتمر الدول الأطراف في اتفاقية حقوق الأشخاص ذوي الإعاقة</w:t>
      </w:r>
    </w:p>
    <w:p w:rsidR="002A6363" w:rsidRPr="002A6363" w:rsidRDefault="002A6363" w:rsidP="002A6363">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2A6363">
        <w:rPr>
          <w:rtl/>
        </w:rPr>
        <w:t>الدورة التاسعة</w:t>
      </w:r>
    </w:p>
    <w:p w:rsidR="002A6363" w:rsidRPr="002A6363" w:rsidRDefault="002A6363" w:rsidP="002A6363">
      <w:pPr>
        <w:tabs>
          <w:tab w:val="left" w:pos="662"/>
          <w:tab w:val="left" w:pos="1267"/>
          <w:tab w:val="left" w:pos="1987"/>
          <w:tab w:val="left" w:pos="2650"/>
        </w:tabs>
        <w:rPr>
          <w:rtl/>
        </w:rPr>
      </w:pPr>
      <w:r w:rsidRPr="002A6363">
        <w:rPr>
          <w:rtl/>
        </w:rPr>
        <w:t>نيويورك، 14-16 حزيران/يونيه 2016</w:t>
      </w:r>
    </w:p>
    <w:p w:rsidR="002A6363" w:rsidRPr="005B39B1" w:rsidRDefault="002A6363" w:rsidP="002A6363">
      <w:pPr>
        <w:framePr w:w="9792" w:h="432" w:hSpace="187" w:wrap="around" w:hAnchor="page" w:x="1196" w:yAlign="bottom"/>
        <w:spacing w:line="240" w:lineRule="auto"/>
        <w:rPr>
          <w:szCs w:val="10"/>
          <w:rtl/>
        </w:rPr>
      </w:pPr>
    </w:p>
    <w:p w:rsidR="002A6363" w:rsidRPr="005B39B1" w:rsidRDefault="002A6363" w:rsidP="002A6363">
      <w:pPr>
        <w:framePr w:w="9792" w:h="432" w:hSpace="187" w:wrap="around" w:hAnchor="page" w:x="1196" w:yAlign="bottom"/>
        <w:spacing w:line="240" w:lineRule="auto"/>
        <w:rPr>
          <w:szCs w:val="6"/>
          <w:rtl/>
        </w:rPr>
      </w:pPr>
      <w:r w:rsidRPr="005B39B1">
        <w:rPr>
          <w:noProof/>
          <w:w w:val="100"/>
          <w:szCs w:val="6"/>
          <w:rtl/>
          <w:lang w:val="en-GB" w:eastAsia="zh-CN"/>
        </w:rPr>
        <mc:AlternateContent>
          <mc:Choice Requires="wps">
            <w:drawing>
              <wp:anchor distT="0" distB="0" distL="114300" distR="114300" simplePos="0" relativeHeight="251659264" behindDoc="0" locked="0" layoutInCell="1" allowOverlap="1" wp14:anchorId="223E89BD" wp14:editId="5436DA45">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CxTDAfRAQAAAwQA&#10;AA4AAAAAAAAAAAAAAAAALgIAAGRycy9lMm9Eb2MueG1sUEsBAi0AFAAGAAgAAAAhAPIk/q3dAAAA&#10;CQEAAA8AAAAAAAAAAAAAAAAAKwQAAGRycy9kb3ducmV2LnhtbFBLBQYAAAAABAAEAPMAAAA1BQAA&#10;AAA=&#10;" strokecolor="#010000"/>
            </w:pict>
          </mc:Fallback>
        </mc:AlternateContent>
      </w:r>
    </w:p>
    <w:p w:rsidR="002A6363" w:rsidRPr="005B39B1" w:rsidRDefault="002A6363" w:rsidP="002A6363">
      <w:pPr>
        <w:framePr w:w="9792" w:h="432" w:hSpace="187" w:wrap="around" w:hAnchor="page" w:x="1196" w:yAlign="bottom"/>
        <w:tabs>
          <w:tab w:val="right" w:pos="1195"/>
          <w:tab w:val="left" w:pos="1267"/>
        </w:tabs>
        <w:spacing w:after="80" w:line="300" w:lineRule="exact"/>
        <w:ind w:left="1267" w:right="1267" w:hanging="547"/>
        <w:rPr>
          <w:sz w:val="17"/>
          <w:szCs w:val="26"/>
        </w:rPr>
      </w:pPr>
      <w:r>
        <w:rPr>
          <w:rFonts w:hint="cs"/>
          <w:sz w:val="17"/>
          <w:szCs w:val="26"/>
          <w:rtl/>
        </w:rPr>
        <w:tab/>
        <w:t>*</w:t>
      </w:r>
      <w:r>
        <w:rPr>
          <w:rFonts w:hint="cs"/>
          <w:sz w:val="17"/>
          <w:szCs w:val="26"/>
          <w:rtl/>
        </w:rPr>
        <w:tab/>
      </w:r>
      <w:hyperlink r:id="rId15" w:history="1">
        <w:r w:rsidRPr="00373755">
          <w:rPr>
            <w:rStyle w:val="Hyperlink"/>
            <w:spacing w:val="5"/>
            <w:w w:val="104"/>
            <w:sz w:val="17"/>
          </w:rPr>
          <w:t>CRPD/CSP/2016/1</w:t>
        </w:r>
      </w:hyperlink>
      <w:r w:rsidRPr="00440BAC">
        <w:rPr>
          <w:spacing w:val="5"/>
          <w:w w:val="104"/>
          <w:sz w:val="17"/>
        </w:rPr>
        <w:t>.</w:t>
      </w:r>
    </w:p>
    <w:p w:rsidR="002A6363" w:rsidRPr="002A6363" w:rsidRDefault="002A6363" w:rsidP="002A6363">
      <w:pPr>
        <w:tabs>
          <w:tab w:val="left" w:pos="662"/>
          <w:tab w:val="left" w:pos="1267"/>
          <w:tab w:val="left" w:pos="1987"/>
          <w:tab w:val="left" w:pos="2650"/>
        </w:tabs>
        <w:rPr>
          <w:rtl/>
        </w:rPr>
      </w:pPr>
      <w:r w:rsidRPr="002A6363">
        <w:rPr>
          <w:rtl/>
        </w:rPr>
        <w:t>البند 5 (ب) من جدول الأعمال المؤقت</w:t>
      </w:r>
      <w:r w:rsidR="00C61F5D">
        <w:rPr>
          <w:rFonts w:hint="cs"/>
          <w:rtl/>
        </w:rPr>
        <w:t>*</w:t>
      </w:r>
    </w:p>
    <w:p w:rsidR="002A6363" w:rsidRDefault="002A6363" w:rsidP="002A6363">
      <w:pPr>
        <w:tabs>
          <w:tab w:val="left" w:pos="662"/>
          <w:tab w:val="left" w:pos="1325"/>
          <w:tab w:val="left" w:pos="1987"/>
          <w:tab w:val="left" w:pos="2650"/>
          <w:tab w:val="left" w:pos="3312"/>
          <w:tab w:val="left" w:pos="3974"/>
          <w:tab w:val="left" w:pos="4637"/>
          <w:tab w:val="left" w:pos="5299"/>
          <w:tab w:val="left" w:pos="5962"/>
          <w:tab w:val="left" w:pos="6624"/>
        </w:tabs>
        <w:rPr>
          <w:bCs/>
          <w:rtl/>
        </w:rPr>
      </w:pPr>
      <w:r w:rsidRPr="002A6363">
        <w:rPr>
          <w:bCs/>
          <w:rtl/>
        </w:rPr>
        <w:t>مس</w:t>
      </w:r>
      <w:r>
        <w:rPr>
          <w:rFonts w:hint="cs"/>
          <w:bCs/>
          <w:rtl/>
        </w:rPr>
        <w:t>ا</w:t>
      </w:r>
      <w:r w:rsidRPr="002A6363">
        <w:rPr>
          <w:bCs/>
          <w:rtl/>
        </w:rPr>
        <w:t>ئل تتعلق بتنفيذ الاتفاقية: اجتماع المائدة المستديرة 1</w:t>
      </w:r>
    </w:p>
    <w:p w:rsidR="002A6363" w:rsidRPr="002A6363" w:rsidRDefault="002A6363" w:rsidP="002A6363">
      <w:pPr>
        <w:tabs>
          <w:tab w:val="left" w:pos="662"/>
          <w:tab w:val="left" w:pos="1267"/>
          <w:tab w:val="left" w:pos="1987"/>
          <w:tab w:val="left" w:pos="2650"/>
        </w:tabs>
        <w:spacing w:line="120" w:lineRule="exact"/>
        <w:rPr>
          <w:bCs/>
          <w:sz w:val="10"/>
          <w:rtl/>
        </w:rPr>
      </w:pPr>
    </w:p>
    <w:p w:rsidR="002A6363" w:rsidRPr="002A6363" w:rsidRDefault="002A6363" w:rsidP="002A6363">
      <w:pPr>
        <w:tabs>
          <w:tab w:val="left" w:pos="662"/>
          <w:tab w:val="left" w:pos="1267"/>
          <w:tab w:val="left" w:pos="1987"/>
          <w:tab w:val="left" w:pos="2650"/>
        </w:tabs>
        <w:spacing w:line="120" w:lineRule="exact"/>
        <w:rPr>
          <w:bCs/>
          <w:sz w:val="10"/>
          <w:rtl/>
        </w:rPr>
      </w:pPr>
    </w:p>
    <w:p w:rsidR="002A6363" w:rsidRPr="002A6363" w:rsidRDefault="002A6363" w:rsidP="002A6363">
      <w:pPr>
        <w:tabs>
          <w:tab w:val="left" w:pos="662"/>
          <w:tab w:val="left" w:pos="1267"/>
          <w:tab w:val="left" w:pos="1987"/>
          <w:tab w:val="left" w:pos="2650"/>
        </w:tabs>
        <w:spacing w:line="120" w:lineRule="exact"/>
        <w:rPr>
          <w:bCs/>
          <w:sz w:val="10"/>
          <w:rtl/>
        </w:rPr>
      </w:pPr>
    </w:p>
    <w:p w:rsidR="002A6363" w:rsidRPr="002A6363" w:rsidRDefault="002A6363" w:rsidP="002A6363">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r>
      <w:r w:rsidRPr="002A6363">
        <w:rPr>
          <w:rtl/>
        </w:rPr>
        <w:t>القضاء على الفقر وعدم المساواة بالنسبة للأشخاص ذوي الإعاقة</w:t>
      </w:r>
    </w:p>
    <w:p w:rsidR="002A6363" w:rsidRPr="002A6363" w:rsidRDefault="002A6363" w:rsidP="002A6363">
      <w:pPr>
        <w:pStyle w:val="SingleTxt"/>
        <w:spacing w:after="0" w:line="120" w:lineRule="exact"/>
        <w:rPr>
          <w:b/>
          <w:sz w:val="10"/>
          <w:rtl/>
        </w:rPr>
      </w:pPr>
    </w:p>
    <w:p w:rsidR="002A6363" w:rsidRPr="002A6363" w:rsidRDefault="002A6363" w:rsidP="002A6363">
      <w:pPr>
        <w:pStyle w:val="SingleTxt"/>
        <w:spacing w:after="0" w:line="120" w:lineRule="exact"/>
        <w:rPr>
          <w:b/>
          <w:sz w:val="10"/>
          <w:rtl/>
        </w:rPr>
      </w:pPr>
    </w:p>
    <w:p w:rsidR="002A6363" w:rsidRPr="002A6363" w:rsidRDefault="002A6363" w:rsidP="002A6363">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r>
      <w:r w:rsidRPr="002A6363">
        <w:rPr>
          <w:rtl/>
        </w:rPr>
        <w:t>مذكرة من الأمانة العامة</w:t>
      </w:r>
    </w:p>
    <w:p w:rsidR="002A6363" w:rsidRPr="002A6363" w:rsidRDefault="002A6363" w:rsidP="002A6363">
      <w:pPr>
        <w:pStyle w:val="SingleTxt"/>
        <w:spacing w:after="0" w:line="120" w:lineRule="exact"/>
        <w:rPr>
          <w:sz w:val="10"/>
          <w:rtl/>
        </w:rPr>
      </w:pPr>
    </w:p>
    <w:p w:rsidR="002A6363" w:rsidRPr="002A6363" w:rsidRDefault="002A6363" w:rsidP="002A6363">
      <w:pPr>
        <w:pStyle w:val="SingleTxt"/>
        <w:rPr>
          <w:rtl/>
        </w:rPr>
      </w:pPr>
      <w:r>
        <w:rPr>
          <w:rFonts w:hint="cs"/>
          <w:rtl/>
        </w:rPr>
        <w:tab/>
      </w:r>
      <w:r w:rsidRPr="002A6363">
        <w:rPr>
          <w:rtl/>
        </w:rPr>
        <w:t>أعدَّت الأمانة العامة هذه الوثيقة استنادا إلى المعلومات المتاحة من أجل تيسير مناقشات اجتماع المائدة المستديرة بشأن موضوع ’’القضاء على الفقر واللامساواة بالنسبة للأشخاص ذوي الإعاقة“، المقرر عقده في الدورة التاسعة لمؤتمر الدول الأطراف في اتفاقية حقوق الأشخاص ذوي الإعاقة.</w:t>
      </w:r>
    </w:p>
    <w:p w:rsidR="002A6363" w:rsidRDefault="002A6363">
      <w:pPr>
        <w:bidi w:val="0"/>
        <w:spacing w:line="240" w:lineRule="auto"/>
        <w:jc w:val="left"/>
        <w:rPr>
          <w:b/>
          <w:rtl/>
        </w:rPr>
      </w:pPr>
      <w:r>
        <w:rPr>
          <w:b/>
          <w:rtl/>
        </w:rPr>
        <w:br w:type="page"/>
      </w:r>
    </w:p>
    <w:p w:rsidR="002A6363" w:rsidRPr="002A6363" w:rsidRDefault="00AC523A" w:rsidP="00AC523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Pr>
          <w:rFonts w:hint="cs"/>
          <w:rtl/>
        </w:rPr>
        <w:tab/>
      </w:r>
      <w:r w:rsidR="002A6363" w:rsidRPr="002A6363">
        <w:rPr>
          <w:rtl/>
        </w:rPr>
        <w:t>مقدمة</w:t>
      </w:r>
    </w:p>
    <w:p w:rsidR="002A6363" w:rsidRPr="002A6363" w:rsidRDefault="002A6363" w:rsidP="00AC523A">
      <w:pPr>
        <w:pStyle w:val="SingleTxt"/>
        <w:rPr>
          <w:rtl/>
        </w:rPr>
      </w:pPr>
      <w:r w:rsidRPr="002A6363">
        <w:rPr>
          <w:rtl/>
        </w:rPr>
        <w:t xml:space="preserve">1 </w:t>
      </w:r>
      <w:r w:rsidR="00AC523A">
        <w:rPr>
          <w:rFonts w:hint="cs"/>
          <w:rtl/>
        </w:rPr>
        <w:t>-</w:t>
      </w:r>
      <w:r w:rsidR="00AC523A">
        <w:rPr>
          <w:rFonts w:hint="cs"/>
          <w:rtl/>
        </w:rPr>
        <w:tab/>
      </w:r>
      <w:r w:rsidRPr="002A6363">
        <w:rPr>
          <w:rtl/>
        </w:rPr>
        <w:t>تشير الأدلة المتاحة إلى أنه في كثير من السيا</w:t>
      </w:r>
      <w:r w:rsidR="00950EA4">
        <w:rPr>
          <w:rtl/>
        </w:rPr>
        <w:t>قات، يرجَّح أن يعيش الأشخاص ذوو</w:t>
      </w:r>
      <w:r w:rsidR="00950EA4">
        <w:rPr>
          <w:rFonts w:hint="cs"/>
          <w:rtl/>
        </w:rPr>
        <w:t> </w:t>
      </w:r>
      <w:r w:rsidRPr="002A6363">
        <w:rPr>
          <w:rtl/>
        </w:rPr>
        <w:t>الإعاقة في فقر</w:t>
      </w:r>
      <w:r w:rsidR="00AC523A" w:rsidRPr="00AC523A">
        <w:rPr>
          <w:vertAlign w:val="superscript"/>
          <w:rtl/>
        </w:rPr>
        <w:t>(</w:t>
      </w:r>
      <w:r w:rsidR="00AC523A" w:rsidRPr="00AC523A">
        <w:rPr>
          <w:rStyle w:val="FootnoteReference"/>
          <w:szCs w:val="30"/>
          <w:rtl/>
        </w:rPr>
        <w:footnoteReference w:id="1"/>
      </w:r>
      <w:r w:rsidR="00AC523A" w:rsidRPr="00AC523A">
        <w:rPr>
          <w:vertAlign w:val="superscript"/>
          <w:rtl/>
        </w:rPr>
        <w:t>)</w:t>
      </w:r>
      <w:r w:rsidR="00AC523A">
        <w:rPr>
          <w:rFonts w:hint="cs"/>
          <w:rtl/>
        </w:rPr>
        <w:t xml:space="preserve"> </w:t>
      </w:r>
      <w:r w:rsidRPr="002A6363">
        <w:rPr>
          <w:rtl/>
        </w:rPr>
        <w:t xml:space="preserve">مقارنة بالأشخاص غير المعوقين. وخلصت دراسة تحلل معدل انتشار الإعاقة لدى الأسر المعيشية الفقيرة في 15 بلدا ناميا أن الحالة الاقتصادية للأسر المعيشية التي يوجد فيها فرد واحد على الأقل من ذوي الإعاقة أسوأ من حالة الأسر المعيشية التي لا يوجد فيها أي شخص من ذوي الإعاقة. وبالإضافة إلى ذلك، </w:t>
      </w:r>
      <w:r w:rsidRPr="002A6363">
        <w:rPr>
          <w:rFonts w:hint="cs"/>
          <w:rtl/>
        </w:rPr>
        <w:t>ف</w:t>
      </w:r>
      <w:r w:rsidRPr="002A6363">
        <w:rPr>
          <w:rtl/>
        </w:rPr>
        <w:t>في 10 من تلك البلدان الـ 15، تملك الأسر المعيشية التي يوجد فيها فرد واحد على الأقل من ذوي الإعاقة أصولا أقل بكثير مما لدى الأسر الأخرى</w:t>
      </w:r>
      <w:r w:rsidR="00AC523A" w:rsidRPr="00AC523A">
        <w:rPr>
          <w:vertAlign w:val="superscript"/>
          <w:rtl/>
        </w:rPr>
        <w:t>(</w:t>
      </w:r>
      <w:r w:rsidR="00AC523A" w:rsidRPr="00AC523A">
        <w:rPr>
          <w:rStyle w:val="FootnoteReference"/>
          <w:szCs w:val="30"/>
          <w:rtl/>
        </w:rPr>
        <w:footnoteReference w:id="2"/>
      </w:r>
      <w:r w:rsidR="00AC523A" w:rsidRPr="00AC523A">
        <w:rPr>
          <w:vertAlign w:val="superscript"/>
          <w:rtl/>
        </w:rPr>
        <w:t>)</w:t>
      </w:r>
      <w:r w:rsidRPr="002A6363">
        <w:rPr>
          <w:rtl/>
        </w:rPr>
        <w:t xml:space="preserve">. وفي دراسة منفصلة، في 18 من أصل 21 بلدا </w:t>
      </w:r>
      <w:r w:rsidRPr="002A6363">
        <w:rPr>
          <w:rFonts w:hint="cs"/>
          <w:rtl/>
        </w:rPr>
        <w:t xml:space="preserve">من البلدان التي تندرج في إطار </w:t>
      </w:r>
      <w:r w:rsidRPr="002A6363">
        <w:rPr>
          <w:rtl/>
        </w:rPr>
        <w:t>منظمة التعاون والتنمية في الميدان الاقتصادي، اتسم الأشخاص ذوو الإعاقة في سن العمل بمعدلات فقر أعلى (مُعرَّفة بالمعدل الذي يقل عن 60 في المائة من متوسط الدخل المتاح المعدَّل) مما لدى الأشخاص غير المعوقين</w:t>
      </w:r>
      <w:r w:rsidR="00AC523A" w:rsidRPr="00AC523A">
        <w:rPr>
          <w:vertAlign w:val="superscript"/>
          <w:rtl/>
        </w:rPr>
        <w:t>(</w:t>
      </w:r>
      <w:r w:rsidR="00AC523A" w:rsidRPr="00AC523A">
        <w:rPr>
          <w:rStyle w:val="FootnoteReference"/>
          <w:szCs w:val="30"/>
          <w:rtl/>
        </w:rPr>
        <w:footnoteReference w:id="3"/>
      </w:r>
      <w:r w:rsidR="00AC523A" w:rsidRPr="00AC523A">
        <w:rPr>
          <w:vertAlign w:val="superscript"/>
          <w:rtl/>
        </w:rPr>
        <w:t>)</w:t>
      </w:r>
      <w:r w:rsidRPr="002A6363">
        <w:rPr>
          <w:rtl/>
        </w:rPr>
        <w:t>.</w:t>
      </w:r>
    </w:p>
    <w:p w:rsidR="002A6363" w:rsidRPr="002A6363" w:rsidRDefault="002A6363" w:rsidP="00AC523A">
      <w:pPr>
        <w:pStyle w:val="SingleTxt"/>
        <w:rPr>
          <w:rtl/>
        </w:rPr>
      </w:pPr>
      <w:r w:rsidRPr="002A6363">
        <w:rPr>
          <w:rtl/>
        </w:rPr>
        <w:t>٢</w:t>
      </w:r>
      <w:r w:rsidRPr="002A6363">
        <w:rPr>
          <w:rFonts w:hint="cs"/>
          <w:rtl/>
        </w:rPr>
        <w:t xml:space="preserve"> -</w:t>
      </w:r>
      <w:r w:rsidR="00AC523A">
        <w:rPr>
          <w:rFonts w:hint="cs"/>
          <w:rtl/>
        </w:rPr>
        <w:tab/>
      </w:r>
      <w:r w:rsidRPr="002A6363">
        <w:rPr>
          <w:rtl/>
        </w:rPr>
        <w:t>وأظهرت البيانات المستقاة من أكثر من 50 بلدا شملتها الدراسة الاستقصائية في التقرير العالمي حول الإعاقة لعام 2011 أن معدلات العمالة في صفوف الأشخاص ذوي الإعاقة تقل عن نظيرتها لدى الأشخاص غير المعوقين بأكثر من 10 نقاط مئوية. كما كانت معدلات إتمام الدراسة الابتدائية في صفوف الأشخاص ذوي الإعاقة تقل عن نظيرتها في صفوف الأشخاص غير المعوقين بنسبة تزيد على 10 في المائة. وبالإضافة إلى ذلك، تَبيَّن أن الأشخاص ذوي الإعاقة يقل احتمال تمكُّنهم من تحمل تكاليف الرعاية الصحية عند الحاجة بنسبة 20 في المائة</w:t>
      </w:r>
      <w:r w:rsidR="00AC523A" w:rsidRPr="00AC523A">
        <w:rPr>
          <w:vertAlign w:val="superscript"/>
          <w:rtl/>
        </w:rPr>
        <w:t>(</w:t>
      </w:r>
      <w:r w:rsidR="00AC523A" w:rsidRPr="00AC523A">
        <w:rPr>
          <w:rStyle w:val="FootnoteReference"/>
          <w:szCs w:val="30"/>
          <w:rtl/>
        </w:rPr>
        <w:footnoteReference w:id="4"/>
      </w:r>
      <w:r w:rsidR="00AC523A" w:rsidRPr="00AC523A">
        <w:rPr>
          <w:vertAlign w:val="superscript"/>
          <w:rtl/>
        </w:rPr>
        <w:t>)</w:t>
      </w:r>
      <w:r w:rsidRPr="002A6363">
        <w:rPr>
          <w:rtl/>
        </w:rPr>
        <w:t xml:space="preserve">. وفي المتوسط، كان دخل الأشخاص ذوي الإعاقة في جميع بلدان منظمة </w:t>
      </w:r>
      <w:r w:rsidRPr="002A6363">
        <w:rPr>
          <w:rtl/>
        </w:rPr>
        <w:lastRenderedPageBreak/>
        <w:t>التعاون والتنمية في الميدان الاقتصادي أقل بنسبة 12 في المائة عن المتوسط الوطني وبنسبة تتراوح بين 20 إلى 30 في المائة عن ذلك المتوسط في بعض بلدان تلك المنظمة</w:t>
      </w:r>
      <w:r w:rsidRPr="002A6363">
        <w:rPr>
          <w:rFonts w:hint="cs"/>
          <w:vertAlign w:val="superscript"/>
          <w:rtl/>
        </w:rPr>
        <w:t>(</w:t>
      </w:r>
      <w:r w:rsidRPr="002A6363">
        <w:rPr>
          <w:vertAlign w:val="superscript"/>
          <w:rtl/>
        </w:rPr>
        <w:t>٣</w:t>
      </w:r>
      <w:r w:rsidRPr="002A6363">
        <w:rPr>
          <w:rFonts w:hint="cs"/>
          <w:vertAlign w:val="superscript"/>
          <w:rtl/>
        </w:rPr>
        <w:t>)</w:t>
      </w:r>
      <w:r w:rsidRPr="002A6363">
        <w:rPr>
          <w:rFonts w:hint="cs"/>
          <w:rtl/>
        </w:rPr>
        <w:t>.</w:t>
      </w:r>
    </w:p>
    <w:p w:rsidR="002A6363" w:rsidRPr="002A6363" w:rsidRDefault="002A6363" w:rsidP="001F1FCD">
      <w:pPr>
        <w:pStyle w:val="SingleTxt"/>
        <w:rPr>
          <w:rtl/>
        </w:rPr>
      </w:pPr>
      <w:r w:rsidRPr="002A6363">
        <w:rPr>
          <w:rtl/>
        </w:rPr>
        <w:t>٣</w:t>
      </w:r>
      <w:r w:rsidRPr="002A6363">
        <w:rPr>
          <w:rFonts w:hint="cs"/>
          <w:rtl/>
        </w:rPr>
        <w:t xml:space="preserve"> -</w:t>
      </w:r>
      <w:r w:rsidR="001F1FCD">
        <w:rPr>
          <w:rFonts w:hint="cs"/>
          <w:rtl/>
        </w:rPr>
        <w:tab/>
      </w:r>
      <w:r w:rsidRPr="002A6363">
        <w:rPr>
          <w:rtl/>
        </w:rPr>
        <w:t>وكثيرا ما يكون مدى انتشار الفقر وعدم الم</w:t>
      </w:r>
      <w:r w:rsidR="001F1FCD">
        <w:rPr>
          <w:rtl/>
        </w:rPr>
        <w:t>ساواة الذي يتعرض له الأشخاص ذوو</w:t>
      </w:r>
      <w:r w:rsidR="001F1FCD">
        <w:rPr>
          <w:rFonts w:hint="cs"/>
          <w:rtl/>
        </w:rPr>
        <w:t> </w:t>
      </w:r>
      <w:r w:rsidRPr="002A6363">
        <w:rPr>
          <w:rtl/>
        </w:rPr>
        <w:t xml:space="preserve">الإعاقة في جميع مجالات التنمية ناتجا عن أوجه القصور التي تشوب البيئات الهيكلية والاجتماعية والسياسية والثقافية التي </w:t>
      </w:r>
      <w:r w:rsidRPr="002A6363">
        <w:rPr>
          <w:rFonts w:hint="cs"/>
          <w:rtl/>
        </w:rPr>
        <w:t>يوجدون بها</w:t>
      </w:r>
      <w:r w:rsidRPr="002A6363">
        <w:rPr>
          <w:rtl/>
        </w:rPr>
        <w:t xml:space="preserve">، ألا وهي: انعدام إمكانية الوصول إلى البيئات المادية والافتراضية، ووجود حواجز مؤسسية، والتمييز، والاستبعاد، وعدم تكافؤ الفرص. ويترتب على مثل هذا الاستبعاد تكاليف بالنسبة للأشخاص ذوي الإعاقة وأفراد أسرهم ومجتمعاتهم المحلية، وبالنسبة للمجتمع ككل. </w:t>
      </w:r>
      <w:r w:rsidRPr="002A6363">
        <w:rPr>
          <w:rFonts w:hint="cs"/>
          <w:rtl/>
        </w:rPr>
        <w:t xml:space="preserve">فعلى سبيل المثال، </w:t>
      </w:r>
      <w:r w:rsidRPr="002A6363">
        <w:rPr>
          <w:rtl/>
        </w:rPr>
        <w:t xml:space="preserve">لا يكلف استبعاد الأشخاص ذوي الإعاقة من العمل المجتمعات خسارة قيمة إنتاجيتهم الممكنة فحسب، بل </w:t>
      </w:r>
      <w:r w:rsidRPr="002A6363">
        <w:rPr>
          <w:rFonts w:hint="cs"/>
          <w:rtl/>
        </w:rPr>
        <w:t xml:space="preserve">يكلفها </w:t>
      </w:r>
      <w:r w:rsidRPr="002A6363">
        <w:rPr>
          <w:rtl/>
        </w:rPr>
        <w:t xml:space="preserve">أيضا نفقات توفير استحقاقات العجز والمعاشات التقاعدية. وخلصت دراسة </w:t>
      </w:r>
      <w:r w:rsidRPr="002A6363">
        <w:rPr>
          <w:rFonts w:hint="cs"/>
          <w:rtl/>
        </w:rPr>
        <w:t xml:space="preserve">نموذجية </w:t>
      </w:r>
      <w:r w:rsidRPr="002A6363">
        <w:rPr>
          <w:rtl/>
        </w:rPr>
        <w:t xml:space="preserve">لمنظمة العمل الدولية في 10 من البلدان النامية المنخفضة الدخل والمتوسطة الدخل إلى أن استبعاد الأشخاص ذوي الإعاقة من سوق العمل تترتب عليه خسائر في الناتج المحلي الإجمالي تتراوح </w:t>
      </w:r>
      <w:r w:rsidRPr="002A6363">
        <w:rPr>
          <w:rFonts w:hint="cs"/>
          <w:rtl/>
        </w:rPr>
        <w:t xml:space="preserve">نسبتها </w:t>
      </w:r>
      <w:r w:rsidRPr="002A6363">
        <w:rPr>
          <w:rtl/>
        </w:rPr>
        <w:t>بين 3 و 7 في المائة</w:t>
      </w:r>
      <w:r w:rsidR="001F1FCD" w:rsidRPr="001F1FCD">
        <w:rPr>
          <w:vertAlign w:val="superscript"/>
          <w:rtl/>
        </w:rPr>
        <w:t>(</w:t>
      </w:r>
      <w:r w:rsidR="001F1FCD" w:rsidRPr="001F1FCD">
        <w:rPr>
          <w:rStyle w:val="FootnoteReference"/>
          <w:szCs w:val="30"/>
          <w:rtl/>
        </w:rPr>
        <w:footnoteReference w:id="5"/>
      </w:r>
      <w:r w:rsidR="001F1FCD" w:rsidRPr="001F1FCD">
        <w:rPr>
          <w:vertAlign w:val="superscript"/>
          <w:rtl/>
        </w:rPr>
        <w:t>)</w:t>
      </w:r>
      <w:r w:rsidRPr="002A6363">
        <w:rPr>
          <w:rtl/>
        </w:rPr>
        <w:t>.</w:t>
      </w:r>
    </w:p>
    <w:p w:rsidR="002A6363" w:rsidRPr="002A6363" w:rsidRDefault="002A6363" w:rsidP="002A6363">
      <w:pPr>
        <w:pStyle w:val="SingleTxt"/>
        <w:rPr>
          <w:rtl/>
        </w:rPr>
      </w:pPr>
      <w:r w:rsidRPr="002A6363">
        <w:rPr>
          <w:rtl/>
        </w:rPr>
        <w:t>٤</w:t>
      </w:r>
      <w:r w:rsidRPr="002A6363">
        <w:rPr>
          <w:rFonts w:hint="cs"/>
          <w:rtl/>
        </w:rPr>
        <w:t xml:space="preserve"> -</w:t>
      </w:r>
      <w:r w:rsidR="001F1FCD">
        <w:rPr>
          <w:rFonts w:hint="cs"/>
          <w:rtl/>
        </w:rPr>
        <w:tab/>
      </w:r>
      <w:r w:rsidRPr="002A6363">
        <w:rPr>
          <w:rtl/>
        </w:rPr>
        <w:t>ويرتبط الفقر بعدم المساواة ارتباطا جوهريا. وسوف يؤدي الحد من الآثار السلبية لأوجه عدم المساواة الاجتماعية والاقتصادية والثقافية التي يواجهها الأشخاص ذوو الإعاقة إلى تمكينهم من اغتنام الفرص التي يحتاجونها للإفلات من دوامة الفقر الحالية. وسيسهم بدوره الحد من الفقر لدى الأشخاص ذوي الإعاقة في زيادة تقليص التفاوتات القائمة بين الأشخاص ذوي الإعاقة والأشخاص غير المعوقين. وعلى الرغم من أن التقاطع بين الإعاقة والفقر وعدم المساواة أمر معترف به على نطاق واسع، فإن الاتفاقات الوطنية والعالمية السابقة والإجراءات الرامية إلى مكافحة الفقر وعدم المساواة لم تعالج دائما بالقدر الكافي احتياجات وشواغل الأشخاص ذوي الإعاقة. بيد أن خطة التنمية المستدامة لعام 2030 تسلم بأن الجهود العالمية التي تركز على الحد من الفقر وعدم المساواة ينبغي أن تؤدي إلى تعميم مراعاة مسائل الإعاقة واحتياجات الأشخاص ذ</w:t>
      </w:r>
      <w:r w:rsidR="001F1FCD">
        <w:rPr>
          <w:rtl/>
        </w:rPr>
        <w:t>وي الإعاقة إذا أريد لها أن تكون</w:t>
      </w:r>
      <w:r w:rsidR="001F1FCD">
        <w:rPr>
          <w:rFonts w:hint="cs"/>
          <w:rtl/>
        </w:rPr>
        <w:t> </w:t>
      </w:r>
      <w:r w:rsidRPr="002A6363">
        <w:rPr>
          <w:rtl/>
        </w:rPr>
        <w:t xml:space="preserve">فعالة. </w:t>
      </w:r>
    </w:p>
    <w:p w:rsidR="002A6363" w:rsidRPr="001F1FCD" w:rsidRDefault="002A6363" w:rsidP="001F1FCD">
      <w:pPr>
        <w:pStyle w:val="SingleTxt"/>
        <w:spacing w:after="0" w:line="120" w:lineRule="exact"/>
        <w:rPr>
          <w:sz w:val="10"/>
          <w:rtl/>
        </w:rPr>
      </w:pPr>
    </w:p>
    <w:p w:rsidR="001F1FCD" w:rsidRDefault="001F1FCD">
      <w:pPr>
        <w:bidi w:val="0"/>
        <w:spacing w:line="240" w:lineRule="auto"/>
        <w:jc w:val="left"/>
        <w:rPr>
          <w:bCs/>
          <w:rtl/>
        </w:rPr>
      </w:pPr>
      <w:r>
        <w:rPr>
          <w:bCs/>
          <w:rtl/>
        </w:rPr>
        <w:br w:type="page"/>
      </w:r>
    </w:p>
    <w:p w:rsidR="002A6363" w:rsidRPr="002A6363" w:rsidRDefault="001F1FCD" w:rsidP="001F1FC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Pr>
          <w:rFonts w:hint="cs"/>
          <w:rtl/>
        </w:rPr>
        <w:tab/>
      </w:r>
      <w:r w:rsidR="002A6363" w:rsidRPr="002A6363">
        <w:rPr>
          <w:rtl/>
        </w:rPr>
        <w:t xml:space="preserve">الأطر المعيارية الدولية </w:t>
      </w:r>
    </w:p>
    <w:p w:rsidR="002A6363" w:rsidRPr="002A6363" w:rsidRDefault="002A6363" w:rsidP="001F1FCD">
      <w:pPr>
        <w:pStyle w:val="SingleTxt"/>
        <w:rPr>
          <w:rtl/>
        </w:rPr>
      </w:pPr>
      <w:r w:rsidRPr="002A6363">
        <w:rPr>
          <w:rtl/>
        </w:rPr>
        <w:t>٥</w:t>
      </w:r>
      <w:r w:rsidRPr="002A6363">
        <w:rPr>
          <w:rFonts w:hint="cs"/>
          <w:rtl/>
        </w:rPr>
        <w:t xml:space="preserve"> -</w:t>
      </w:r>
      <w:r w:rsidR="001F1FCD">
        <w:rPr>
          <w:rFonts w:hint="cs"/>
          <w:rtl/>
        </w:rPr>
        <w:tab/>
      </w:r>
      <w:r w:rsidRPr="002A6363">
        <w:rPr>
          <w:rtl/>
        </w:rPr>
        <w:t>منذ اعتماد برنامج العمل العالمي المتعلق بالأشخاص ذوي الإعاقة (1982)، والقواعد الموحدة بشأن تحقيق تكافؤ الفرص للأشخاص ذوي الإعاقة (1993)، واعتماد اتفاقية حقوق الأشخاص ذوي الإعاقة (2006) في الآونة الأخيرة، ما فتئ المجتمع الدولي يتصدى للأثر السلبي للفقر وعدم المساواة على الأشخاص ذوي الإعاقة</w:t>
      </w:r>
      <w:r w:rsidR="001F1FCD" w:rsidRPr="001F1FCD">
        <w:rPr>
          <w:vertAlign w:val="superscript"/>
          <w:rtl/>
        </w:rPr>
        <w:t>(</w:t>
      </w:r>
      <w:r w:rsidR="001F1FCD" w:rsidRPr="001F1FCD">
        <w:rPr>
          <w:rStyle w:val="FootnoteReference"/>
          <w:szCs w:val="30"/>
          <w:rtl/>
        </w:rPr>
        <w:footnoteReference w:id="6"/>
      </w:r>
      <w:r w:rsidR="001F1FCD" w:rsidRPr="001F1FCD">
        <w:rPr>
          <w:vertAlign w:val="superscript"/>
          <w:rtl/>
        </w:rPr>
        <w:t>)</w:t>
      </w:r>
      <w:r w:rsidRPr="002A6363">
        <w:rPr>
          <w:rtl/>
        </w:rPr>
        <w:t>. ووفقا للمادة 28 من الاتفاقية، تتخذ الدول الأطراف الخطوات المناسبة من أجل ما يلي: (أ) ضمان استفادة الأشخاص ذوي الإعاقة، خصوصا النساء والفتيات وكبار السن، من برامج الحماية الاجتماعية وبرامج الحد من الفقر؛ (ب) وضمان استفادة الأشخاص ذوي الإعاقة الذين يعيشون في حالة فقر وأسرهم من المساعدة التي تقدمها الدولة لتغطية النفقات المتعلقة بالإعاقة، بما فيها التدريب المناســب وإســداء المشــورة والمساعــدة المالية والرعاية المؤقتة.</w:t>
      </w:r>
    </w:p>
    <w:p w:rsidR="002A6363" w:rsidRPr="002A6363" w:rsidRDefault="001F1FCD" w:rsidP="002A6363">
      <w:pPr>
        <w:pStyle w:val="SingleTxt"/>
        <w:rPr>
          <w:rtl/>
        </w:rPr>
      </w:pPr>
      <w:r>
        <w:rPr>
          <w:rFonts w:hint="cs"/>
          <w:rtl/>
        </w:rPr>
        <w:t>6 -</w:t>
      </w:r>
      <w:r>
        <w:rPr>
          <w:rFonts w:hint="cs"/>
          <w:rtl/>
        </w:rPr>
        <w:tab/>
      </w:r>
      <w:r w:rsidR="002A6363" w:rsidRPr="002A6363">
        <w:rPr>
          <w:rtl/>
        </w:rPr>
        <w:t xml:space="preserve">وتنص الاتفاقية أيضا على الأهمية البالغة التي يكتسيها الأشخاص ذوو الإعاقة باعتبارهم متساويين مع الآخرين في جميع مناحي المجتمع والتنمية. وتتضمن الاتفاقية تكافؤ الفرص بوصفه أحد مبادئها العامة، وتؤكد على تكافؤ الفرص في التعليم (المادة 24) وتكافؤ الفرص وتقاضي أجر متساو لقاء القيام بعمل متساوي القيمة (المادة 27)، وتكافؤ فرص الحصول على خدمات المياه النظيفة والاستفادة من استحقاقات وبرامج التقاعد (المادة 28)، وتكافؤ الفرص أمام الأطفال ذوي الإعاقة للمشاركة في اللعب وفي أنشطة الترفيه والتسلية والرياضة (المادة 30). </w:t>
      </w:r>
    </w:p>
    <w:p w:rsidR="002A6363" w:rsidRPr="002A6363" w:rsidRDefault="002A6363" w:rsidP="001F1FCD">
      <w:pPr>
        <w:pStyle w:val="SingleTxt"/>
        <w:rPr>
          <w:rtl/>
        </w:rPr>
      </w:pPr>
      <w:r w:rsidRPr="002A6363">
        <w:rPr>
          <w:rtl/>
        </w:rPr>
        <w:t>٧</w:t>
      </w:r>
      <w:r w:rsidRPr="002A6363">
        <w:rPr>
          <w:rFonts w:hint="cs"/>
          <w:rtl/>
        </w:rPr>
        <w:t xml:space="preserve"> -</w:t>
      </w:r>
      <w:r w:rsidR="001F1FCD">
        <w:rPr>
          <w:rFonts w:hint="cs"/>
          <w:rtl/>
        </w:rPr>
        <w:tab/>
      </w:r>
      <w:r w:rsidRPr="002A6363">
        <w:rPr>
          <w:rtl/>
        </w:rPr>
        <w:t>وفي الوثيقة الختامية لاجتماع الجمعية العامة الرفيع المستوى المعني بتحقيق الأهداف الإنمائية للألفية وسائر الأهداف الإنمائية المتفق عليها</w:t>
      </w:r>
      <w:r w:rsidR="00950EA4">
        <w:rPr>
          <w:rtl/>
        </w:rPr>
        <w:t xml:space="preserve"> دولياً فيما يتعلق بالأشخاص ذوي</w:t>
      </w:r>
      <w:r w:rsidR="00950EA4">
        <w:rPr>
          <w:rFonts w:hint="cs"/>
          <w:rtl/>
        </w:rPr>
        <w:t> </w:t>
      </w:r>
      <w:r w:rsidRPr="002A6363">
        <w:rPr>
          <w:rtl/>
        </w:rPr>
        <w:t>الإعاقة</w:t>
      </w:r>
      <w:r w:rsidR="001F1FCD" w:rsidRPr="001F1FCD">
        <w:rPr>
          <w:vertAlign w:val="superscript"/>
          <w:rtl/>
        </w:rPr>
        <w:t>(</w:t>
      </w:r>
      <w:r w:rsidR="001F1FCD" w:rsidRPr="001F1FCD">
        <w:rPr>
          <w:rStyle w:val="FootnoteReference"/>
          <w:szCs w:val="30"/>
          <w:rtl/>
        </w:rPr>
        <w:footnoteReference w:id="7"/>
      </w:r>
      <w:r w:rsidR="001F1FCD" w:rsidRPr="001F1FCD">
        <w:rPr>
          <w:vertAlign w:val="superscript"/>
          <w:rtl/>
        </w:rPr>
        <w:t>)</w:t>
      </w:r>
      <w:r w:rsidRPr="002A6363">
        <w:rPr>
          <w:rtl/>
        </w:rPr>
        <w:t xml:space="preserve">، الذي عُقد في عام 2013، جرى التأكيد مجددا على أن السياسات الإنمائية المتعلقة بالقضاء على الفقر ينبغي أن تأخذ في الاعتبار حالة الأشخاص ذوي الإعاقة، الذين قد يتعرضون لأشكال متعددة أو خطيرة من التمييز. ولوحظ في هذا السياق أن الحق في تكافؤ الفرص في التعليم والعمالة والحماية الاجتماعية على قدم المساواة مع الآخرين ينبغي الاعتراف به كذلك. </w:t>
      </w:r>
    </w:p>
    <w:p w:rsidR="002A6363" w:rsidRPr="002A6363" w:rsidRDefault="002A6363" w:rsidP="001F1FCD">
      <w:pPr>
        <w:pStyle w:val="SingleTxt"/>
        <w:rPr>
          <w:rtl/>
        </w:rPr>
      </w:pPr>
      <w:r w:rsidRPr="002A6363">
        <w:rPr>
          <w:rtl/>
        </w:rPr>
        <w:t>٨</w:t>
      </w:r>
      <w:r w:rsidRPr="002A6363">
        <w:rPr>
          <w:rFonts w:hint="cs"/>
          <w:rtl/>
        </w:rPr>
        <w:t xml:space="preserve"> -</w:t>
      </w:r>
      <w:r w:rsidR="001F1FCD">
        <w:rPr>
          <w:rFonts w:hint="cs"/>
          <w:rtl/>
        </w:rPr>
        <w:tab/>
      </w:r>
      <w:r w:rsidRPr="002A6363">
        <w:rPr>
          <w:rtl/>
        </w:rPr>
        <w:t xml:space="preserve">وباعتماد خطة التنمية المستدامة لعام 2030 في أيلول/سبتمبر 2015، أولت الدول الأعضاء اهتماما أكبر </w:t>
      </w:r>
      <w:r w:rsidRPr="002A6363">
        <w:rPr>
          <w:rFonts w:hint="cs"/>
          <w:rtl/>
        </w:rPr>
        <w:t xml:space="preserve">لأوضاع </w:t>
      </w:r>
      <w:r w:rsidRPr="002A6363">
        <w:rPr>
          <w:rtl/>
        </w:rPr>
        <w:t xml:space="preserve">الأشخاص ذوي الإعاقة مقارنة بالأطر الإنمائية في الماضي. </w:t>
      </w:r>
      <w:r w:rsidRPr="002A6363">
        <w:rPr>
          <w:rtl/>
        </w:rPr>
        <w:lastRenderedPageBreak/>
        <w:t xml:space="preserve">وضمن المجموعة المكونة من 17 هدفا من أهداف التنمية المستدامة التي توجد في </w:t>
      </w:r>
      <w:r w:rsidRPr="002A6363">
        <w:rPr>
          <w:rFonts w:hint="cs"/>
          <w:rtl/>
        </w:rPr>
        <w:t xml:space="preserve">صلب </w:t>
      </w:r>
      <w:r w:rsidRPr="002A6363">
        <w:rPr>
          <w:rtl/>
        </w:rPr>
        <w:t>جدول الأعمال، تُذكر الإعاقة تحديدا في الأهداف والغايات المتصلة بالتعليم، والنمو والعمالة، وعدم المساواة، وتزويد المستوطنات البشرية بالتسهيلات اللازمة لاحتياجات ذوي الإعاقة، وكذلك جمع البيانات ورصد الأهداف.</w:t>
      </w:r>
    </w:p>
    <w:p w:rsidR="002A6363" w:rsidRPr="002A6363" w:rsidRDefault="002A6363" w:rsidP="00950EA4">
      <w:pPr>
        <w:pStyle w:val="SingleTxt"/>
        <w:rPr>
          <w:rtl/>
        </w:rPr>
      </w:pPr>
      <w:r w:rsidRPr="002A6363">
        <w:rPr>
          <w:rtl/>
        </w:rPr>
        <w:t>٩</w:t>
      </w:r>
      <w:r w:rsidRPr="002A6363">
        <w:rPr>
          <w:rFonts w:hint="cs"/>
          <w:rtl/>
        </w:rPr>
        <w:t xml:space="preserve"> -</w:t>
      </w:r>
      <w:r w:rsidR="001F1FCD">
        <w:rPr>
          <w:rFonts w:hint="cs"/>
          <w:rtl/>
        </w:rPr>
        <w:tab/>
      </w:r>
      <w:r w:rsidRPr="002A6363">
        <w:rPr>
          <w:rtl/>
        </w:rPr>
        <w:t xml:space="preserve">والقضاء على الفقر والحد من عدم المساواة من </w:t>
      </w:r>
      <w:r w:rsidRPr="002A6363">
        <w:rPr>
          <w:rFonts w:hint="cs"/>
          <w:rtl/>
        </w:rPr>
        <w:t xml:space="preserve">الالتزامات المبدئية </w:t>
      </w:r>
      <w:r w:rsidRPr="002A6363">
        <w:rPr>
          <w:rtl/>
        </w:rPr>
        <w:t>في خطة عام 2030. ويدعو الهدف 1 من بين الأهداف الإنمائية المستدامة إلى القضاء على الفقر بجميع أشكاله في كل مكان. وفي ظل أوجه التفاوت القائمة، سيتطلب تحقيق ذلك الهدف تضافر الجهود في القضاء على الفقر في صفوف الأشخاص ذوي الإعاقة. ويرمي الهدف 10 إلى الحد من انعدام المساواة داخل البلدان وفيما بينها. وفي إطار ذلك الهدف، تركز الغاية</w:t>
      </w:r>
      <w:r w:rsidR="00950EA4">
        <w:rPr>
          <w:rFonts w:hint="cs"/>
          <w:rtl/>
        </w:rPr>
        <w:br/>
      </w:r>
      <w:r w:rsidRPr="002A6363">
        <w:rPr>
          <w:rtl/>
        </w:rPr>
        <w:t>10-2 تحديدا على الأشخاص ذوي الإعاقة وذلك بالسعي إلى تمكين وتعزيز الإدماج الاجتماعي والاقتصادي والسياسي للجميع، بغض النظر عن الإعاقة.</w:t>
      </w:r>
    </w:p>
    <w:p w:rsidR="002A6363" w:rsidRPr="001F1FCD" w:rsidRDefault="002A6363" w:rsidP="001F1FCD">
      <w:pPr>
        <w:pStyle w:val="SingleTxt"/>
        <w:spacing w:after="0" w:line="120" w:lineRule="exact"/>
        <w:rPr>
          <w:b/>
          <w:sz w:val="10"/>
          <w:rtl/>
        </w:rPr>
      </w:pPr>
    </w:p>
    <w:p w:rsidR="002A6363" w:rsidRPr="002A6363" w:rsidRDefault="001F1FCD" w:rsidP="001F1FC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r>
      <w:r w:rsidR="002A6363" w:rsidRPr="002A6363">
        <w:rPr>
          <w:rtl/>
        </w:rPr>
        <w:t>القضايا والتحديات المطروحة</w:t>
      </w:r>
      <w:r w:rsidR="00950EA4">
        <w:rPr>
          <w:rtl/>
        </w:rPr>
        <w:t xml:space="preserve"> </w:t>
      </w:r>
    </w:p>
    <w:p w:rsidR="002A6363" w:rsidRPr="002A6363" w:rsidRDefault="002A6363" w:rsidP="001F1FCD">
      <w:pPr>
        <w:pStyle w:val="SingleTxt"/>
        <w:rPr>
          <w:rtl/>
        </w:rPr>
      </w:pPr>
      <w:r w:rsidRPr="002A6363">
        <w:rPr>
          <w:rtl/>
        </w:rPr>
        <w:t>١٠</w:t>
      </w:r>
      <w:r w:rsidRPr="002A6363">
        <w:rPr>
          <w:rFonts w:hint="cs"/>
          <w:rtl/>
        </w:rPr>
        <w:t xml:space="preserve"> -</w:t>
      </w:r>
      <w:r w:rsidR="001F1FCD">
        <w:rPr>
          <w:rFonts w:hint="cs"/>
          <w:rtl/>
        </w:rPr>
        <w:tab/>
      </w:r>
      <w:r w:rsidRPr="002A6363">
        <w:rPr>
          <w:rtl/>
        </w:rPr>
        <w:t>بعد مرور عشر سنوات على اعتماد الاتفاقية، وعلى الرغم من تزايد الاهتمام بالإعاقة في الإطار العالمي للتنمية، فإن العديد من البلدان لا تزال تواجه صعوبات ملحوظة في الحد من الفقر وعدم المساواة في صفوف الأشخاص ذوي الإعاقة. ولا تزال مستويات الفقر المزمنة ومحدودية الموارد وسائر القيود المفروضة على القدرات ت</w:t>
      </w:r>
      <w:r w:rsidRPr="002A6363">
        <w:rPr>
          <w:rFonts w:hint="cs"/>
          <w:rtl/>
        </w:rPr>
        <w:t>ع</w:t>
      </w:r>
      <w:r w:rsidRPr="002A6363">
        <w:rPr>
          <w:rtl/>
        </w:rPr>
        <w:t>وق الجهود المبذولة على الصعيد القطري. فالعديد من البلدان النامية تواجه صعوبات في تهيئة الظروف المواتية وفي إتاحة فرص متكافئة للأشخاص ذوي الإعاقة للحصول على الرعاية الصحية والتعليم وغير ذلك من الخدمات العامة، فضلا عن تكنولوجيا المعلومات والاتصالات والتدريب المهني والعمالة والعمل اللائق.</w:t>
      </w:r>
    </w:p>
    <w:p w:rsidR="002A6363" w:rsidRPr="002A6363" w:rsidRDefault="002A6363" w:rsidP="001F1FCD">
      <w:pPr>
        <w:pStyle w:val="SingleTxt"/>
        <w:rPr>
          <w:rtl/>
        </w:rPr>
      </w:pPr>
      <w:r w:rsidRPr="002A6363">
        <w:rPr>
          <w:rtl/>
        </w:rPr>
        <w:t>١١</w:t>
      </w:r>
      <w:r w:rsidRPr="002A6363">
        <w:rPr>
          <w:rFonts w:hint="cs"/>
          <w:rtl/>
        </w:rPr>
        <w:t xml:space="preserve"> </w:t>
      </w:r>
      <w:r w:rsidR="001F1FCD">
        <w:rPr>
          <w:rFonts w:hint="cs"/>
          <w:rtl/>
        </w:rPr>
        <w:t>-</w:t>
      </w:r>
      <w:r w:rsidR="001F1FCD">
        <w:rPr>
          <w:rFonts w:hint="cs"/>
          <w:rtl/>
        </w:rPr>
        <w:tab/>
      </w:r>
      <w:r w:rsidRPr="002A6363">
        <w:rPr>
          <w:rtl/>
        </w:rPr>
        <w:t>و</w:t>
      </w:r>
      <w:r w:rsidRPr="002A6363">
        <w:rPr>
          <w:rFonts w:hint="cs"/>
          <w:rtl/>
        </w:rPr>
        <w:t xml:space="preserve">قد </w:t>
      </w:r>
      <w:r w:rsidRPr="002A6363">
        <w:rPr>
          <w:rtl/>
        </w:rPr>
        <w:t>ت</w:t>
      </w:r>
      <w:r w:rsidRPr="002A6363">
        <w:rPr>
          <w:rFonts w:hint="cs"/>
          <w:rtl/>
        </w:rPr>
        <w:t>َ</w:t>
      </w:r>
      <w:r w:rsidRPr="002A6363">
        <w:rPr>
          <w:rtl/>
        </w:rPr>
        <w:t>بيّ</w:t>
      </w:r>
      <w:r w:rsidRPr="002A6363">
        <w:rPr>
          <w:rFonts w:hint="cs"/>
          <w:rtl/>
        </w:rPr>
        <w:t>َ</w:t>
      </w:r>
      <w:r w:rsidRPr="002A6363">
        <w:rPr>
          <w:rtl/>
        </w:rPr>
        <w:t>ن أن ضمان التمويل اللازم لتوفير سبل الراحة والخدمات الأساسية العامة من قبيل إمكانية الحصول على السكن والمياه والمرافق الصحية والغذاء، والخدمات الاجتماعية من قبيل التعليم والصحة والتغذية، يتسم بأهمية حاسمة فيما يتعلق بالحد من الفقر وتعزيز تكافؤ الفرص. وعلى الرغم من طابع الشمول الذي تتسم به هذه البرامج، يتعين أن يدرك واضعوها ومنفذوها العوامل التي تؤدي إلى الاستبعاد الاجتماعي والاقتصادي لفئات الأشخاص ذوي الإعاقة. و</w:t>
      </w:r>
      <w:r w:rsidRPr="002A6363">
        <w:rPr>
          <w:rFonts w:hint="cs"/>
          <w:rtl/>
        </w:rPr>
        <w:t xml:space="preserve">قد </w:t>
      </w:r>
      <w:r w:rsidRPr="002A6363">
        <w:rPr>
          <w:rtl/>
        </w:rPr>
        <w:t xml:space="preserve">أُثبت أن الأحكام العامة التي تأخذ في الاعتبار الفروق الدقيقة التي تميز الفئات </w:t>
      </w:r>
      <w:r w:rsidRPr="002A6363">
        <w:rPr>
          <w:rtl/>
        </w:rPr>
        <w:lastRenderedPageBreak/>
        <w:t>المحرومة، مثل الأشخاص ذوي الإعاقة، تميل إلى أن تكون أكثر فعالية من حيث التكلفة من التنفيذ المحدد الأهداف</w:t>
      </w:r>
      <w:r w:rsidR="001F1FCD" w:rsidRPr="001F1FCD">
        <w:rPr>
          <w:vertAlign w:val="superscript"/>
          <w:rtl/>
        </w:rPr>
        <w:t>(</w:t>
      </w:r>
      <w:r w:rsidR="001F1FCD" w:rsidRPr="001F1FCD">
        <w:rPr>
          <w:rStyle w:val="FootnoteReference"/>
          <w:szCs w:val="30"/>
          <w:rtl/>
        </w:rPr>
        <w:footnoteReference w:id="8"/>
      </w:r>
      <w:r w:rsidR="001F1FCD" w:rsidRPr="001F1FCD">
        <w:rPr>
          <w:vertAlign w:val="superscript"/>
          <w:rtl/>
        </w:rPr>
        <w:t>)</w:t>
      </w:r>
      <w:r w:rsidRPr="002A6363">
        <w:rPr>
          <w:rtl/>
        </w:rPr>
        <w:t>.</w:t>
      </w:r>
    </w:p>
    <w:p w:rsidR="002A6363" w:rsidRPr="002A6363" w:rsidRDefault="002A6363" w:rsidP="002A6363">
      <w:pPr>
        <w:pStyle w:val="SingleTxt"/>
        <w:rPr>
          <w:rtl/>
        </w:rPr>
      </w:pPr>
      <w:r w:rsidRPr="002A6363">
        <w:rPr>
          <w:rtl/>
        </w:rPr>
        <w:t>١٢</w:t>
      </w:r>
      <w:r w:rsidRPr="002A6363">
        <w:rPr>
          <w:rFonts w:hint="cs"/>
          <w:rtl/>
        </w:rPr>
        <w:t xml:space="preserve"> -</w:t>
      </w:r>
      <w:r w:rsidR="001F1FCD">
        <w:rPr>
          <w:rFonts w:hint="cs"/>
          <w:rtl/>
        </w:rPr>
        <w:tab/>
      </w:r>
      <w:r w:rsidRPr="002A6363">
        <w:rPr>
          <w:rtl/>
        </w:rPr>
        <w:t xml:space="preserve">وتنزع السياسات الناجحة الرامية إلى تحسين </w:t>
      </w:r>
      <w:r w:rsidRPr="002A6363">
        <w:rPr>
          <w:rFonts w:hint="cs"/>
          <w:rtl/>
        </w:rPr>
        <w:t xml:space="preserve">أوضاع </w:t>
      </w:r>
      <w:r w:rsidRPr="002A6363">
        <w:rPr>
          <w:rtl/>
        </w:rPr>
        <w:t>الأشخاص ذوي الإعاقة والحد من عدم المساواة التي يواجهونها إلى التصدي للحواجز الهيكلية في مجالات متعددة</w:t>
      </w:r>
      <w:r w:rsidRPr="002A6363">
        <w:rPr>
          <w:rFonts w:hint="cs"/>
          <w:rtl/>
        </w:rPr>
        <w:t>، وهي المجالات ال</w:t>
      </w:r>
      <w:r w:rsidRPr="002A6363">
        <w:rPr>
          <w:rtl/>
        </w:rPr>
        <w:t>اقتصادية و</w:t>
      </w:r>
      <w:r w:rsidRPr="002A6363">
        <w:rPr>
          <w:rFonts w:hint="cs"/>
          <w:rtl/>
        </w:rPr>
        <w:t>ال</w:t>
      </w:r>
      <w:r w:rsidRPr="002A6363">
        <w:rPr>
          <w:rtl/>
        </w:rPr>
        <w:t>اجتماعية و</w:t>
      </w:r>
      <w:r w:rsidRPr="002A6363">
        <w:rPr>
          <w:rFonts w:hint="cs"/>
          <w:rtl/>
        </w:rPr>
        <w:t>ال</w:t>
      </w:r>
      <w:r w:rsidRPr="002A6363">
        <w:rPr>
          <w:rtl/>
        </w:rPr>
        <w:t>بيئية و</w:t>
      </w:r>
      <w:r w:rsidRPr="002A6363">
        <w:rPr>
          <w:rFonts w:hint="cs"/>
          <w:rtl/>
        </w:rPr>
        <w:t>ال</w:t>
      </w:r>
      <w:r w:rsidRPr="002A6363">
        <w:rPr>
          <w:rtl/>
        </w:rPr>
        <w:t xml:space="preserve">سياسية. </w:t>
      </w:r>
      <w:r w:rsidRPr="002A6363">
        <w:rPr>
          <w:rFonts w:hint="cs"/>
          <w:rtl/>
        </w:rPr>
        <w:t xml:space="preserve">على أن </w:t>
      </w:r>
      <w:r w:rsidRPr="002A6363">
        <w:rPr>
          <w:rtl/>
        </w:rPr>
        <w:t xml:space="preserve">تلك الحواجز مترابطة ويعزز بعضها بعضا. ويتقاطع أيضا وصم الأشخاص والتمييز ضدهم بسبب إعاقتهم مع الحواجز الهيكلية القائمة، ويتعين التصدي لهما من خلال تدابير محددة الأهداف. </w:t>
      </w:r>
    </w:p>
    <w:p w:rsidR="002A6363" w:rsidRPr="002A6363" w:rsidRDefault="002A6363" w:rsidP="001F1FCD">
      <w:pPr>
        <w:pStyle w:val="SingleTxt"/>
        <w:rPr>
          <w:rtl/>
        </w:rPr>
      </w:pPr>
      <w:r w:rsidRPr="002A6363">
        <w:rPr>
          <w:rtl/>
        </w:rPr>
        <w:t>١٣</w:t>
      </w:r>
      <w:r w:rsidRPr="002A6363">
        <w:rPr>
          <w:rFonts w:hint="cs"/>
          <w:rtl/>
        </w:rPr>
        <w:t xml:space="preserve"> -</w:t>
      </w:r>
      <w:r w:rsidR="001F1FCD">
        <w:rPr>
          <w:rFonts w:hint="cs"/>
          <w:rtl/>
        </w:rPr>
        <w:tab/>
      </w:r>
      <w:r w:rsidRPr="002A6363">
        <w:rPr>
          <w:rtl/>
        </w:rPr>
        <w:t xml:space="preserve">وفي بعض البلدان، يجعل الافتقار إلى بيانات موثوقة فيما يتعلق بالأشخاص ذوي الإعاقة من الصعب وضع سياسة قائمة على الأدلة من أجل الحد من الفقر وعدم المساواة. ويجعل الافتقار إلى البيانات من الصعب أيضا بحث مدى معالجة السياسات القائمة، من حيث شكلها وتنفيذها، للشواغل </w:t>
      </w:r>
      <w:r w:rsidRPr="002A6363">
        <w:rPr>
          <w:rFonts w:hint="cs"/>
          <w:rtl/>
        </w:rPr>
        <w:t>التي يختص بها ا</w:t>
      </w:r>
      <w:r w:rsidRPr="002A6363">
        <w:rPr>
          <w:rtl/>
        </w:rPr>
        <w:t>لأشخاص ذو</w:t>
      </w:r>
      <w:r w:rsidRPr="002A6363">
        <w:rPr>
          <w:rFonts w:hint="cs"/>
          <w:rtl/>
        </w:rPr>
        <w:t>و</w:t>
      </w:r>
      <w:r w:rsidRPr="002A6363">
        <w:rPr>
          <w:rtl/>
        </w:rPr>
        <w:t xml:space="preserve"> الإعاقة. فلابد إذن من إجراء أبحاث لتحديد أوضاع واحتياجات الأشخاص ذوي الإعاقة. وعلى وجه الخصوص، ثمة حاجة إلى أدلة أعم على مدى تأثير الفقر على الإعاقة والعكس بالعكس بغية توجيه الموارد الكافية نحو تناول الإعاقة في إطار جهود الحد من الفقر. وثمة حاجة أيضا إلى مزيد من المعارف عن مدى التفاوت بين الأشخاص ذوي الإعاقة والأشخاص غير المعوقين، والأسباب الكامنة وراء تلك التفاوتات، وذلك ليُسترشد بها في وضع استراتيجيات </w:t>
      </w:r>
      <w:r w:rsidRPr="002A6363">
        <w:rPr>
          <w:rFonts w:hint="cs"/>
          <w:rtl/>
        </w:rPr>
        <w:t>ل</w:t>
      </w:r>
      <w:r w:rsidRPr="002A6363">
        <w:rPr>
          <w:rtl/>
        </w:rPr>
        <w:t xml:space="preserve">لحد من عدم المساواة. ولكي تكون هذه </w:t>
      </w:r>
      <w:r w:rsidRPr="002A6363">
        <w:rPr>
          <w:rFonts w:hint="cs"/>
          <w:rtl/>
        </w:rPr>
        <w:t xml:space="preserve">الأبحاث </w:t>
      </w:r>
      <w:r w:rsidRPr="002A6363">
        <w:rPr>
          <w:rtl/>
        </w:rPr>
        <w:t xml:space="preserve">فعالة، لا بد من أن ترتكز على الجهود الرامية إلى تحسين جمع البيانات، وذلك من خلال إشراك الأشخاص ذوي الإعاقة في التعدادات الوطنية وغيرها من الأدوات الإحصائية العامة ومن خلال </w:t>
      </w:r>
      <w:r w:rsidRPr="002A6363">
        <w:rPr>
          <w:rFonts w:hint="cs"/>
          <w:rtl/>
        </w:rPr>
        <w:t>إجراء</w:t>
      </w:r>
      <w:r w:rsidRPr="002A6363">
        <w:rPr>
          <w:rtl/>
        </w:rPr>
        <w:t xml:space="preserve"> دراسات استقصائية وطنية عن الإعاقة بصورة دورية على حد سواء.</w:t>
      </w:r>
    </w:p>
    <w:p w:rsidR="002A6363" w:rsidRPr="002A6363" w:rsidRDefault="002A6363" w:rsidP="001F1FCD">
      <w:pPr>
        <w:pStyle w:val="SingleTxt"/>
        <w:rPr>
          <w:rtl/>
        </w:rPr>
      </w:pPr>
      <w:r w:rsidRPr="002A6363">
        <w:rPr>
          <w:rtl/>
        </w:rPr>
        <w:t>١٤</w:t>
      </w:r>
      <w:r w:rsidRPr="002A6363">
        <w:rPr>
          <w:rFonts w:hint="cs"/>
          <w:rtl/>
        </w:rPr>
        <w:t xml:space="preserve"> -</w:t>
      </w:r>
      <w:r w:rsidR="001F1FCD">
        <w:rPr>
          <w:rFonts w:hint="cs"/>
          <w:rtl/>
        </w:rPr>
        <w:tab/>
      </w:r>
      <w:r w:rsidRPr="002A6363">
        <w:rPr>
          <w:rtl/>
        </w:rPr>
        <w:t xml:space="preserve">ومما يبعث على التفاؤل أن البلدان تعمل بشكل متزايد على إدراج مسألة الإعاقة في جهود الحد من الفقر وفي مجال الحد من عدم المساواة بين الأشخاص ذوي الإعاقة والأشخاص غير المعوقين. وقد تصدت بلدان عديدة لارتفاع معدلات الفقر وعدم المساواة في صفوف الأشخاص ذوي الإعاقة من خلال طائفة واسعة من التدخلات في مجال السياسة العامة التي </w:t>
      </w:r>
      <w:r w:rsidRPr="002A6363">
        <w:rPr>
          <w:rFonts w:hint="cs"/>
          <w:rtl/>
        </w:rPr>
        <w:t xml:space="preserve">ينصب تركيزها </w:t>
      </w:r>
      <w:r w:rsidRPr="002A6363">
        <w:rPr>
          <w:rtl/>
        </w:rPr>
        <w:t xml:space="preserve">على الإدماج الاجتماعي للأشخاص ذوي الإعاقة وسبل حصولهم على الخدمات الأساسية. </w:t>
      </w:r>
    </w:p>
    <w:p w:rsidR="002A6363" w:rsidRPr="002A6363" w:rsidRDefault="002A6363" w:rsidP="001F1FCD">
      <w:pPr>
        <w:pStyle w:val="SingleTxt"/>
        <w:rPr>
          <w:rtl/>
        </w:rPr>
      </w:pPr>
      <w:r w:rsidRPr="002A6363">
        <w:rPr>
          <w:rtl/>
        </w:rPr>
        <w:lastRenderedPageBreak/>
        <w:t>١٥</w:t>
      </w:r>
      <w:r w:rsidRPr="002A6363">
        <w:rPr>
          <w:rFonts w:hint="cs"/>
          <w:rtl/>
        </w:rPr>
        <w:t xml:space="preserve"> -</w:t>
      </w:r>
      <w:r w:rsidR="001F1FCD">
        <w:rPr>
          <w:rFonts w:hint="cs"/>
          <w:rtl/>
        </w:rPr>
        <w:tab/>
      </w:r>
      <w:r w:rsidRPr="002A6363">
        <w:rPr>
          <w:rtl/>
        </w:rPr>
        <w:t xml:space="preserve">وينبغي مواصلة النهوض بحقوق الأشخاص ذوي الإعاقة من خلال برامج التعاون الدولي في سياق تنفيذ خطة التنمية الشاملة للجميع بحلول عام 2030. وينبغي للمشاريع الممولة من الوكالات الثنائية والمتعددة الأطراف أن تشمل مسائل الإعاقة والمعوقين </w:t>
      </w:r>
      <w:r w:rsidRPr="002A6363">
        <w:rPr>
          <w:rFonts w:hint="cs"/>
          <w:rtl/>
        </w:rPr>
        <w:t xml:space="preserve">ووجهات نظرهم </w:t>
      </w:r>
      <w:r w:rsidRPr="002A6363">
        <w:rPr>
          <w:rtl/>
        </w:rPr>
        <w:t>ورفاههم. وتبذل عدة وكالات ثنائية جهودا رائدة في هذا الصدد. ومن المهم أيضا الإدماج الكامل للأشخاص ذوي الإعاقة في أشكال أخرى من التعاون الإنمائي الدولي، بما في ذلك التعاون فيما بين بلدان الجنوب. وداخل منظومة الأمم المتحدة، تتصدى الوكالات أيضا في برامجها للفقر وعدم المساواة لدى الأشخاص ذوي الإعاقة</w:t>
      </w:r>
      <w:r w:rsidR="001F1FCD" w:rsidRPr="001F1FCD">
        <w:rPr>
          <w:vertAlign w:val="superscript"/>
          <w:rtl/>
        </w:rPr>
        <w:t>(</w:t>
      </w:r>
      <w:r w:rsidR="001F1FCD" w:rsidRPr="001F1FCD">
        <w:rPr>
          <w:rStyle w:val="FootnoteReference"/>
          <w:szCs w:val="30"/>
          <w:rtl/>
        </w:rPr>
        <w:footnoteReference w:id="9"/>
      </w:r>
      <w:r w:rsidR="001F1FCD" w:rsidRPr="001F1FCD">
        <w:rPr>
          <w:vertAlign w:val="superscript"/>
          <w:rtl/>
        </w:rPr>
        <w:t>)</w:t>
      </w:r>
      <w:r w:rsidRPr="002A6363">
        <w:rPr>
          <w:rtl/>
        </w:rPr>
        <w:t>.</w:t>
      </w:r>
    </w:p>
    <w:p w:rsidR="002A6363" w:rsidRPr="002A6363" w:rsidRDefault="002A6363" w:rsidP="002A6363">
      <w:pPr>
        <w:pStyle w:val="SingleTxt"/>
        <w:rPr>
          <w:rtl/>
        </w:rPr>
      </w:pPr>
      <w:r w:rsidRPr="002A6363">
        <w:rPr>
          <w:rtl/>
        </w:rPr>
        <w:t>١٦</w:t>
      </w:r>
      <w:r w:rsidRPr="002A6363">
        <w:rPr>
          <w:rFonts w:hint="cs"/>
          <w:rtl/>
        </w:rPr>
        <w:t xml:space="preserve"> -</w:t>
      </w:r>
      <w:r w:rsidR="00601C5C">
        <w:rPr>
          <w:rFonts w:hint="cs"/>
          <w:rtl/>
        </w:rPr>
        <w:tab/>
      </w:r>
      <w:bookmarkStart w:id="1" w:name="TmpSave"/>
      <w:bookmarkEnd w:id="1"/>
      <w:r w:rsidRPr="002A6363">
        <w:rPr>
          <w:rtl/>
        </w:rPr>
        <w:t xml:space="preserve">وجرى التأكيد أيضا في عدة قرارات للجمعية العامة، مثل القرار </w:t>
      </w:r>
      <w:hyperlink r:id="rId16" w:history="1">
        <w:r w:rsidRPr="00950EA4">
          <w:rPr>
            <w:rStyle w:val="Hyperlink"/>
            <w:rtl/>
          </w:rPr>
          <w:t>69/142</w:t>
        </w:r>
      </w:hyperlink>
      <w:r w:rsidRPr="002A6363">
        <w:rPr>
          <w:rFonts w:hint="cs"/>
          <w:rtl/>
        </w:rPr>
        <w:t xml:space="preserve">، </w:t>
      </w:r>
      <w:r w:rsidRPr="002A6363">
        <w:rPr>
          <w:rtl/>
        </w:rPr>
        <w:t>على أهمية وقيمة زيادة مشاركة الأشخاص ذوي الإعاقة. وتضطلع الحكومات والهيئات التشريعية على جميع المستويات بأدوار رئيسية في تعزيز التنمية الشاملة لمسائل الإعاقة. ومن خلال مشاركة الجمهور والتعاطي مع المواطنين وأصح</w:t>
      </w:r>
      <w:r w:rsidR="001F1FCD">
        <w:rPr>
          <w:rtl/>
        </w:rPr>
        <w:t>اب المصلحة، لا سيما الأشخاص ذوو</w:t>
      </w:r>
      <w:r w:rsidR="001F1FCD">
        <w:rPr>
          <w:rFonts w:hint="cs"/>
          <w:rtl/>
        </w:rPr>
        <w:t> </w:t>
      </w:r>
      <w:r w:rsidRPr="002A6363">
        <w:rPr>
          <w:rtl/>
        </w:rPr>
        <w:t xml:space="preserve">الإعاقة ومنظماتهم، وتوفير المعلومات ذات الصلة، يمكن تنفيذ السياسات والبرامج التي تستجيب للشواغل وتستهدف الأسباب </w:t>
      </w:r>
      <w:r w:rsidRPr="002A6363">
        <w:rPr>
          <w:rFonts w:hint="cs"/>
          <w:rtl/>
        </w:rPr>
        <w:t>الكامنة وراء ا</w:t>
      </w:r>
      <w:r w:rsidRPr="002A6363">
        <w:rPr>
          <w:rtl/>
        </w:rPr>
        <w:t xml:space="preserve">لفقر وعدم المساواة </w:t>
      </w:r>
      <w:r w:rsidRPr="002A6363">
        <w:rPr>
          <w:rFonts w:hint="cs"/>
          <w:rtl/>
        </w:rPr>
        <w:t xml:space="preserve">في صفوف </w:t>
      </w:r>
      <w:r w:rsidRPr="002A6363">
        <w:rPr>
          <w:rtl/>
        </w:rPr>
        <w:t xml:space="preserve">الأشخاص ذوي الإعاقة. </w:t>
      </w:r>
    </w:p>
    <w:p w:rsidR="002A6363" w:rsidRPr="001F1FCD" w:rsidRDefault="002A6363" w:rsidP="001F1FCD">
      <w:pPr>
        <w:pStyle w:val="SingleTxt"/>
        <w:spacing w:after="0" w:line="120" w:lineRule="exact"/>
        <w:rPr>
          <w:sz w:val="10"/>
          <w:rtl/>
        </w:rPr>
      </w:pPr>
    </w:p>
    <w:p w:rsidR="002A6363" w:rsidRPr="002A6363" w:rsidRDefault="001F1FCD" w:rsidP="001F1FC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2A6363" w:rsidRPr="002A6363">
        <w:rPr>
          <w:rFonts w:hint="cs"/>
          <w:rtl/>
        </w:rPr>
        <w:tab/>
      </w:r>
      <w:r w:rsidR="002A6363" w:rsidRPr="002A6363">
        <w:rPr>
          <w:rtl/>
        </w:rPr>
        <w:t>سبل المضي قدما</w:t>
      </w:r>
    </w:p>
    <w:p w:rsidR="002A6363" w:rsidRPr="002A6363" w:rsidRDefault="002A6363" w:rsidP="002A6363">
      <w:pPr>
        <w:pStyle w:val="SingleTxt"/>
        <w:rPr>
          <w:rtl/>
        </w:rPr>
      </w:pPr>
      <w:r w:rsidRPr="002A6363">
        <w:rPr>
          <w:rtl/>
        </w:rPr>
        <w:t>١٧</w:t>
      </w:r>
      <w:r w:rsidRPr="002A6363">
        <w:rPr>
          <w:rFonts w:hint="cs"/>
          <w:rtl/>
        </w:rPr>
        <w:t xml:space="preserve"> -</w:t>
      </w:r>
      <w:r w:rsidR="001F1FCD">
        <w:rPr>
          <w:rFonts w:hint="cs"/>
          <w:rtl/>
        </w:rPr>
        <w:tab/>
      </w:r>
      <w:r w:rsidRPr="002A6363">
        <w:rPr>
          <w:rtl/>
        </w:rPr>
        <w:t>يؤدي إدراج الأشخاص ذوي الإعاقة في جميع جهود التنمية دورا أساسيا في القضاء على الفقر وتحقيق تكافؤ الفرص، وهما أمران أساسيان لت</w:t>
      </w:r>
      <w:r w:rsidR="001F1FCD">
        <w:rPr>
          <w:rtl/>
        </w:rPr>
        <w:t>نفيذ خطة التنمية المستدامة لعام</w:t>
      </w:r>
      <w:r w:rsidR="001F1FCD">
        <w:rPr>
          <w:rFonts w:hint="cs"/>
          <w:rtl/>
        </w:rPr>
        <w:t> </w:t>
      </w:r>
      <w:r w:rsidRPr="002A6363">
        <w:rPr>
          <w:rtl/>
        </w:rPr>
        <w:t xml:space="preserve">2030. </w:t>
      </w:r>
    </w:p>
    <w:p w:rsidR="002A6363" w:rsidRPr="002A6363" w:rsidRDefault="002A6363" w:rsidP="001F1FCD">
      <w:pPr>
        <w:pStyle w:val="SingleTxt"/>
        <w:rPr>
          <w:rtl/>
        </w:rPr>
      </w:pPr>
      <w:r w:rsidRPr="002A6363">
        <w:rPr>
          <w:rtl/>
        </w:rPr>
        <w:t>١٨</w:t>
      </w:r>
      <w:r w:rsidRPr="002A6363">
        <w:rPr>
          <w:rFonts w:hint="cs"/>
          <w:rtl/>
        </w:rPr>
        <w:t xml:space="preserve"> -</w:t>
      </w:r>
      <w:r w:rsidR="001F1FCD">
        <w:rPr>
          <w:rFonts w:hint="cs"/>
          <w:rtl/>
        </w:rPr>
        <w:tab/>
      </w:r>
      <w:r w:rsidRPr="002A6363">
        <w:rPr>
          <w:rtl/>
        </w:rPr>
        <w:t>وقبل عام 2015، دعت الجمعية العامة، في سلسلة من القرارات، إلى تحقيق الأهداف الإنمائية المتفق عليها دوليا فيما يتعلق بالأشخاص ذوي الإعاقة</w:t>
      </w:r>
      <w:r w:rsidR="001F1FCD" w:rsidRPr="001F1FCD">
        <w:rPr>
          <w:vertAlign w:val="superscript"/>
          <w:rtl/>
        </w:rPr>
        <w:t>(</w:t>
      </w:r>
      <w:r w:rsidR="001F1FCD" w:rsidRPr="001F1FCD">
        <w:rPr>
          <w:rStyle w:val="FootnoteReference"/>
          <w:szCs w:val="30"/>
          <w:rtl/>
        </w:rPr>
        <w:footnoteReference w:id="10"/>
      </w:r>
      <w:r w:rsidR="001F1FCD" w:rsidRPr="001F1FCD">
        <w:rPr>
          <w:vertAlign w:val="superscript"/>
          <w:rtl/>
        </w:rPr>
        <w:t>)</w:t>
      </w:r>
      <w:r w:rsidRPr="002A6363">
        <w:rPr>
          <w:rtl/>
        </w:rPr>
        <w:t xml:space="preserve">. ومن خلال اعتماد خطة عام 2030، أقر المجتمع الدولي بالحاجة الملحة إلى تناول الإعاقة في جهود الحد من الفقر وعدم المساواة. </w:t>
      </w:r>
    </w:p>
    <w:p w:rsidR="002A6363" w:rsidRPr="002A6363" w:rsidRDefault="002A6363" w:rsidP="002A6363">
      <w:pPr>
        <w:pStyle w:val="SingleTxt"/>
        <w:rPr>
          <w:rtl/>
        </w:rPr>
      </w:pPr>
      <w:r w:rsidRPr="002A6363">
        <w:rPr>
          <w:rtl/>
        </w:rPr>
        <w:t>١٩</w:t>
      </w:r>
      <w:r w:rsidRPr="002A6363">
        <w:rPr>
          <w:rFonts w:hint="cs"/>
          <w:rtl/>
        </w:rPr>
        <w:t xml:space="preserve"> -</w:t>
      </w:r>
      <w:r w:rsidR="001F1FCD">
        <w:rPr>
          <w:rFonts w:hint="cs"/>
          <w:rtl/>
        </w:rPr>
        <w:tab/>
      </w:r>
      <w:r w:rsidRPr="002A6363">
        <w:rPr>
          <w:rtl/>
        </w:rPr>
        <w:t>وهناك وعي متزايد بأن إدماج الأشخاص ذوي الإعاقة ورفاههم ووجهات نظرهم يمكن أن تشكل قوة دافعة لتنفيذ خطة عام 2030.</w:t>
      </w:r>
    </w:p>
    <w:p w:rsidR="002A6363" w:rsidRPr="002A6363" w:rsidRDefault="002A6363" w:rsidP="002A6363">
      <w:pPr>
        <w:pStyle w:val="SingleTxt"/>
        <w:rPr>
          <w:rtl/>
        </w:rPr>
      </w:pPr>
    </w:p>
    <w:p w:rsidR="002A6363" w:rsidRPr="002A6363" w:rsidRDefault="001F1FCD" w:rsidP="001F1FC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Pr>
          <w:rFonts w:hint="cs"/>
          <w:rtl/>
        </w:rPr>
        <w:tab/>
      </w:r>
      <w:r w:rsidR="002A6363" w:rsidRPr="002A6363">
        <w:rPr>
          <w:rtl/>
        </w:rPr>
        <w:t xml:space="preserve">أسئلة مطروحة للنظر فيها </w:t>
      </w:r>
    </w:p>
    <w:p w:rsidR="002A6363" w:rsidRPr="002A6363" w:rsidRDefault="002A6363" w:rsidP="002A6363">
      <w:pPr>
        <w:pStyle w:val="SingleTxt"/>
        <w:rPr>
          <w:rtl/>
        </w:rPr>
      </w:pPr>
      <w:r w:rsidRPr="002A6363">
        <w:rPr>
          <w:b/>
          <w:rtl/>
        </w:rPr>
        <w:t>١</w:t>
      </w:r>
      <w:r w:rsidRPr="002A6363">
        <w:rPr>
          <w:rFonts w:hint="cs"/>
          <w:b/>
          <w:rtl/>
        </w:rPr>
        <w:t xml:space="preserve"> -</w:t>
      </w:r>
      <w:r w:rsidR="001F1FCD">
        <w:rPr>
          <w:rFonts w:hint="cs"/>
          <w:b/>
          <w:rtl/>
        </w:rPr>
        <w:tab/>
      </w:r>
      <w:r w:rsidRPr="002A6363">
        <w:rPr>
          <w:b/>
          <w:rtl/>
        </w:rPr>
        <w:t xml:space="preserve">ما هي التدابير التي </w:t>
      </w:r>
      <w:r w:rsidRPr="002A6363">
        <w:rPr>
          <w:rFonts w:hint="cs"/>
          <w:b/>
          <w:rtl/>
        </w:rPr>
        <w:t>تتخذها</w:t>
      </w:r>
      <w:r w:rsidRPr="002A6363">
        <w:rPr>
          <w:b/>
          <w:rtl/>
        </w:rPr>
        <w:t xml:space="preserve"> الدول وسائر الجهات المعنية من أجل الحد من الفقر وعدم المساواة بالنسبة للأشخاص ذوي الإعاقة؟ </w:t>
      </w:r>
    </w:p>
    <w:p w:rsidR="002A6363" w:rsidRPr="002A6363" w:rsidRDefault="002A6363" w:rsidP="002A6363">
      <w:pPr>
        <w:pStyle w:val="SingleTxt"/>
        <w:rPr>
          <w:rtl/>
        </w:rPr>
      </w:pPr>
      <w:r w:rsidRPr="002A6363">
        <w:rPr>
          <w:b/>
          <w:rtl/>
        </w:rPr>
        <w:t>٢</w:t>
      </w:r>
      <w:r w:rsidRPr="002A6363">
        <w:rPr>
          <w:rFonts w:hint="cs"/>
          <w:b/>
          <w:rtl/>
        </w:rPr>
        <w:t xml:space="preserve"> -</w:t>
      </w:r>
      <w:r w:rsidR="001F1FCD">
        <w:rPr>
          <w:rFonts w:hint="cs"/>
          <w:b/>
          <w:rtl/>
        </w:rPr>
        <w:tab/>
      </w:r>
      <w:r w:rsidRPr="002A6363">
        <w:rPr>
          <w:b/>
          <w:rtl/>
        </w:rPr>
        <w:t xml:space="preserve">ما هي التدابير التي </w:t>
      </w:r>
      <w:r w:rsidRPr="002A6363">
        <w:rPr>
          <w:rFonts w:hint="cs"/>
          <w:b/>
          <w:rtl/>
        </w:rPr>
        <w:t>ت</w:t>
      </w:r>
      <w:r w:rsidRPr="002A6363">
        <w:rPr>
          <w:b/>
          <w:rtl/>
        </w:rPr>
        <w:t>تخذها الدول وسائر الجهات المعنية من أجل تعميم مراعاة مسائل الإعاقة في سياساتها الإنمائية الوطنية وبرامجها المتعلقة بالحد من الفقر وعدم المساواة؟</w:t>
      </w:r>
    </w:p>
    <w:p w:rsidR="002A6363" w:rsidRPr="002A6363" w:rsidRDefault="002A6363" w:rsidP="001F1FCD">
      <w:pPr>
        <w:pStyle w:val="SingleTxt"/>
        <w:rPr>
          <w:rtl/>
        </w:rPr>
      </w:pPr>
      <w:r w:rsidRPr="002A6363">
        <w:rPr>
          <w:b/>
          <w:rtl/>
        </w:rPr>
        <w:t>٣</w:t>
      </w:r>
      <w:r w:rsidRPr="002A6363">
        <w:rPr>
          <w:rFonts w:hint="cs"/>
          <w:b/>
          <w:rtl/>
        </w:rPr>
        <w:t xml:space="preserve"> -</w:t>
      </w:r>
      <w:r w:rsidR="001F1FCD">
        <w:rPr>
          <w:rFonts w:hint="cs"/>
          <w:b/>
          <w:rtl/>
        </w:rPr>
        <w:tab/>
      </w:r>
      <w:r w:rsidRPr="002A6363">
        <w:rPr>
          <w:b/>
          <w:rtl/>
        </w:rPr>
        <w:t xml:space="preserve">إلى أي مدى تضمن تلك التدابير المتخذة، بما فيها السياسات والبرامج التي اعتمدتها الدول وسائر الجهات المعنية، اشتمال استراتيجياتها للحد من الفقر وعدم المساواة على الأشخاص ذوي الإعاقة ومراعاتها </w:t>
      </w:r>
      <w:r w:rsidRPr="002A6363">
        <w:rPr>
          <w:rFonts w:hint="cs"/>
          <w:b/>
          <w:rtl/>
        </w:rPr>
        <w:t xml:space="preserve">لأوضاعهم </w:t>
      </w:r>
      <w:r w:rsidRPr="002A6363">
        <w:rPr>
          <w:b/>
          <w:rtl/>
        </w:rPr>
        <w:t xml:space="preserve">في التنمية الاقتصادية والاجتماعية؟ </w:t>
      </w:r>
    </w:p>
    <w:p w:rsidR="002A6363" w:rsidRPr="002A6363" w:rsidRDefault="002A6363" w:rsidP="00F133A5">
      <w:pPr>
        <w:pStyle w:val="SingleTxt"/>
        <w:rPr>
          <w:rtl/>
        </w:rPr>
      </w:pPr>
      <w:r w:rsidRPr="002A6363">
        <w:rPr>
          <w:b/>
          <w:rtl/>
        </w:rPr>
        <w:t>٤</w:t>
      </w:r>
      <w:r w:rsidRPr="002A6363">
        <w:rPr>
          <w:rFonts w:hint="cs"/>
          <w:b/>
          <w:rtl/>
        </w:rPr>
        <w:t xml:space="preserve"> -</w:t>
      </w:r>
      <w:r w:rsidR="001F1FCD">
        <w:rPr>
          <w:rFonts w:hint="cs"/>
          <w:b/>
          <w:rtl/>
        </w:rPr>
        <w:tab/>
      </w:r>
      <w:r w:rsidRPr="002A6363">
        <w:rPr>
          <w:b/>
          <w:rtl/>
        </w:rPr>
        <w:t xml:space="preserve">ما هي التدابير </w:t>
      </w:r>
      <w:r w:rsidRPr="002A6363">
        <w:rPr>
          <w:rFonts w:hint="cs"/>
          <w:b/>
          <w:rtl/>
        </w:rPr>
        <w:t xml:space="preserve">التي تكتسي أهمية بالغة </w:t>
      </w:r>
      <w:r w:rsidRPr="002A6363">
        <w:rPr>
          <w:b/>
          <w:rtl/>
        </w:rPr>
        <w:t xml:space="preserve">لضمان </w:t>
      </w:r>
      <w:r w:rsidRPr="002A6363">
        <w:rPr>
          <w:rFonts w:hint="cs"/>
          <w:b/>
          <w:rtl/>
        </w:rPr>
        <w:t xml:space="preserve">تناول </w:t>
      </w:r>
      <w:r w:rsidRPr="002A6363">
        <w:rPr>
          <w:b/>
          <w:rtl/>
        </w:rPr>
        <w:t>خطة</w:t>
      </w:r>
      <w:r w:rsidR="00F133A5">
        <w:rPr>
          <w:rFonts w:hint="cs"/>
          <w:b/>
          <w:rtl/>
        </w:rPr>
        <w:t xml:space="preserve"> عام</w:t>
      </w:r>
      <w:r w:rsidRPr="002A6363">
        <w:rPr>
          <w:b/>
          <w:rtl/>
        </w:rPr>
        <w:t xml:space="preserve"> 2030 لمسائل الفقر وعدم المساواة لدى الأشخاص ذوي الإعاقة من خلال وضع سياسات وبرامج شاملة؟</w:t>
      </w:r>
    </w:p>
    <w:p w:rsidR="001E23D3" w:rsidRPr="001F1FCD" w:rsidRDefault="001F1FCD" w:rsidP="001F1FCD">
      <w:pPr>
        <w:pStyle w:val="SingleTxt"/>
        <w:spacing w:after="0" w:line="240" w:lineRule="auto"/>
      </w:pPr>
      <w:r>
        <w:rPr>
          <w:rFonts w:hint="cs"/>
          <w:noProof/>
          <w:w w:val="100"/>
          <w:lang w:val="en-GB" w:eastAsia="zh-CN"/>
        </w:rPr>
        <mc:AlternateContent>
          <mc:Choice Requires="wps">
            <w:drawing>
              <wp:anchor distT="0" distB="0" distL="114300" distR="114300" simplePos="0" relativeHeight="251660288" behindDoc="0" locked="0" layoutInCell="1" allowOverlap="1" wp14:anchorId="21EECB1C" wp14:editId="60F2B295">
                <wp:simplePos x="0" y="0"/>
                <wp:positionH relativeFrom="column">
                  <wp:posOffset>2623820</wp:posOffset>
                </wp:positionH>
                <wp:positionV relativeFrom="paragraph">
                  <wp:posOffset>304800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Co&#10;TfRG2QEAAAwEAAAOAAAAAAAAAAAAAAAAAC4CAABkcnMvZTJvRG9jLnhtbFBLAQItABQABgAIAAAA&#10;IQBl0pba3wAAAAkBAAAPAAAAAAAAAAAAAAAAADMEAABkcnMvZG93bnJldi54bWxQSwUGAAAAAAQA&#10;BADzAAAAPwUAAAAA&#10;" strokecolor="#010000" strokeweight=".25pt"/>
            </w:pict>
          </mc:Fallback>
        </mc:AlternateContent>
      </w:r>
    </w:p>
    <w:sectPr w:rsidR="001E23D3" w:rsidRPr="001F1FCD" w:rsidSect="001E23D3">
      <w:endnotePr>
        <w:numFmt w:val="decimal"/>
      </w:endnotePr>
      <w:type w:val="continuous"/>
      <w:pgSz w:w="12240" w:h="15840" w:code="1"/>
      <w:pgMar w:top="1742" w:right="1200" w:bottom="1898" w:left="1200"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846" w:rsidRDefault="00745846" w:rsidP="00693CF9">
      <w:pPr>
        <w:spacing w:line="240" w:lineRule="auto"/>
      </w:pPr>
      <w:r>
        <w:separator/>
      </w:r>
    </w:p>
  </w:endnote>
  <w:endnote w:type="continuationSeparator" w:id="0">
    <w:p w:rsidR="00745846" w:rsidRDefault="00745846"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1E23D3" w:rsidTr="001E23D3">
      <w:tc>
        <w:tcPr>
          <w:tcW w:w="5028" w:type="dxa"/>
          <w:shd w:val="clear" w:color="auto" w:fill="auto"/>
        </w:tcPr>
        <w:p w:rsidR="001E23D3" w:rsidRPr="001E23D3" w:rsidRDefault="001E23D3" w:rsidP="001E23D3">
          <w:pPr>
            <w:pStyle w:val="Footer"/>
            <w:rPr>
              <w:w w:val="103"/>
            </w:rPr>
          </w:pPr>
          <w:r>
            <w:rPr>
              <w:w w:val="103"/>
            </w:rPr>
            <w:fldChar w:fldCharType="begin"/>
          </w:r>
          <w:r>
            <w:rPr>
              <w:w w:val="103"/>
            </w:rPr>
            <w:instrText xml:space="preserve"> PAGE  \* Arabic  \* MERGEFORMAT </w:instrText>
          </w:r>
          <w:r>
            <w:rPr>
              <w:w w:val="103"/>
            </w:rPr>
            <w:fldChar w:fldCharType="separate"/>
          </w:r>
          <w:r w:rsidR="00C5374F">
            <w:rPr>
              <w:noProof/>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5374F">
            <w:rPr>
              <w:noProof/>
              <w:w w:val="103"/>
            </w:rPr>
            <w:t>8</w:t>
          </w:r>
          <w:r>
            <w:rPr>
              <w:w w:val="103"/>
            </w:rPr>
            <w:fldChar w:fldCharType="end"/>
          </w:r>
        </w:p>
      </w:tc>
      <w:tc>
        <w:tcPr>
          <w:tcW w:w="5028" w:type="dxa"/>
          <w:shd w:val="clear" w:color="auto" w:fill="auto"/>
        </w:tcPr>
        <w:p w:rsidR="001E23D3" w:rsidRPr="001E23D3" w:rsidRDefault="001E23D3" w:rsidP="001E23D3">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6B4DA8">
            <w:rPr>
              <w:b w:val="0"/>
              <w:w w:val="103"/>
            </w:rPr>
            <w:t>16-03537</w:t>
          </w:r>
          <w:r>
            <w:rPr>
              <w:b w:val="0"/>
              <w:w w:val="103"/>
            </w:rPr>
            <w:fldChar w:fldCharType="end"/>
          </w:r>
        </w:p>
      </w:tc>
    </w:tr>
  </w:tbl>
  <w:p w:rsidR="001E23D3" w:rsidRPr="001E23D3" w:rsidRDefault="001E23D3" w:rsidP="001E2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1E23D3" w:rsidTr="001E23D3">
      <w:tc>
        <w:tcPr>
          <w:tcW w:w="5028" w:type="dxa"/>
          <w:shd w:val="clear" w:color="auto" w:fill="auto"/>
        </w:tcPr>
        <w:p w:rsidR="001E23D3" w:rsidRPr="001E23D3" w:rsidRDefault="001E23D3" w:rsidP="001E23D3">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6B4DA8">
            <w:rPr>
              <w:b w:val="0"/>
              <w:w w:val="103"/>
            </w:rPr>
            <w:t>16-03537</w:t>
          </w:r>
          <w:r>
            <w:rPr>
              <w:b w:val="0"/>
              <w:w w:val="103"/>
            </w:rPr>
            <w:fldChar w:fldCharType="end"/>
          </w:r>
        </w:p>
      </w:tc>
      <w:tc>
        <w:tcPr>
          <w:tcW w:w="5028" w:type="dxa"/>
          <w:shd w:val="clear" w:color="auto" w:fill="auto"/>
        </w:tcPr>
        <w:p w:rsidR="001E23D3" w:rsidRPr="001E23D3" w:rsidRDefault="001E23D3" w:rsidP="001E23D3">
          <w:pPr>
            <w:pStyle w:val="Footer"/>
            <w:jc w:val="left"/>
            <w:rPr>
              <w:w w:val="103"/>
            </w:rPr>
          </w:pPr>
          <w:r>
            <w:rPr>
              <w:w w:val="103"/>
            </w:rPr>
            <w:fldChar w:fldCharType="begin"/>
          </w:r>
          <w:r>
            <w:rPr>
              <w:w w:val="103"/>
            </w:rPr>
            <w:instrText xml:space="preserve"> PAGE  \* Arabic  \* MERGEFORMAT </w:instrText>
          </w:r>
          <w:r>
            <w:rPr>
              <w:w w:val="103"/>
            </w:rPr>
            <w:fldChar w:fldCharType="separate"/>
          </w:r>
          <w:r w:rsidR="00C5374F">
            <w:rPr>
              <w:noProof/>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5374F">
            <w:rPr>
              <w:noProof/>
              <w:w w:val="103"/>
            </w:rPr>
            <w:t>7</w:t>
          </w:r>
          <w:r>
            <w:rPr>
              <w:w w:val="103"/>
            </w:rPr>
            <w:fldChar w:fldCharType="end"/>
          </w:r>
        </w:p>
      </w:tc>
    </w:tr>
  </w:tbl>
  <w:p w:rsidR="001E23D3" w:rsidRPr="001E23D3" w:rsidRDefault="001E23D3" w:rsidP="001E2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3888"/>
      <w:gridCol w:w="5028"/>
    </w:tblGrid>
    <w:tr w:rsidR="001E23D3" w:rsidTr="001E23D3">
      <w:trPr>
        <w:jc w:val="right"/>
      </w:trPr>
      <w:tc>
        <w:tcPr>
          <w:tcW w:w="3888" w:type="dxa"/>
        </w:tcPr>
        <w:p w:rsidR="001E23D3" w:rsidRDefault="001E23D3" w:rsidP="001E23D3">
          <w:pPr>
            <w:pStyle w:val="Footer"/>
            <w:spacing w:line="240" w:lineRule="atLeast"/>
            <w:jc w:val="left"/>
            <w:rPr>
              <w:rFonts w:cs="Times New Roman"/>
              <w:b w:val="0"/>
              <w:w w:val="103"/>
              <w:sz w:val="20"/>
            </w:rPr>
          </w:pPr>
          <w:r>
            <w:rPr>
              <w:rFonts w:cs="Times New Roman"/>
              <w:b w:val="0"/>
              <w:noProof/>
              <w:w w:val="103"/>
              <w:sz w:val="20"/>
              <w:lang w:val="en-GB" w:eastAsia="zh-CN"/>
            </w:rPr>
            <w:drawing>
              <wp:anchor distT="0" distB="0" distL="114300" distR="114300" simplePos="0" relativeHeight="251658240" behindDoc="0" locked="0" layoutInCell="1" allowOverlap="1" wp14:anchorId="7013FBED" wp14:editId="49B4AA88">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CRPD/CSP/2016/2&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RPD/CSP/2016/2&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zh-CN"/>
            </w:rPr>
            <w:drawing>
              <wp:inline distT="0" distB="0" distL="0" distR="0" wp14:anchorId="32FF11C7" wp14:editId="7E59C81F">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028" w:type="dxa"/>
        </w:tcPr>
        <w:p w:rsidR="001E23D3" w:rsidRDefault="001E23D3" w:rsidP="001E23D3">
          <w:pPr>
            <w:pStyle w:val="ReleaseDate"/>
          </w:pPr>
          <w:r>
            <w:t xml:space="preserve">080416    080416    </w:t>
          </w:r>
          <w:r w:rsidR="00745846">
            <w:fldChar w:fldCharType="begin"/>
          </w:r>
          <w:r w:rsidR="00745846">
            <w:instrText xml:space="preserve"> DOCVARIABLE "jobn" \* MERGEFORMAT </w:instrText>
          </w:r>
          <w:r w:rsidR="00745846">
            <w:fldChar w:fldCharType="separate"/>
          </w:r>
          <w:r w:rsidR="006B4DA8">
            <w:t>16-03537 (A)</w:t>
          </w:r>
          <w:r w:rsidR="00745846">
            <w:fldChar w:fldCharType="end"/>
          </w:r>
        </w:p>
        <w:p w:rsidR="001E23D3" w:rsidRPr="001E23D3" w:rsidRDefault="001E23D3" w:rsidP="001E23D3">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6B4DA8">
            <w:rPr>
              <w:rFonts w:ascii="Barcode 3 of 9 by request" w:hAnsi="Barcode 3 of 9 by request"/>
              <w:sz w:val="24"/>
            </w:rPr>
            <w:t>*1603537*</w:t>
          </w:r>
          <w:r>
            <w:rPr>
              <w:rFonts w:ascii="Barcode 3 of 9 by request" w:hAnsi="Barcode 3 of 9 by request"/>
              <w:sz w:val="24"/>
            </w:rPr>
            <w:fldChar w:fldCharType="end"/>
          </w:r>
        </w:p>
      </w:tc>
    </w:tr>
  </w:tbl>
  <w:p w:rsidR="001E23D3" w:rsidRPr="001E23D3" w:rsidRDefault="001E23D3" w:rsidP="001E23D3">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846" w:rsidRPr="001F1FCD" w:rsidRDefault="00745846" w:rsidP="001F1FCD">
      <w:pPr>
        <w:pStyle w:val="Footer"/>
        <w:bidi/>
        <w:spacing w:after="80"/>
        <w:ind w:left="792"/>
        <w:jc w:val="left"/>
        <w:rPr>
          <w:sz w:val="16"/>
        </w:rPr>
      </w:pPr>
      <w:r w:rsidRPr="001F1FCD">
        <w:rPr>
          <w:sz w:val="16"/>
          <w:rtl/>
        </w:rPr>
        <w:t>__________</w:t>
      </w:r>
    </w:p>
  </w:footnote>
  <w:footnote w:type="continuationSeparator" w:id="0">
    <w:p w:rsidR="00745846" w:rsidRPr="001F1FCD" w:rsidRDefault="00745846" w:rsidP="001F1FCD">
      <w:pPr>
        <w:pStyle w:val="Footer"/>
        <w:bidi/>
        <w:spacing w:after="80"/>
        <w:ind w:left="792"/>
        <w:jc w:val="left"/>
        <w:rPr>
          <w:sz w:val="16"/>
        </w:rPr>
      </w:pPr>
      <w:r w:rsidRPr="001F1FCD">
        <w:rPr>
          <w:sz w:val="16"/>
          <w:rtl/>
        </w:rPr>
        <w:t>__________</w:t>
      </w:r>
    </w:p>
  </w:footnote>
  <w:footnote w:id="1">
    <w:p w:rsidR="00AC523A" w:rsidRPr="00AC523A" w:rsidRDefault="00AC523A" w:rsidP="00AC523A">
      <w:pPr>
        <w:pStyle w:val="FootnoteText"/>
        <w:tabs>
          <w:tab w:val="clear" w:pos="418"/>
          <w:tab w:val="right" w:pos="1195"/>
          <w:tab w:val="left" w:pos="1267"/>
          <w:tab w:val="left" w:pos="1656"/>
          <w:tab w:val="left" w:pos="2088"/>
        </w:tabs>
        <w:spacing w:after="80"/>
        <w:ind w:left="1267" w:right="1267" w:hanging="547"/>
        <w:rPr>
          <w:w w:val="103"/>
        </w:rPr>
      </w:pPr>
      <w:r>
        <w:rPr>
          <w:rtl/>
        </w:rPr>
        <w:tab/>
      </w:r>
      <w:r w:rsidRPr="00AC523A">
        <w:rPr>
          <w:w w:val="103"/>
          <w:rtl/>
        </w:rPr>
        <w:t>(</w:t>
      </w:r>
      <w:r w:rsidRPr="00AC523A">
        <w:rPr>
          <w:rStyle w:val="FootnoteReference"/>
          <w:spacing w:val="0"/>
          <w:vertAlign w:val="baseline"/>
          <w:rtl/>
        </w:rPr>
        <w:footnoteRef/>
      </w:r>
      <w:r w:rsidRPr="00AC523A">
        <w:rPr>
          <w:w w:val="103"/>
          <w:rtl/>
        </w:rPr>
        <w:t>)</w:t>
      </w:r>
      <w:r w:rsidRPr="00AC523A">
        <w:rPr>
          <w:w w:val="103"/>
          <w:rtl/>
        </w:rPr>
        <w:tab/>
      </w:r>
      <w:r w:rsidRPr="003D52E8">
        <w:rPr>
          <w:rFonts w:ascii="Traditional Arabic" w:hAnsi="Traditional Arabic"/>
          <w:sz w:val="26"/>
          <w:rtl/>
          <w:lang w:val="en-GB" w:eastAsia="zh-TW"/>
        </w:rPr>
        <w:t>يُنظر إلى الفقر بشكل متزايد باعتباره مفهوما متعدد الأبعاد، يشمل العناصر الاجتماعية والاقتصادية مثل السكن غير اللائق واعتلال الصحة والافتقار إلى التعليم. فالفقر الناجم عن انخفاض الدخل هو مجرد جانب واحد من جوانب الفقر. وفيما يخص السياسة العامة الوطنية، تحدد معظم البلدان خطوط الفقر الوطنية لديها (الناجمة عن انخفاض الدخل). وعلى الصعيد العالمي، ولأغراض المقارنة الدولية، يبلغ خط الفقر العالمي الحالي (الناجم عن انخفاض الدخل) ما مقداره 1.90 دولار، على النحو الذي حدده البنك الدولي في تشرين الأول/أكتوبر 2015.</w:t>
      </w:r>
    </w:p>
  </w:footnote>
  <w:footnote w:id="2">
    <w:p w:rsidR="00AC523A" w:rsidRPr="00AC523A" w:rsidRDefault="00AC523A" w:rsidP="00AC523A">
      <w:pPr>
        <w:pStyle w:val="FootnoteText"/>
        <w:tabs>
          <w:tab w:val="clear" w:pos="418"/>
          <w:tab w:val="right" w:pos="1195"/>
          <w:tab w:val="left" w:pos="1267"/>
          <w:tab w:val="left" w:pos="1656"/>
          <w:tab w:val="left" w:pos="2088"/>
        </w:tabs>
        <w:spacing w:after="80"/>
        <w:ind w:left="1267" w:right="1267" w:hanging="547"/>
        <w:rPr>
          <w:w w:val="103"/>
        </w:rPr>
      </w:pPr>
      <w:r>
        <w:rPr>
          <w:rtl/>
        </w:rPr>
        <w:tab/>
      </w:r>
      <w:r w:rsidRPr="00AC523A">
        <w:rPr>
          <w:w w:val="103"/>
          <w:rtl/>
        </w:rPr>
        <w:t>(</w:t>
      </w:r>
      <w:r w:rsidRPr="00AC523A">
        <w:rPr>
          <w:rStyle w:val="FootnoteReference"/>
          <w:spacing w:val="0"/>
          <w:vertAlign w:val="baseline"/>
          <w:rtl/>
        </w:rPr>
        <w:footnoteRef/>
      </w:r>
      <w:r w:rsidRPr="00AC523A">
        <w:rPr>
          <w:w w:val="103"/>
          <w:rtl/>
        </w:rPr>
        <w:t>)</w:t>
      </w:r>
      <w:r w:rsidRPr="00AC523A">
        <w:rPr>
          <w:w w:val="103"/>
          <w:rtl/>
        </w:rPr>
        <w:tab/>
      </w:r>
      <w:r>
        <w:rPr>
          <w:rFonts w:hint="cs"/>
          <w:w w:val="103"/>
          <w:rtl/>
        </w:rPr>
        <w:t xml:space="preserve">انظر: </w:t>
      </w:r>
      <w:r w:rsidRPr="00AC523A">
        <w:rPr>
          <w:w w:val="103"/>
        </w:rPr>
        <w:t xml:space="preserve">Sophie </w:t>
      </w:r>
      <w:proofErr w:type="spellStart"/>
      <w:r w:rsidRPr="00AC523A">
        <w:rPr>
          <w:w w:val="103"/>
        </w:rPr>
        <w:t>Mitra</w:t>
      </w:r>
      <w:proofErr w:type="spellEnd"/>
      <w:r w:rsidRPr="00AC523A">
        <w:rPr>
          <w:w w:val="103"/>
        </w:rPr>
        <w:t xml:space="preserve">, Aleksandra </w:t>
      </w:r>
      <w:proofErr w:type="spellStart"/>
      <w:r w:rsidRPr="00AC523A">
        <w:rPr>
          <w:w w:val="103"/>
        </w:rPr>
        <w:t>Posarac</w:t>
      </w:r>
      <w:proofErr w:type="spellEnd"/>
      <w:r w:rsidRPr="00AC523A">
        <w:rPr>
          <w:w w:val="103"/>
        </w:rPr>
        <w:t xml:space="preserve"> and Brandon Vick, “Disability and poverty in developing countries: a snapshot from the World Health Survey”, Social Protection and Labor Discussion Paper, No. </w:t>
      </w:r>
      <w:proofErr w:type="gramStart"/>
      <w:r w:rsidRPr="00AC523A">
        <w:rPr>
          <w:w w:val="103"/>
        </w:rPr>
        <w:t>1109 (Washington, D.C., World Bank, 2011</w:t>
      </w:r>
      <w:r w:rsidRPr="00AC523A">
        <w:rPr>
          <w:w w:val="103"/>
          <w:rtl/>
        </w:rPr>
        <w:t>).</w:t>
      </w:r>
      <w:proofErr w:type="gramEnd"/>
    </w:p>
  </w:footnote>
  <w:footnote w:id="3">
    <w:p w:rsidR="00AC523A" w:rsidRPr="00AC523A" w:rsidRDefault="00AC523A" w:rsidP="00AC523A">
      <w:pPr>
        <w:pStyle w:val="FootnoteText"/>
        <w:tabs>
          <w:tab w:val="clear" w:pos="418"/>
          <w:tab w:val="right" w:pos="1195"/>
          <w:tab w:val="left" w:pos="1267"/>
          <w:tab w:val="left" w:pos="1656"/>
          <w:tab w:val="left" w:pos="2088"/>
        </w:tabs>
        <w:spacing w:after="80"/>
        <w:ind w:left="1267" w:right="1267" w:hanging="547"/>
        <w:rPr>
          <w:w w:val="103"/>
        </w:rPr>
      </w:pPr>
      <w:r>
        <w:rPr>
          <w:rtl/>
        </w:rPr>
        <w:tab/>
      </w:r>
      <w:r w:rsidRPr="00AC523A">
        <w:rPr>
          <w:w w:val="103"/>
          <w:rtl/>
        </w:rPr>
        <w:t>(</w:t>
      </w:r>
      <w:r w:rsidRPr="00AC523A">
        <w:rPr>
          <w:rStyle w:val="FootnoteReference"/>
          <w:spacing w:val="0"/>
          <w:vertAlign w:val="baseline"/>
          <w:rtl/>
        </w:rPr>
        <w:footnoteRef/>
      </w:r>
      <w:r w:rsidRPr="00AC523A">
        <w:rPr>
          <w:w w:val="103"/>
          <w:rtl/>
        </w:rPr>
        <w:t>)</w:t>
      </w:r>
      <w:r w:rsidRPr="00AC523A">
        <w:rPr>
          <w:w w:val="103"/>
          <w:rtl/>
        </w:rPr>
        <w:tab/>
      </w:r>
      <w:r>
        <w:rPr>
          <w:rFonts w:hint="cs"/>
          <w:w w:val="103"/>
          <w:rtl/>
        </w:rPr>
        <w:t xml:space="preserve">انظر: </w:t>
      </w:r>
      <w:r w:rsidRPr="00AC523A">
        <w:rPr>
          <w:w w:val="103"/>
        </w:rPr>
        <w:t>Organization for Economic Cooperation and Development, “Sickness, disability and work: keeping on track in the economic downturn”, background paper for the High-level Forum, Stockholm, 14-15 May 2009</w:t>
      </w:r>
      <w:r w:rsidRPr="00AC523A">
        <w:rPr>
          <w:w w:val="103"/>
          <w:rtl/>
        </w:rPr>
        <w:t>.</w:t>
      </w:r>
    </w:p>
  </w:footnote>
  <w:footnote w:id="4">
    <w:p w:rsidR="00AC523A" w:rsidRPr="00AC523A" w:rsidRDefault="00AC523A" w:rsidP="00AC523A">
      <w:pPr>
        <w:pStyle w:val="FootnoteText"/>
        <w:tabs>
          <w:tab w:val="clear" w:pos="418"/>
          <w:tab w:val="right" w:pos="1195"/>
          <w:tab w:val="left" w:pos="1267"/>
          <w:tab w:val="left" w:pos="1656"/>
          <w:tab w:val="left" w:pos="2088"/>
        </w:tabs>
        <w:spacing w:after="80"/>
        <w:ind w:left="1267" w:right="1267" w:hanging="547"/>
        <w:rPr>
          <w:w w:val="103"/>
        </w:rPr>
      </w:pPr>
      <w:r>
        <w:rPr>
          <w:rtl/>
        </w:rPr>
        <w:tab/>
      </w:r>
      <w:r w:rsidRPr="00AC523A">
        <w:rPr>
          <w:w w:val="103"/>
          <w:rtl/>
        </w:rPr>
        <w:t>(</w:t>
      </w:r>
      <w:r w:rsidRPr="00AC523A">
        <w:rPr>
          <w:rStyle w:val="FootnoteReference"/>
          <w:spacing w:val="0"/>
          <w:vertAlign w:val="baseline"/>
          <w:rtl/>
        </w:rPr>
        <w:footnoteRef/>
      </w:r>
      <w:r w:rsidRPr="00AC523A">
        <w:rPr>
          <w:w w:val="103"/>
          <w:rtl/>
        </w:rPr>
        <w:t>)</w:t>
      </w:r>
      <w:r w:rsidRPr="00AC523A">
        <w:rPr>
          <w:w w:val="103"/>
          <w:rtl/>
        </w:rPr>
        <w:tab/>
      </w:r>
      <w:r>
        <w:rPr>
          <w:rFonts w:hint="cs"/>
          <w:w w:val="103"/>
          <w:rtl/>
        </w:rPr>
        <w:t xml:space="preserve">انظر: </w:t>
      </w:r>
      <w:r w:rsidRPr="00AC523A">
        <w:rPr>
          <w:w w:val="103"/>
        </w:rPr>
        <w:t>World Health Organization and World Bank, World Report on Disability 2011 (Geneva, 2011</w:t>
      </w:r>
      <w:r w:rsidRPr="00AC523A">
        <w:rPr>
          <w:w w:val="103"/>
          <w:rtl/>
        </w:rPr>
        <w:t>).</w:t>
      </w:r>
    </w:p>
  </w:footnote>
  <w:footnote w:id="5">
    <w:p w:rsidR="001F1FCD" w:rsidRPr="001F1FCD" w:rsidRDefault="001F1FCD" w:rsidP="001F1FCD">
      <w:pPr>
        <w:pStyle w:val="FootnoteText"/>
        <w:tabs>
          <w:tab w:val="clear" w:pos="418"/>
          <w:tab w:val="right" w:pos="1195"/>
          <w:tab w:val="left" w:pos="1267"/>
          <w:tab w:val="left" w:pos="1656"/>
          <w:tab w:val="left" w:pos="2088"/>
        </w:tabs>
        <w:spacing w:after="80"/>
        <w:ind w:left="1267" w:right="1267" w:hanging="547"/>
        <w:rPr>
          <w:w w:val="103"/>
        </w:rPr>
      </w:pPr>
      <w:r>
        <w:rPr>
          <w:rtl/>
        </w:rPr>
        <w:tab/>
      </w:r>
      <w:r w:rsidRPr="001F1FCD">
        <w:rPr>
          <w:w w:val="103"/>
          <w:rtl/>
        </w:rPr>
        <w:t>(</w:t>
      </w:r>
      <w:r w:rsidRPr="001F1FCD">
        <w:rPr>
          <w:rStyle w:val="FootnoteReference"/>
          <w:spacing w:val="0"/>
          <w:vertAlign w:val="baseline"/>
          <w:rtl/>
        </w:rPr>
        <w:footnoteRef/>
      </w:r>
      <w:r w:rsidRPr="001F1FCD">
        <w:rPr>
          <w:w w:val="103"/>
          <w:rtl/>
        </w:rPr>
        <w:t>)</w:t>
      </w:r>
      <w:r w:rsidRPr="001F1FCD">
        <w:rPr>
          <w:w w:val="103"/>
          <w:rtl/>
        </w:rPr>
        <w:tab/>
      </w:r>
      <w:r w:rsidRPr="001F1FCD">
        <w:rPr>
          <w:w w:val="103"/>
        </w:rPr>
        <w:t xml:space="preserve">Sebastian </w:t>
      </w:r>
      <w:proofErr w:type="spellStart"/>
      <w:r w:rsidRPr="001F1FCD">
        <w:rPr>
          <w:w w:val="103"/>
        </w:rPr>
        <w:t>Buckup</w:t>
      </w:r>
      <w:proofErr w:type="spellEnd"/>
      <w:r w:rsidRPr="001F1FCD">
        <w:rPr>
          <w:w w:val="103"/>
        </w:rPr>
        <w:t xml:space="preserve">, The Price of Exclusion: The Economic Consequences of Excluding People with Disabilities from the World of Work, Employment Working Paper, No. </w:t>
      </w:r>
      <w:proofErr w:type="gramStart"/>
      <w:r w:rsidRPr="001F1FCD">
        <w:rPr>
          <w:w w:val="103"/>
        </w:rPr>
        <w:t xml:space="preserve">43 (Geneva, International </w:t>
      </w:r>
      <w:proofErr w:type="spellStart"/>
      <w:r w:rsidRPr="001F1FCD">
        <w:rPr>
          <w:w w:val="103"/>
        </w:rPr>
        <w:t>Labour</w:t>
      </w:r>
      <w:proofErr w:type="spellEnd"/>
      <w:r w:rsidRPr="001F1FCD">
        <w:rPr>
          <w:w w:val="103"/>
        </w:rPr>
        <w:t xml:space="preserve"> Office, 2009</w:t>
      </w:r>
      <w:r w:rsidRPr="001F1FCD">
        <w:rPr>
          <w:w w:val="103"/>
          <w:rtl/>
        </w:rPr>
        <w:t>).</w:t>
      </w:r>
      <w:proofErr w:type="gramEnd"/>
    </w:p>
  </w:footnote>
  <w:footnote w:id="6">
    <w:p w:rsidR="001F1FCD" w:rsidRPr="001F1FCD" w:rsidRDefault="001F1FCD" w:rsidP="001F1FCD">
      <w:pPr>
        <w:pStyle w:val="FootnoteText"/>
        <w:tabs>
          <w:tab w:val="clear" w:pos="418"/>
          <w:tab w:val="right" w:pos="1195"/>
          <w:tab w:val="left" w:pos="1267"/>
          <w:tab w:val="left" w:pos="1656"/>
          <w:tab w:val="left" w:pos="2088"/>
        </w:tabs>
        <w:spacing w:after="80"/>
        <w:ind w:left="1267" w:right="1267" w:hanging="547"/>
        <w:rPr>
          <w:w w:val="103"/>
        </w:rPr>
      </w:pPr>
      <w:r>
        <w:rPr>
          <w:rtl/>
        </w:rPr>
        <w:tab/>
      </w:r>
      <w:r w:rsidRPr="001F1FCD">
        <w:rPr>
          <w:w w:val="103"/>
          <w:rtl/>
        </w:rPr>
        <w:t>(</w:t>
      </w:r>
      <w:r w:rsidRPr="001F1FCD">
        <w:rPr>
          <w:rStyle w:val="FootnoteReference"/>
          <w:spacing w:val="0"/>
          <w:vertAlign w:val="baseline"/>
          <w:rtl/>
        </w:rPr>
        <w:footnoteRef/>
      </w:r>
      <w:r w:rsidRPr="001F1FCD">
        <w:rPr>
          <w:w w:val="103"/>
          <w:rtl/>
        </w:rPr>
        <w:t>)</w:t>
      </w:r>
      <w:r w:rsidRPr="001F1FCD">
        <w:rPr>
          <w:w w:val="103"/>
          <w:rtl/>
        </w:rPr>
        <w:tab/>
        <w:t>انظر على سبيل المثال الفقرة (ر) من ديباجة الاتفاقية.</w:t>
      </w:r>
    </w:p>
  </w:footnote>
  <w:footnote w:id="7">
    <w:p w:rsidR="001F1FCD" w:rsidRPr="001F1FCD" w:rsidRDefault="001F1FCD" w:rsidP="001F1FCD">
      <w:pPr>
        <w:pStyle w:val="FootnoteText"/>
        <w:tabs>
          <w:tab w:val="clear" w:pos="418"/>
          <w:tab w:val="right" w:pos="1195"/>
          <w:tab w:val="left" w:pos="1267"/>
          <w:tab w:val="left" w:pos="1656"/>
          <w:tab w:val="left" w:pos="2088"/>
        </w:tabs>
        <w:spacing w:after="80"/>
        <w:ind w:left="1267" w:right="1267" w:hanging="547"/>
        <w:rPr>
          <w:w w:val="103"/>
        </w:rPr>
      </w:pPr>
      <w:r>
        <w:rPr>
          <w:rtl/>
        </w:rPr>
        <w:tab/>
      </w:r>
      <w:r w:rsidRPr="001F1FCD">
        <w:rPr>
          <w:w w:val="103"/>
          <w:rtl/>
        </w:rPr>
        <w:t>(</w:t>
      </w:r>
      <w:r w:rsidRPr="001F1FCD">
        <w:rPr>
          <w:rStyle w:val="FootnoteReference"/>
          <w:spacing w:val="0"/>
          <w:vertAlign w:val="baseline"/>
          <w:rtl/>
        </w:rPr>
        <w:footnoteRef/>
      </w:r>
      <w:r w:rsidRPr="001F1FCD">
        <w:rPr>
          <w:w w:val="103"/>
          <w:rtl/>
        </w:rPr>
        <w:t>)</w:t>
      </w:r>
      <w:r w:rsidRPr="001F1FCD">
        <w:rPr>
          <w:w w:val="103"/>
          <w:rtl/>
        </w:rPr>
        <w:tab/>
        <w:t xml:space="preserve">قرار الجمعية العامة </w:t>
      </w:r>
      <w:hyperlink r:id="rId1" w:history="1">
        <w:r w:rsidRPr="00950EA4">
          <w:rPr>
            <w:rStyle w:val="Hyperlink"/>
            <w:w w:val="103"/>
            <w:rtl/>
          </w:rPr>
          <w:t>68/3</w:t>
        </w:r>
      </w:hyperlink>
      <w:r w:rsidRPr="001F1FCD">
        <w:rPr>
          <w:w w:val="103"/>
          <w:rtl/>
        </w:rPr>
        <w:t>.</w:t>
      </w:r>
    </w:p>
  </w:footnote>
  <w:footnote w:id="8">
    <w:p w:rsidR="001F1FCD" w:rsidRPr="001F1FCD" w:rsidRDefault="001F1FCD" w:rsidP="001F1FCD">
      <w:pPr>
        <w:pStyle w:val="FootnoteText"/>
        <w:tabs>
          <w:tab w:val="clear" w:pos="418"/>
          <w:tab w:val="right" w:pos="1195"/>
          <w:tab w:val="left" w:pos="1267"/>
          <w:tab w:val="left" w:pos="1656"/>
          <w:tab w:val="left" w:pos="2088"/>
        </w:tabs>
        <w:spacing w:after="80"/>
        <w:ind w:left="1267" w:right="1267" w:hanging="547"/>
        <w:rPr>
          <w:w w:val="103"/>
        </w:rPr>
      </w:pPr>
      <w:r>
        <w:rPr>
          <w:rtl/>
        </w:rPr>
        <w:tab/>
      </w:r>
      <w:r w:rsidRPr="001F1FCD">
        <w:rPr>
          <w:w w:val="103"/>
          <w:rtl/>
        </w:rPr>
        <w:t>(</w:t>
      </w:r>
      <w:r w:rsidRPr="001F1FCD">
        <w:rPr>
          <w:rStyle w:val="FootnoteReference"/>
          <w:spacing w:val="0"/>
          <w:vertAlign w:val="baseline"/>
          <w:rtl/>
        </w:rPr>
        <w:footnoteRef/>
      </w:r>
      <w:r w:rsidRPr="001F1FCD">
        <w:rPr>
          <w:w w:val="103"/>
          <w:rtl/>
        </w:rPr>
        <w:t>)</w:t>
      </w:r>
      <w:r w:rsidRPr="001F1FCD">
        <w:rPr>
          <w:w w:val="103"/>
          <w:rtl/>
        </w:rPr>
        <w:tab/>
      </w:r>
      <w:r w:rsidRPr="003D52E8">
        <w:rPr>
          <w:rFonts w:ascii="Traditional Arabic" w:hAnsi="Traditional Arabic"/>
          <w:sz w:val="26"/>
          <w:rtl/>
          <w:lang w:val="en-GB" w:eastAsia="zh-TW"/>
        </w:rPr>
        <w:t xml:space="preserve">انظر: </w:t>
      </w:r>
      <w:r w:rsidRPr="001F1FCD">
        <w:rPr>
          <w:rFonts w:ascii="Traditional Arabic" w:hAnsi="Traditional Arabic"/>
          <w:szCs w:val="17"/>
          <w:lang w:val="en-GB" w:eastAsia="zh-TW"/>
        </w:rPr>
        <w:t>Inequality Matters: Report on the World Social Situation 2013</w:t>
      </w:r>
      <w:r w:rsidRPr="003D52E8">
        <w:rPr>
          <w:rFonts w:ascii="Traditional Arabic" w:hAnsi="Traditional Arabic"/>
          <w:sz w:val="26"/>
          <w:rtl/>
          <w:lang w:val="en-GB" w:eastAsia="zh-TW"/>
        </w:rPr>
        <w:t xml:space="preserve"> (منشورات الأمم المتحدة، رقم المبيع </w:t>
      </w:r>
      <w:r w:rsidRPr="001F1FCD">
        <w:rPr>
          <w:rFonts w:ascii="Traditional Arabic" w:hAnsi="Traditional Arabic"/>
          <w:szCs w:val="17"/>
          <w:lang w:val="en-GB" w:eastAsia="zh-TW"/>
        </w:rPr>
        <w:t>E.13.IV.2</w:t>
      </w:r>
      <w:r w:rsidRPr="003D52E8">
        <w:rPr>
          <w:rFonts w:ascii="Traditional Arabic" w:hAnsi="Traditional Arabic"/>
          <w:sz w:val="26"/>
          <w:rtl/>
          <w:lang w:val="en-GB" w:eastAsia="zh-TW"/>
        </w:rPr>
        <w:t>).</w:t>
      </w:r>
    </w:p>
  </w:footnote>
  <w:footnote w:id="9">
    <w:p w:rsidR="001F1FCD" w:rsidRPr="001F1FCD" w:rsidRDefault="001F1FCD" w:rsidP="001F1FCD">
      <w:pPr>
        <w:pStyle w:val="FootnoteText"/>
        <w:tabs>
          <w:tab w:val="clear" w:pos="418"/>
          <w:tab w:val="right" w:pos="1195"/>
          <w:tab w:val="left" w:pos="1267"/>
          <w:tab w:val="left" w:pos="1656"/>
          <w:tab w:val="left" w:pos="2088"/>
        </w:tabs>
        <w:spacing w:after="80"/>
        <w:ind w:left="1267" w:right="1267" w:hanging="547"/>
        <w:rPr>
          <w:w w:val="103"/>
        </w:rPr>
      </w:pPr>
      <w:r>
        <w:rPr>
          <w:rtl/>
        </w:rPr>
        <w:tab/>
      </w:r>
      <w:r w:rsidRPr="001F1FCD">
        <w:rPr>
          <w:w w:val="103"/>
          <w:rtl/>
        </w:rPr>
        <w:t>(</w:t>
      </w:r>
      <w:r w:rsidRPr="001F1FCD">
        <w:rPr>
          <w:rStyle w:val="FootnoteReference"/>
          <w:spacing w:val="0"/>
          <w:vertAlign w:val="baseline"/>
          <w:rtl/>
        </w:rPr>
        <w:footnoteRef/>
      </w:r>
      <w:r w:rsidRPr="001F1FCD">
        <w:rPr>
          <w:w w:val="103"/>
          <w:rtl/>
        </w:rPr>
        <w:t>)</w:t>
      </w:r>
      <w:r w:rsidRPr="001F1FCD">
        <w:rPr>
          <w:w w:val="103"/>
          <w:rtl/>
        </w:rPr>
        <w:tab/>
        <w:t>على سبيل المثال، شكلت مبادرة الحد الأدنى للحماية الاجتماعية، التي اعتمدت في نيسان/أبريل 2009، إحدى الأدوات الرئيسية للعمل المشترك على نطاق منظومة الأمم المتحدة.</w:t>
      </w:r>
    </w:p>
  </w:footnote>
  <w:footnote w:id="10">
    <w:p w:rsidR="001F1FCD" w:rsidRPr="001F1FCD" w:rsidRDefault="001F1FCD" w:rsidP="001F1FCD">
      <w:pPr>
        <w:pStyle w:val="FootnoteText"/>
        <w:tabs>
          <w:tab w:val="clear" w:pos="418"/>
          <w:tab w:val="right" w:pos="1195"/>
          <w:tab w:val="left" w:pos="1267"/>
          <w:tab w:val="left" w:pos="1656"/>
          <w:tab w:val="left" w:pos="2088"/>
        </w:tabs>
        <w:spacing w:after="80"/>
        <w:ind w:left="1267" w:right="1267" w:hanging="547"/>
        <w:rPr>
          <w:w w:val="103"/>
        </w:rPr>
      </w:pPr>
      <w:r>
        <w:rPr>
          <w:rtl/>
        </w:rPr>
        <w:tab/>
      </w:r>
      <w:r w:rsidRPr="001F1FCD">
        <w:rPr>
          <w:w w:val="103"/>
          <w:rtl/>
        </w:rPr>
        <w:t>(</w:t>
      </w:r>
      <w:r w:rsidRPr="001F1FCD">
        <w:rPr>
          <w:rStyle w:val="FootnoteReference"/>
          <w:spacing w:val="0"/>
          <w:vertAlign w:val="baseline"/>
          <w:rtl/>
        </w:rPr>
        <w:footnoteRef/>
      </w:r>
      <w:r w:rsidRPr="001F1FCD">
        <w:rPr>
          <w:w w:val="103"/>
          <w:rtl/>
        </w:rPr>
        <w:t>)</w:t>
      </w:r>
      <w:r w:rsidRPr="001F1FCD">
        <w:rPr>
          <w:w w:val="103"/>
          <w:rtl/>
        </w:rPr>
        <w:tab/>
      </w:r>
      <w:r w:rsidRPr="003D52E8">
        <w:rPr>
          <w:rFonts w:ascii="Traditional Arabic" w:hAnsi="Traditional Arabic"/>
          <w:sz w:val="26"/>
          <w:rtl/>
          <w:lang w:val="en-GB" w:eastAsia="zh-TW"/>
        </w:rPr>
        <w:t xml:space="preserve">قرارات الجمعية العامة 66/124 و 67/140 و 68/3 و </w:t>
      </w:r>
      <w:hyperlink r:id="rId2" w:history="1">
        <w:r w:rsidRPr="00950EA4">
          <w:rPr>
            <w:rStyle w:val="Hyperlink"/>
            <w:rFonts w:ascii="Traditional Arabic" w:hAnsi="Traditional Arabic"/>
            <w:sz w:val="26"/>
            <w:rtl/>
            <w:lang w:val="en-GB" w:eastAsia="zh-TW"/>
          </w:rPr>
          <w:t>69/142</w:t>
        </w:r>
      </w:hyperlink>
      <w:r w:rsidRPr="003D52E8">
        <w:rPr>
          <w:rFonts w:ascii="Traditional Arabic" w:hAnsi="Traditional Arabic"/>
          <w:sz w:val="26"/>
          <w:rtl/>
          <w:lang w:val="en-GB" w:eastAsia="zh-T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60"/>
      <w:gridCol w:w="4980"/>
    </w:tblGrid>
    <w:tr w:rsidR="001E23D3" w:rsidTr="001E23D3">
      <w:trPr>
        <w:trHeight w:hRule="exact" w:val="864"/>
        <w:jc w:val="center"/>
      </w:trPr>
      <w:tc>
        <w:tcPr>
          <w:tcW w:w="4925" w:type="dxa"/>
          <w:shd w:val="clear" w:color="auto" w:fill="auto"/>
          <w:vAlign w:val="bottom"/>
        </w:tcPr>
        <w:p w:rsidR="001E23D3" w:rsidRDefault="001E23D3" w:rsidP="001E23D3">
          <w:pPr>
            <w:pStyle w:val="Header"/>
            <w:bidi/>
          </w:pPr>
        </w:p>
      </w:tc>
      <w:tc>
        <w:tcPr>
          <w:tcW w:w="5028" w:type="dxa"/>
          <w:shd w:val="clear" w:color="auto" w:fill="auto"/>
          <w:vAlign w:val="bottom"/>
        </w:tcPr>
        <w:p w:rsidR="001E23D3" w:rsidRPr="001E23D3" w:rsidRDefault="001E23D3" w:rsidP="001E23D3">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6B4DA8">
            <w:rPr>
              <w:w w:val="103"/>
            </w:rPr>
            <w:t>CRPD/CSP/2016/2</w:t>
          </w:r>
          <w:r>
            <w:rPr>
              <w:w w:val="103"/>
            </w:rPr>
            <w:fldChar w:fldCharType="end"/>
          </w:r>
        </w:p>
      </w:tc>
    </w:tr>
  </w:tbl>
  <w:p w:rsidR="001E23D3" w:rsidRPr="001E23D3" w:rsidRDefault="001E23D3" w:rsidP="001E2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78"/>
      <w:gridCol w:w="4962"/>
    </w:tblGrid>
    <w:tr w:rsidR="001E23D3" w:rsidTr="001E23D3">
      <w:trPr>
        <w:trHeight w:hRule="exact" w:val="864"/>
        <w:jc w:val="center"/>
      </w:trPr>
      <w:tc>
        <w:tcPr>
          <w:tcW w:w="4925" w:type="dxa"/>
          <w:shd w:val="clear" w:color="auto" w:fill="auto"/>
          <w:vAlign w:val="bottom"/>
        </w:tcPr>
        <w:p w:rsidR="001E23D3" w:rsidRPr="001E23D3" w:rsidRDefault="001E23D3" w:rsidP="001E23D3">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6B4DA8">
            <w:rPr>
              <w:w w:val="103"/>
            </w:rPr>
            <w:t>CRPD/CSP/2016/2</w:t>
          </w:r>
          <w:r>
            <w:rPr>
              <w:w w:val="103"/>
            </w:rPr>
            <w:fldChar w:fldCharType="end"/>
          </w:r>
        </w:p>
      </w:tc>
      <w:tc>
        <w:tcPr>
          <w:tcW w:w="5028" w:type="dxa"/>
          <w:shd w:val="clear" w:color="auto" w:fill="auto"/>
          <w:vAlign w:val="bottom"/>
        </w:tcPr>
        <w:p w:rsidR="001E23D3" w:rsidRDefault="001E23D3" w:rsidP="001E23D3">
          <w:pPr>
            <w:pStyle w:val="Header"/>
          </w:pPr>
        </w:p>
      </w:tc>
    </w:tr>
  </w:tbl>
  <w:p w:rsidR="001E23D3" w:rsidRPr="001E23D3" w:rsidRDefault="001E23D3" w:rsidP="001E23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85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082"/>
      <w:gridCol w:w="18"/>
    </w:tblGrid>
    <w:tr w:rsidR="001E23D3" w:rsidTr="001E23D3">
      <w:trPr>
        <w:gridAfter w:val="1"/>
        <w:wAfter w:w="18" w:type="dxa"/>
        <w:trHeight w:hRule="exact" w:val="864"/>
      </w:trPr>
      <w:tc>
        <w:tcPr>
          <w:tcW w:w="1282" w:type="dxa"/>
          <w:tcBorders>
            <w:bottom w:val="single" w:sz="4" w:space="0" w:color="auto"/>
          </w:tcBorders>
          <w:shd w:val="clear" w:color="auto" w:fill="auto"/>
          <w:vAlign w:val="bottom"/>
        </w:tcPr>
        <w:p w:rsidR="001E23D3" w:rsidRDefault="001E23D3" w:rsidP="001E23D3">
          <w:pPr>
            <w:pStyle w:val="Header"/>
            <w:spacing w:after="120"/>
          </w:pPr>
        </w:p>
      </w:tc>
      <w:tc>
        <w:tcPr>
          <w:tcW w:w="1786" w:type="dxa"/>
          <w:tcBorders>
            <w:bottom w:val="single" w:sz="4" w:space="0" w:color="auto"/>
          </w:tcBorders>
          <w:shd w:val="clear" w:color="auto" w:fill="auto"/>
          <w:vAlign w:val="bottom"/>
        </w:tcPr>
        <w:p w:rsidR="001E23D3" w:rsidRPr="001E23D3" w:rsidRDefault="001E23D3" w:rsidP="001E23D3">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1E23D3" w:rsidRDefault="001E23D3" w:rsidP="001E23D3">
          <w:pPr>
            <w:pStyle w:val="Header"/>
            <w:spacing w:after="120"/>
          </w:pPr>
        </w:p>
      </w:tc>
      <w:tc>
        <w:tcPr>
          <w:tcW w:w="6523" w:type="dxa"/>
          <w:gridSpan w:val="3"/>
          <w:tcBorders>
            <w:bottom w:val="single" w:sz="4" w:space="0" w:color="auto"/>
          </w:tcBorders>
          <w:shd w:val="clear" w:color="auto" w:fill="auto"/>
          <w:vAlign w:val="bottom"/>
        </w:tcPr>
        <w:p w:rsidR="001E23D3" w:rsidRPr="001E23D3" w:rsidRDefault="001E23D3" w:rsidP="001E23D3">
          <w:pPr>
            <w:spacing w:line="380" w:lineRule="exact"/>
            <w:jc w:val="right"/>
          </w:pPr>
          <w:r>
            <w:rPr>
              <w:sz w:val="40"/>
            </w:rPr>
            <w:t>CRPD</w:t>
          </w:r>
          <w:r>
            <w:t>/CSP/2016/2</w:t>
          </w:r>
        </w:p>
      </w:tc>
    </w:tr>
    <w:tr w:rsidR="001E23D3" w:rsidRPr="001E23D3" w:rsidTr="001E23D3">
      <w:trPr>
        <w:trHeight w:hRule="exact" w:val="2880"/>
      </w:trPr>
      <w:tc>
        <w:tcPr>
          <w:tcW w:w="1282" w:type="dxa"/>
          <w:tcBorders>
            <w:top w:val="single" w:sz="4" w:space="0" w:color="auto"/>
            <w:bottom w:val="single" w:sz="12" w:space="0" w:color="auto"/>
          </w:tcBorders>
          <w:shd w:val="clear" w:color="auto" w:fill="auto"/>
        </w:tcPr>
        <w:p w:rsidR="001E23D3" w:rsidRDefault="001E23D3" w:rsidP="001E23D3">
          <w:pPr>
            <w:pStyle w:val="Header"/>
            <w:spacing w:before="120"/>
            <w:jc w:val="center"/>
          </w:pPr>
          <w:r>
            <w:t xml:space="preserve"> </w:t>
          </w:r>
          <w:r>
            <w:rPr>
              <w:noProof/>
              <w:lang w:val="en-GB" w:eastAsia="zh-CN"/>
            </w:rPr>
            <w:drawing>
              <wp:inline distT="0" distB="0" distL="0" distR="0" wp14:anchorId="2A8F652B" wp14:editId="5A28F38B">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1E23D3" w:rsidRPr="001E23D3" w:rsidRDefault="001E23D3" w:rsidP="001E23D3">
          <w:pPr>
            <w:pStyle w:val="Header"/>
            <w:spacing w:before="120"/>
            <w:jc w:val="center"/>
          </w:pPr>
        </w:p>
      </w:tc>
      <w:tc>
        <w:tcPr>
          <w:tcW w:w="5227" w:type="dxa"/>
          <w:gridSpan w:val="3"/>
          <w:tcBorders>
            <w:top w:val="single" w:sz="4" w:space="0" w:color="auto"/>
            <w:bottom w:val="single" w:sz="12" w:space="0" w:color="auto"/>
          </w:tcBorders>
          <w:shd w:val="clear" w:color="auto" w:fill="auto"/>
        </w:tcPr>
        <w:p w:rsidR="001E23D3" w:rsidRPr="001E23D3" w:rsidRDefault="001E23D3" w:rsidP="001E23D3">
          <w:pPr>
            <w:pStyle w:val="XLarge"/>
            <w:spacing w:before="109" w:line="590" w:lineRule="exact"/>
            <w:ind w:left="14" w:right="14"/>
            <w:jc w:val="left"/>
          </w:pPr>
          <w:r>
            <w:rPr>
              <w:rtl/>
            </w:rPr>
            <w:t>اتفاقية حقوق الأشخاص</w:t>
          </w:r>
          <w:r>
            <w:rPr>
              <w:rtl/>
            </w:rPr>
            <w:br/>
            <w:t>ذوي الإعاقة</w:t>
          </w:r>
        </w:p>
      </w:tc>
      <w:tc>
        <w:tcPr>
          <w:tcW w:w="245" w:type="dxa"/>
          <w:tcBorders>
            <w:top w:val="single" w:sz="4" w:space="0" w:color="auto"/>
            <w:bottom w:val="single" w:sz="12" w:space="0" w:color="auto"/>
          </w:tcBorders>
          <w:shd w:val="clear" w:color="auto" w:fill="auto"/>
        </w:tcPr>
        <w:p w:rsidR="001E23D3" w:rsidRPr="001E23D3" w:rsidRDefault="001E23D3" w:rsidP="001E23D3">
          <w:pPr>
            <w:pStyle w:val="Header"/>
            <w:spacing w:before="109"/>
          </w:pPr>
        </w:p>
      </w:tc>
      <w:tc>
        <w:tcPr>
          <w:tcW w:w="3100" w:type="dxa"/>
          <w:gridSpan w:val="2"/>
          <w:tcBorders>
            <w:top w:val="single" w:sz="4" w:space="0" w:color="auto"/>
            <w:bottom w:val="single" w:sz="12" w:space="0" w:color="auto"/>
          </w:tcBorders>
          <w:shd w:val="clear" w:color="auto" w:fill="auto"/>
        </w:tcPr>
        <w:p w:rsidR="001E23D3" w:rsidRDefault="001E23D3" w:rsidP="001E23D3">
          <w:pPr>
            <w:pStyle w:val="Distribution"/>
            <w:bidi w:val="0"/>
            <w:spacing w:before="240"/>
          </w:pPr>
          <w:r>
            <w:t>Distr.: General</w:t>
          </w:r>
        </w:p>
        <w:p w:rsidR="001E23D3" w:rsidRDefault="001E23D3" w:rsidP="001E23D3">
          <w:pPr>
            <w:pStyle w:val="Publication"/>
            <w:bidi w:val="0"/>
          </w:pPr>
          <w:r>
            <w:t>30 March 2016</w:t>
          </w:r>
        </w:p>
        <w:p w:rsidR="001E23D3" w:rsidRDefault="001E23D3" w:rsidP="001E23D3">
          <w:pPr>
            <w:bidi w:val="0"/>
            <w:spacing w:line="240" w:lineRule="exact"/>
            <w:jc w:val="left"/>
          </w:pPr>
          <w:r>
            <w:t>Arabic</w:t>
          </w:r>
        </w:p>
        <w:p w:rsidR="001E23D3" w:rsidRDefault="001E23D3" w:rsidP="001E23D3">
          <w:pPr>
            <w:pStyle w:val="Original"/>
            <w:bidi w:val="0"/>
          </w:pPr>
          <w:r>
            <w:t>Original: English</w:t>
          </w:r>
        </w:p>
        <w:p w:rsidR="001E23D3" w:rsidRPr="001E23D3" w:rsidRDefault="001E23D3" w:rsidP="001E23D3">
          <w:pPr>
            <w:bidi w:val="0"/>
            <w:spacing w:line="240" w:lineRule="exact"/>
            <w:jc w:val="left"/>
          </w:pPr>
        </w:p>
      </w:tc>
    </w:tr>
  </w:tbl>
  <w:p w:rsidR="001E23D3" w:rsidRPr="001E23D3" w:rsidRDefault="001E23D3" w:rsidP="001E23D3">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3537*"/>
    <w:docVar w:name="CreationDt" w:val="08/04/2016 9:03: AM"/>
    <w:docVar w:name="DocCategory" w:val="Doc"/>
    <w:docVar w:name="DocType" w:val="Final"/>
    <w:docVar w:name="DutyStation" w:val="New York"/>
    <w:docVar w:name="FooterJN" w:val="16-03537"/>
    <w:docVar w:name="jobn" w:val="16-03537 (A)"/>
    <w:docVar w:name="jobnDT" w:val="16-03537 (A)   080416"/>
    <w:docVar w:name="jobnDTDT" w:val="16-03537 (A)   080416   080416"/>
    <w:docVar w:name="JobNo" w:val="1603537A"/>
    <w:docVar w:name="LocalDrive" w:val="0"/>
    <w:docVar w:name="OandT" w:val=" "/>
    <w:docVar w:name="PaperSize" w:val="Letter"/>
    <w:docVar w:name="sss1" w:val="CRPD/CSP/2016/2"/>
    <w:docVar w:name="sss2" w:val="-"/>
    <w:docVar w:name="Symbol1" w:val="CRPD/CSP/2016/2"/>
    <w:docVar w:name="Symbol2" w:val="-"/>
  </w:docVars>
  <w:rsids>
    <w:rsidRoot w:val="00E627DD"/>
    <w:rsid w:val="000020C4"/>
    <w:rsid w:val="0000693B"/>
    <w:rsid w:val="000170D3"/>
    <w:rsid w:val="0002744A"/>
    <w:rsid w:val="000311C9"/>
    <w:rsid w:val="00042425"/>
    <w:rsid w:val="00047F6A"/>
    <w:rsid w:val="00051318"/>
    <w:rsid w:val="0005137B"/>
    <w:rsid w:val="00056AA7"/>
    <w:rsid w:val="0006648F"/>
    <w:rsid w:val="00070E09"/>
    <w:rsid w:val="00087310"/>
    <w:rsid w:val="00092439"/>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3D3"/>
    <w:rsid w:val="001E2BD4"/>
    <w:rsid w:val="001E5A5A"/>
    <w:rsid w:val="001E5A7A"/>
    <w:rsid w:val="001F1FCD"/>
    <w:rsid w:val="001F6786"/>
    <w:rsid w:val="0020295C"/>
    <w:rsid w:val="00212285"/>
    <w:rsid w:val="002141DD"/>
    <w:rsid w:val="0022189C"/>
    <w:rsid w:val="00233E2A"/>
    <w:rsid w:val="00236A29"/>
    <w:rsid w:val="00237A82"/>
    <w:rsid w:val="002416C5"/>
    <w:rsid w:val="00246052"/>
    <w:rsid w:val="0025002E"/>
    <w:rsid w:val="0025075C"/>
    <w:rsid w:val="0025236C"/>
    <w:rsid w:val="00252B9B"/>
    <w:rsid w:val="00252D19"/>
    <w:rsid w:val="0025486A"/>
    <w:rsid w:val="002606E6"/>
    <w:rsid w:val="00262A33"/>
    <w:rsid w:val="00266F59"/>
    <w:rsid w:val="00267D73"/>
    <w:rsid w:val="00272B6C"/>
    <w:rsid w:val="00273E91"/>
    <w:rsid w:val="00275EB3"/>
    <w:rsid w:val="0027623A"/>
    <w:rsid w:val="0028685E"/>
    <w:rsid w:val="00290F2F"/>
    <w:rsid w:val="002937DA"/>
    <w:rsid w:val="002971E7"/>
    <w:rsid w:val="002A09C6"/>
    <w:rsid w:val="002A6363"/>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254E"/>
    <w:rsid w:val="00307CFF"/>
    <w:rsid w:val="00310FA5"/>
    <w:rsid w:val="00312162"/>
    <w:rsid w:val="00312525"/>
    <w:rsid w:val="003367E5"/>
    <w:rsid w:val="00345B6F"/>
    <w:rsid w:val="003501D5"/>
    <w:rsid w:val="00351324"/>
    <w:rsid w:val="0036512C"/>
    <w:rsid w:val="00366E5B"/>
    <w:rsid w:val="003676A8"/>
    <w:rsid w:val="00371AC4"/>
    <w:rsid w:val="003769FD"/>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E7BBB"/>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33CC"/>
    <w:rsid w:val="004F59EC"/>
    <w:rsid w:val="004F75CD"/>
    <w:rsid w:val="005003FF"/>
    <w:rsid w:val="005033BB"/>
    <w:rsid w:val="0050659B"/>
    <w:rsid w:val="00520086"/>
    <w:rsid w:val="00521CAC"/>
    <w:rsid w:val="0052301E"/>
    <w:rsid w:val="0052427E"/>
    <w:rsid w:val="005243A0"/>
    <w:rsid w:val="00524A2E"/>
    <w:rsid w:val="005279DE"/>
    <w:rsid w:val="00534772"/>
    <w:rsid w:val="00537FCD"/>
    <w:rsid w:val="00542632"/>
    <w:rsid w:val="00542DC4"/>
    <w:rsid w:val="00545F76"/>
    <w:rsid w:val="00551E87"/>
    <w:rsid w:val="005545BB"/>
    <w:rsid w:val="00556870"/>
    <w:rsid w:val="00556882"/>
    <w:rsid w:val="00561E43"/>
    <w:rsid w:val="0057078E"/>
    <w:rsid w:val="00571C2C"/>
    <w:rsid w:val="00582B0A"/>
    <w:rsid w:val="0058378D"/>
    <w:rsid w:val="005838F5"/>
    <w:rsid w:val="00590CD4"/>
    <w:rsid w:val="00591B45"/>
    <w:rsid w:val="005943EA"/>
    <w:rsid w:val="005956D2"/>
    <w:rsid w:val="00596606"/>
    <w:rsid w:val="005A0F27"/>
    <w:rsid w:val="005A0F73"/>
    <w:rsid w:val="005A2EA3"/>
    <w:rsid w:val="005A45EC"/>
    <w:rsid w:val="005A6DC0"/>
    <w:rsid w:val="005B2267"/>
    <w:rsid w:val="005B4C28"/>
    <w:rsid w:val="005C07BD"/>
    <w:rsid w:val="005C2ECE"/>
    <w:rsid w:val="005C46A7"/>
    <w:rsid w:val="005C7ED8"/>
    <w:rsid w:val="005D5B76"/>
    <w:rsid w:val="005E46BF"/>
    <w:rsid w:val="006007BD"/>
    <w:rsid w:val="00601C5C"/>
    <w:rsid w:val="006046A6"/>
    <w:rsid w:val="00616E82"/>
    <w:rsid w:val="006218A3"/>
    <w:rsid w:val="00631D41"/>
    <w:rsid w:val="006564CE"/>
    <w:rsid w:val="00663F64"/>
    <w:rsid w:val="0068436E"/>
    <w:rsid w:val="00685439"/>
    <w:rsid w:val="006905A9"/>
    <w:rsid w:val="00692B46"/>
    <w:rsid w:val="00692C45"/>
    <w:rsid w:val="00692FDB"/>
    <w:rsid w:val="00693CF9"/>
    <w:rsid w:val="00696B7A"/>
    <w:rsid w:val="006A1E4E"/>
    <w:rsid w:val="006A3A3B"/>
    <w:rsid w:val="006A4832"/>
    <w:rsid w:val="006B4DA8"/>
    <w:rsid w:val="006C1E40"/>
    <w:rsid w:val="006C38EE"/>
    <w:rsid w:val="006D1A46"/>
    <w:rsid w:val="006D3170"/>
    <w:rsid w:val="006E7E51"/>
    <w:rsid w:val="006F4577"/>
    <w:rsid w:val="007006FC"/>
    <w:rsid w:val="00700F06"/>
    <w:rsid w:val="007020AD"/>
    <w:rsid w:val="00714319"/>
    <w:rsid w:val="0071531E"/>
    <w:rsid w:val="0071645B"/>
    <w:rsid w:val="00716E9D"/>
    <w:rsid w:val="00740D62"/>
    <w:rsid w:val="00745846"/>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3AD0"/>
    <w:rsid w:val="007A6DD9"/>
    <w:rsid w:val="007B3DC8"/>
    <w:rsid w:val="007B5729"/>
    <w:rsid w:val="007C7274"/>
    <w:rsid w:val="007D489C"/>
    <w:rsid w:val="007D60E0"/>
    <w:rsid w:val="007D6B8D"/>
    <w:rsid w:val="007E32B9"/>
    <w:rsid w:val="007F4848"/>
    <w:rsid w:val="00802997"/>
    <w:rsid w:val="0081284F"/>
    <w:rsid w:val="00814843"/>
    <w:rsid w:val="008170DE"/>
    <w:rsid w:val="00820B87"/>
    <w:rsid w:val="00830E32"/>
    <w:rsid w:val="00845A14"/>
    <w:rsid w:val="0085331D"/>
    <w:rsid w:val="00853F0F"/>
    <w:rsid w:val="008569BB"/>
    <w:rsid w:val="00861BB3"/>
    <w:rsid w:val="008624AF"/>
    <w:rsid w:val="008700DF"/>
    <w:rsid w:val="00873A11"/>
    <w:rsid w:val="00873AF9"/>
    <w:rsid w:val="00881022"/>
    <w:rsid w:val="0088317F"/>
    <w:rsid w:val="00887330"/>
    <w:rsid w:val="008913BC"/>
    <w:rsid w:val="008A3FCA"/>
    <w:rsid w:val="008D1C04"/>
    <w:rsid w:val="008E739A"/>
    <w:rsid w:val="008F04A0"/>
    <w:rsid w:val="008F3D2C"/>
    <w:rsid w:val="008F419C"/>
    <w:rsid w:val="008F5850"/>
    <w:rsid w:val="008F64A7"/>
    <w:rsid w:val="0090012B"/>
    <w:rsid w:val="0090351F"/>
    <w:rsid w:val="00911CE7"/>
    <w:rsid w:val="009124C9"/>
    <w:rsid w:val="00914215"/>
    <w:rsid w:val="00950EA4"/>
    <w:rsid w:val="009532EE"/>
    <w:rsid w:val="00956E02"/>
    <w:rsid w:val="009570F4"/>
    <w:rsid w:val="00964FA8"/>
    <w:rsid w:val="00970BAD"/>
    <w:rsid w:val="009768D1"/>
    <w:rsid w:val="009807FF"/>
    <w:rsid w:val="00981E99"/>
    <w:rsid w:val="009829B7"/>
    <w:rsid w:val="009927C0"/>
    <w:rsid w:val="00995138"/>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027B2"/>
    <w:rsid w:val="00A11BEB"/>
    <w:rsid w:val="00A140D9"/>
    <w:rsid w:val="00A14A6C"/>
    <w:rsid w:val="00A156A3"/>
    <w:rsid w:val="00A248A9"/>
    <w:rsid w:val="00A25CE3"/>
    <w:rsid w:val="00A376EC"/>
    <w:rsid w:val="00A37C4B"/>
    <w:rsid w:val="00A43192"/>
    <w:rsid w:val="00A47282"/>
    <w:rsid w:val="00A50991"/>
    <w:rsid w:val="00A51F13"/>
    <w:rsid w:val="00A56F63"/>
    <w:rsid w:val="00A6077A"/>
    <w:rsid w:val="00A66F66"/>
    <w:rsid w:val="00A71AE5"/>
    <w:rsid w:val="00A7670F"/>
    <w:rsid w:val="00A777E2"/>
    <w:rsid w:val="00A77F16"/>
    <w:rsid w:val="00A84144"/>
    <w:rsid w:val="00A90909"/>
    <w:rsid w:val="00A92F60"/>
    <w:rsid w:val="00A93FB9"/>
    <w:rsid w:val="00AA0963"/>
    <w:rsid w:val="00AA1E16"/>
    <w:rsid w:val="00AB06A8"/>
    <w:rsid w:val="00AC002C"/>
    <w:rsid w:val="00AC0E42"/>
    <w:rsid w:val="00AC2EE0"/>
    <w:rsid w:val="00AC523A"/>
    <w:rsid w:val="00AC6CDD"/>
    <w:rsid w:val="00AD1A68"/>
    <w:rsid w:val="00AD38D0"/>
    <w:rsid w:val="00AE108C"/>
    <w:rsid w:val="00AE3AF5"/>
    <w:rsid w:val="00AE5AE2"/>
    <w:rsid w:val="00AF1A53"/>
    <w:rsid w:val="00AF43A0"/>
    <w:rsid w:val="00AF7AC7"/>
    <w:rsid w:val="00B05ADC"/>
    <w:rsid w:val="00B17D31"/>
    <w:rsid w:val="00B17F65"/>
    <w:rsid w:val="00B214DC"/>
    <w:rsid w:val="00B272BE"/>
    <w:rsid w:val="00B3471A"/>
    <w:rsid w:val="00B36AFF"/>
    <w:rsid w:val="00B37A36"/>
    <w:rsid w:val="00B424BC"/>
    <w:rsid w:val="00B5784C"/>
    <w:rsid w:val="00B60553"/>
    <w:rsid w:val="00B66B1A"/>
    <w:rsid w:val="00B9542C"/>
    <w:rsid w:val="00B95560"/>
    <w:rsid w:val="00B9745D"/>
    <w:rsid w:val="00BA7FAB"/>
    <w:rsid w:val="00BB6B6E"/>
    <w:rsid w:val="00BC1448"/>
    <w:rsid w:val="00BC2F4C"/>
    <w:rsid w:val="00BC43AD"/>
    <w:rsid w:val="00BC4A05"/>
    <w:rsid w:val="00BC567D"/>
    <w:rsid w:val="00BC6BA6"/>
    <w:rsid w:val="00BE15C1"/>
    <w:rsid w:val="00BF0B15"/>
    <w:rsid w:val="00C12CBB"/>
    <w:rsid w:val="00C16F77"/>
    <w:rsid w:val="00C17412"/>
    <w:rsid w:val="00C23C58"/>
    <w:rsid w:val="00C25A2D"/>
    <w:rsid w:val="00C260F8"/>
    <w:rsid w:val="00C3050C"/>
    <w:rsid w:val="00C32889"/>
    <w:rsid w:val="00C34B99"/>
    <w:rsid w:val="00C359AA"/>
    <w:rsid w:val="00C40CC8"/>
    <w:rsid w:val="00C43FBE"/>
    <w:rsid w:val="00C449C6"/>
    <w:rsid w:val="00C44AA1"/>
    <w:rsid w:val="00C52142"/>
    <w:rsid w:val="00C5374F"/>
    <w:rsid w:val="00C564B0"/>
    <w:rsid w:val="00C61F0B"/>
    <w:rsid w:val="00C61F5D"/>
    <w:rsid w:val="00C6283F"/>
    <w:rsid w:val="00C6582C"/>
    <w:rsid w:val="00C707DE"/>
    <w:rsid w:val="00C71487"/>
    <w:rsid w:val="00C7606D"/>
    <w:rsid w:val="00C814A5"/>
    <w:rsid w:val="00C82932"/>
    <w:rsid w:val="00C84B2B"/>
    <w:rsid w:val="00C855F6"/>
    <w:rsid w:val="00C96573"/>
    <w:rsid w:val="00CA1C73"/>
    <w:rsid w:val="00CA286A"/>
    <w:rsid w:val="00CA4791"/>
    <w:rsid w:val="00CA7205"/>
    <w:rsid w:val="00CC04B5"/>
    <w:rsid w:val="00CD03C6"/>
    <w:rsid w:val="00CD0BB8"/>
    <w:rsid w:val="00CD3849"/>
    <w:rsid w:val="00CE0509"/>
    <w:rsid w:val="00CE2D9C"/>
    <w:rsid w:val="00CF4D77"/>
    <w:rsid w:val="00CF7384"/>
    <w:rsid w:val="00D00717"/>
    <w:rsid w:val="00D0526B"/>
    <w:rsid w:val="00D221F3"/>
    <w:rsid w:val="00D2343D"/>
    <w:rsid w:val="00D30EAE"/>
    <w:rsid w:val="00D318F1"/>
    <w:rsid w:val="00D40B0E"/>
    <w:rsid w:val="00D416C2"/>
    <w:rsid w:val="00D44FE0"/>
    <w:rsid w:val="00D4694F"/>
    <w:rsid w:val="00D5423E"/>
    <w:rsid w:val="00D66413"/>
    <w:rsid w:val="00DA46A0"/>
    <w:rsid w:val="00DA66B7"/>
    <w:rsid w:val="00DB0865"/>
    <w:rsid w:val="00DB0C91"/>
    <w:rsid w:val="00DB7206"/>
    <w:rsid w:val="00DC36C8"/>
    <w:rsid w:val="00DC5C1E"/>
    <w:rsid w:val="00DE5433"/>
    <w:rsid w:val="00DE68A7"/>
    <w:rsid w:val="00DF2A65"/>
    <w:rsid w:val="00DF2AE6"/>
    <w:rsid w:val="00DF5A43"/>
    <w:rsid w:val="00DF5F38"/>
    <w:rsid w:val="00DF6AA9"/>
    <w:rsid w:val="00DF7639"/>
    <w:rsid w:val="00E04526"/>
    <w:rsid w:val="00E07BAA"/>
    <w:rsid w:val="00E1179E"/>
    <w:rsid w:val="00E14180"/>
    <w:rsid w:val="00E21491"/>
    <w:rsid w:val="00E21D3D"/>
    <w:rsid w:val="00E23336"/>
    <w:rsid w:val="00E31661"/>
    <w:rsid w:val="00E32B52"/>
    <w:rsid w:val="00E34040"/>
    <w:rsid w:val="00E35D91"/>
    <w:rsid w:val="00E3652F"/>
    <w:rsid w:val="00E46D06"/>
    <w:rsid w:val="00E47EB8"/>
    <w:rsid w:val="00E52F1E"/>
    <w:rsid w:val="00E627DD"/>
    <w:rsid w:val="00E704FD"/>
    <w:rsid w:val="00E71F5F"/>
    <w:rsid w:val="00E750E1"/>
    <w:rsid w:val="00E7795A"/>
    <w:rsid w:val="00E829A3"/>
    <w:rsid w:val="00E9114A"/>
    <w:rsid w:val="00EA0D5B"/>
    <w:rsid w:val="00EA3948"/>
    <w:rsid w:val="00EA489C"/>
    <w:rsid w:val="00EA7B59"/>
    <w:rsid w:val="00EB0CA7"/>
    <w:rsid w:val="00EB344D"/>
    <w:rsid w:val="00EB4992"/>
    <w:rsid w:val="00EC2B29"/>
    <w:rsid w:val="00ED251D"/>
    <w:rsid w:val="00ED3C2E"/>
    <w:rsid w:val="00EF0947"/>
    <w:rsid w:val="00EF2E52"/>
    <w:rsid w:val="00EF4F85"/>
    <w:rsid w:val="00F031FB"/>
    <w:rsid w:val="00F133A5"/>
    <w:rsid w:val="00F15C1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B6C6C"/>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46052"/>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ItemNormal">
    <w:name w:val="Agenda_Item_Normal"/>
    <w:next w:val="Normal"/>
    <w:qFormat/>
    <w:rsid w:val="00A156A3"/>
    <w:pPr>
      <w:spacing w:line="240" w:lineRule="exact"/>
      <w:jc w:val="lowKashida"/>
    </w:pPr>
    <w:rPr>
      <w:w w:val="103"/>
      <w:kern w:val="14"/>
      <w:szCs w:val="30"/>
    </w:r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HCH">
    <w:name w:val="Title_H_CH"/>
    <w:basedOn w:val="HCh"/>
    <w:next w:val="SingleTxt"/>
    <w:qFormat/>
    <w:rsid w:val="00A156A3"/>
    <w:pPr>
      <w:tabs>
        <w:tab w:val="right" w:pos="1022"/>
        <w:tab w:val="left" w:pos="1267"/>
        <w:tab w:val="left" w:pos="1930"/>
        <w:tab w:val="left" w:pos="2592"/>
        <w:tab w:val="left" w:pos="3254"/>
        <w:tab w:val="left" w:pos="3917"/>
        <w:tab w:val="left" w:pos="4579"/>
        <w:tab w:val="left" w:pos="5242"/>
        <w:tab w:val="left" w:pos="5904"/>
        <w:tab w:val="left" w:pos="6566"/>
      </w:tabs>
      <w:spacing w:after="120" w:line="300" w:lineRule="exact"/>
      <w:ind w:left="1267" w:right="1267" w:hanging="1267"/>
    </w:pPr>
  </w:style>
  <w:style w:type="paragraph" w:customStyle="1" w:styleId="TitleH1">
    <w:name w:val="Title_H1"/>
    <w:basedOn w:val="H1"/>
    <w:next w:val="SingleTxt"/>
    <w:qFormat/>
    <w:rsid w:val="00A156A3"/>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style>
  <w:style w:type="paragraph" w:customStyle="1" w:styleId="TitleH2">
    <w:name w:val="Title_H2"/>
    <w:basedOn w:val="H23"/>
    <w:next w:val="H23"/>
    <w:qFormat/>
    <w:rsid w:val="00A156A3"/>
    <w:pPr>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pPr>
  </w:style>
  <w:style w:type="character" w:styleId="Hyperlink">
    <w:name w:val="Hyperlink"/>
    <w:basedOn w:val="DefaultParagraphFont"/>
    <w:rsid w:val="0025236C"/>
    <w:rPr>
      <w:color w:val="0000FF" w:themeColor="hyperlink"/>
      <w:u w:val="none"/>
    </w:rPr>
  </w:style>
  <w:style w:type="character" w:styleId="FollowedHyperlink">
    <w:name w:val="FollowedHyperlink"/>
    <w:basedOn w:val="DefaultParagraphFont"/>
    <w:rsid w:val="0025236C"/>
    <w:rPr>
      <w:color w:val="0000FF"/>
      <w:u w:val="non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246052"/>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customStyle="1" w:styleId="AgendaTitleH2">
    <w:name w:val="Agenda_Title_H2"/>
    <w:basedOn w:val="TitleH1"/>
    <w:next w:val="Normal"/>
    <w:qFormat/>
    <w:rsid w:val="003367E5"/>
    <w:pPr>
      <w:spacing w:after="0" w:line="240" w:lineRule="exact"/>
      <w:ind w:left="0" w:right="0" w:firstLine="0"/>
      <w:outlineLvl w:val="1"/>
    </w:pPr>
    <w:rPr>
      <w:sz w:val="20"/>
    </w:rPr>
  </w:style>
  <w:style w:type="paragraph" w:styleId="CommentText">
    <w:name w:val="annotation text"/>
    <w:basedOn w:val="Normal"/>
    <w:link w:val="CommentTextChar"/>
    <w:rsid w:val="001E23D3"/>
    <w:pPr>
      <w:spacing w:line="240" w:lineRule="auto"/>
    </w:pPr>
    <w:rPr>
      <w:szCs w:val="20"/>
    </w:rPr>
  </w:style>
  <w:style w:type="character" w:customStyle="1" w:styleId="CommentTextChar">
    <w:name w:val="Comment Text Char"/>
    <w:basedOn w:val="DefaultParagraphFont"/>
    <w:link w:val="CommentText"/>
    <w:rsid w:val="001E23D3"/>
    <w:rPr>
      <w:w w:val="103"/>
      <w:kern w:val="14"/>
    </w:rPr>
  </w:style>
  <w:style w:type="paragraph" w:styleId="CommentSubject">
    <w:name w:val="annotation subject"/>
    <w:basedOn w:val="CommentText"/>
    <w:next w:val="CommentText"/>
    <w:link w:val="CommentSubjectChar"/>
    <w:rsid w:val="001E23D3"/>
    <w:rPr>
      <w:b/>
      <w:bCs/>
    </w:rPr>
  </w:style>
  <w:style w:type="character" w:customStyle="1" w:styleId="CommentSubjectChar">
    <w:name w:val="Comment Subject Char"/>
    <w:basedOn w:val="CommentTextChar"/>
    <w:link w:val="CommentSubject"/>
    <w:rsid w:val="001E23D3"/>
    <w:rPr>
      <w:b/>
      <w:bCs/>
      <w:w w:val="103"/>
      <w:kern w:val="14"/>
    </w:rPr>
  </w:style>
  <w:style w:type="paragraph" w:styleId="Revision">
    <w:name w:val="Revision"/>
    <w:hidden/>
    <w:uiPriority w:val="99"/>
    <w:semiHidden/>
    <w:rsid w:val="006B4DA8"/>
    <w:rPr>
      <w:w w:val="103"/>
      <w:kern w:val="1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46052"/>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ItemNormal">
    <w:name w:val="Agenda_Item_Normal"/>
    <w:next w:val="Normal"/>
    <w:qFormat/>
    <w:rsid w:val="00A156A3"/>
    <w:pPr>
      <w:spacing w:line="240" w:lineRule="exact"/>
      <w:jc w:val="lowKashida"/>
    </w:pPr>
    <w:rPr>
      <w:w w:val="103"/>
      <w:kern w:val="14"/>
      <w:szCs w:val="30"/>
    </w:r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HCH">
    <w:name w:val="Title_H_CH"/>
    <w:basedOn w:val="HCh"/>
    <w:next w:val="SingleTxt"/>
    <w:qFormat/>
    <w:rsid w:val="00A156A3"/>
    <w:pPr>
      <w:tabs>
        <w:tab w:val="right" w:pos="1022"/>
        <w:tab w:val="left" w:pos="1267"/>
        <w:tab w:val="left" w:pos="1930"/>
        <w:tab w:val="left" w:pos="2592"/>
        <w:tab w:val="left" w:pos="3254"/>
        <w:tab w:val="left" w:pos="3917"/>
        <w:tab w:val="left" w:pos="4579"/>
        <w:tab w:val="left" w:pos="5242"/>
        <w:tab w:val="left" w:pos="5904"/>
        <w:tab w:val="left" w:pos="6566"/>
      </w:tabs>
      <w:spacing w:after="120" w:line="300" w:lineRule="exact"/>
      <w:ind w:left="1267" w:right="1267" w:hanging="1267"/>
    </w:pPr>
  </w:style>
  <w:style w:type="paragraph" w:customStyle="1" w:styleId="TitleH1">
    <w:name w:val="Title_H1"/>
    <w:basedOn w:val="H1"/>
    <w:next w:val="SingleTxt"/>
    <w:qFormat/>
    <w:rsid w:val="00A156A3"/>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style>
  <w:style w:type="paragraph" w:customStyle="1" w:styleId="TitleH2">
    <w:name w:val="Title_H2"/>
    <w:basedOn w:val="H23"/>
    <w:next w:val="H23"/>
    <w:qFormat/>
    <w:rsid w:val="00A156A3"/>
    <w:pPr>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pPr>
  </w:style>
  <w:style w:type="character" w:styleId="Hyperlink">
    <w:name w:val="Hyperlink"/>
    <w:basedOn w:val="DefaultParagraphFont"/>
    <w:rsid w:val="0025236C"/>
    <w:rPr>
      <w:color w:val="0000FF" w:themeColor="hyperlink"/>
      <w:u w:val="none"/>
    </w:rPr>
  </w:style>
  <w:style w:type="character" w:styleId="FollowedHyperlink">
    <w:name w:val="FollowedHyperlink"/>
    <w:basedOn w:val="DefaultParagraphFont"/>
    <w:rsid w:val="0025236C"/>
    <w:rPr>
      <w:color w:val="0000FF"/>
      <w:u w:val="non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246052"/>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customStyle="1" w:styleId="AgendaTitleH2">
    <w:name w:val="Agenda_Title_H2"/>
    <w:basedOn w:val="TitleH1"/>
    <w:next w:val="Normal"/>
    <w:qFormat/>
    <w:rsid w:val="003367E5"/>
    <w:pPr>
      <w:spacing w:after="0" w:line="240" w:lineRule="exact"/>
      <w:ind w:left="0" w:right="0" w:firstLine="0"/>
      <w:outlineLvl w:val="1"/>
    </w:pPr>
    <w:rPr>
      <w:sz w:val="20"/>
    </w:rPr>
  </w:style>
  <w:style w:type="paragraph" w:styleId="CommentText">
    <w:name w:val="annotation text"/>
    <w:basedOn w:val="Normal"/>
    <w:link w:val="CommentTextChar"/>
    <w:rsid w:val="001E23D3"/>
    <w:pPr>
      <w:spacing w:line="240" w:lineRule="auto"/>
    </w:pPr>
    <w:rPr>
      <w:szCs w:val="20"/>
    </w:rPr>
  </w:style>
  <w:style w:type="character" w:customStyle="1" w:styleId="CommentTextChar">
    <w:name w:val="Comment Text Char"/>
    <w:basedOn w:val="DefaultParagraphFont"/>
    <w:link w:val="CommentText"/>
    <w:rsid w:val="001E23D3"/>
    <w:rPr>
      <w:w w:val="103"/>
      <w:kern w:val="14"/>
    </w:rPr>
  </w:style>
  <w:style w:type="paragraph" w:styleId="CommentSubject">
    <w:name w:val="annotation subject"/>
    <w:basedOn w:val="CommentText"/>
    <w:next w:val="CommentText"/>
    <w:link w:val="CommentSubjectChar"/>
    <w:rsid w:val="001E23D3"/>
    <w:rPr>
      <w:b/>
      <w:bCs/>
    </w:rPr>
  </w:style>
  <w:style w:type="character" w:customStyle="1" w:styleId="CommentSubjectChar">
    <w:name w:val="Comment Subject Char"/>
    <w:basedOn w:val="CommentTextChar"/>
    <w:link w:val="CommentSubject"/>
    <w:rsid w:val="001E23D3"/>
    <w:rPr>
      <w:b/>
      <w:bCs/>
      <w:w w:val="103"/>
      <w:kern w:val="14"/>
    </w:rPr>
  </w:style>
  <w:style w:type="paragraph" w:styleId="Revision">
    <w:name w:val="Revision"/>
    <w:hidden/>
    <w:uiPriority w:val="99"/>
    <w:semiHidden/>
    <w:rsid w:val="006B4DA8"/>
    <w:rPr>
      <w:w w:val="103"/>
      <w:kern w:val="1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docs.org/ar/A/RES/69/1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docs.org/CRPD/CSP/2016/1"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undocs.org/ar/A/RES/69/142" TargetMode="External"/><Relationship Id="rId1" Type="http://schemas.openxmlformats.org/officeDocument/2006/relationships/hyperlink" Target="http://undocs.org/ar/A/RES/68/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5810-181A-41E3-B4A3-751F7D2C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Normal.dot</vt:lpstr>
    </vt:vector>
  </TitlesOfParts>
  <Company>United Nations</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Mahmoud Moaz</dc:creator>
  <cp:lastModifiedBy>Xinyi Ge</cp:lastModifiedBy>
  <cp:revision>8</cp:revision>
  <cp:lastPrinted>2016-04-08T18:21:00Z</cp:lastPrinted>
  <dcterms:created xsi:type="dcterms:W3CDTF">2016-04-08T15:49:00Z</dcterms:created>
  <dcterms:modified xsi:type="dcterms:W3CDTF">2016-04-11T17:06:00Z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1603537</vt:lpwstr>
  </property>
  <property fmtid="{D5CDD505-2E9C-101B-9397-08002B2CF9AE}" pid="3" name="ODSRefJobNo">
    <vt:lpwstr>1608944A</vt:lpwstr>
  </property>
  <property fmtid="{D5CDD505-2E9C-101B-9397-08002B2CF9AE}" pid="4" name="Symbol1">
    <vt:lpwstr>CRPD/CSP/2016/2</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30 March 2016</vt:lpwstr>
  </property>
  <property fmtid="{D5CDD505-2E9C-101B-9397-08002B2CF9AE}" pid="9" name="Original">
    <vt:lpwstr>English</vt:lpwstr>
  </property>
  <property fmtid="{D5CDD505-2E9C-101B-9397-08002B2CF9AE}" pid="10" name="Release Date">
    <vt:lpwstr>080416</vt:lpwstr>
  </property>
  <property fmtid="{D5CDD505-2E9C-101B-9397-08002B2CF9AE}" pid="11" name="Comment">
    <vt:lpwstr>للإصدار</vt:lpwstr>
  </property>
  <property fmtid="{D5CDD505-2E9C-101B-9397-08002B2CF9AE}" pid="12" name="DraftPages">
    <vt:lpwstr>8</vt:lpwstr>
  </property>
  <property fmtid="{D5CDD505-2E9C-101B-9397-08002B2CF9AE}" pid="13" name="Operator">
    <vt:lpwstr>بيومي</vt:lpwstr>
  </property>
</Properties>
</file>