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C663" w14:textId="4703C3DA" w:rsidR="005C7BB6" w:rsidRPr="006E6851" w:rsidRDefault="005C7BB6" w:rsidP="00A06B1D">
      <w:pPr>
        <w:pStyle w:val="SingleTxt"/>
        <w:ind w:left="720"/>
        <w:jc w:val="center"/>
        <w:rPr>
          <w:b/>
          <w:bCs/>
          <w:sz w:val="24"/>
          <w:szCs w:val="24"/>
        </w:rPr>
      </w:pPr>
      <w:r w:rsidRPr="006E6851">
        <w:rPr>
          <w:b/>
          <w:bCs/>
          <w:sz w:val="24"/>
          <w:szCs w:val="24"/>
        </w:rPr>
        <w:t xml:space="preserve">Template for </w:t>
      </w:r>
      <w:r w:rsidR="00F103DC" w:rsidRPr="006E6851">
        <w:rPr>
          <w:b/>
          <w:bCs/>
          <w:sz w:val="24"/>
          <w:szCs w:val="24"/>
        </w:rPr>
        <w:t xml:space="preserve">the </w:t>
      </w:r>
      <w:r w:rsidR="00A06B1D">
        <w:rPr>
          <w:b/>
          <w:bCs/>
          <w:sz w:val="24"/>
          <w:szCs w:val="24"/>
        </w:rPr>
        <w:t>registration</w:t>
      </w:r>
      <w:r w:rsidRPr="00020627">
        <w:rPr>
          <w:b/>
          <w:bCs/>
          <w:sz w:val="24"/>
          <w:szCs w:val="24"/>
        </w:rPr>
        <w:t xml:space="preserve"> of </w:t>
      </w:r>
      <w:r w:rsidR="00613525" w:rsidRPr="00020627">
        <w:rPr>
          <w:b/>
          <w:bCs/>
          <w:sz w:val="24"/>
          <w:szCs w:val="24"/>
        </w:rPr>
        <w:t>p</w:t>
      </w:r>
      <w:r w:rsidRPr="00020627">
        <w:rPr>
          <w:b/>
          <w:bCs/>
          <w:sz w:val="24"/>
          <w:szCs w:val="24"/>
        </w:rPr>
        <w:t xml:space="preserve">articipants for </w:t>
      </w:r>
      <w:r w:rsidR="001773B3" w:rsidRPr="00020627">
        <w:rPr>
          <w:b/>
          <w:bCs/>
          <w:sz w:val="24"/>
          <w:szCs w:val="24"/>
        </w:rPr>
        <w:t xml:space="preserve">the </w:t>
      </w:r>
      <w:r w:rsidR="00613525" w:rsidRPr="00020627">
        <w:rPr>
          <w:b/>
          <w:bCs/>
          <w:sz w:val="24"/>
          <w:szCs w:val="24"/>
        </w:rPr>
        <w:t>BBNJ i</w:t>
      </w:r>
      <w:r w:rsidRPr="00020627">
        <w:rPr>
          <w:b/>
          <w:bCs/>
          <w:sz w:val="24"/>
          <w:szCs w:val="24"/>
        </w:rPr>
        <w:t xml:space="preserve">ntersessional </w:t>
      </w:r>
      <w:r w:rsidRPr="006E6851">
        <w:rPr>
          <w:b/>
          <w:bCs/>
          <w:sz w:val="24"/>
          <w:szCs w:val="24"/>
        </w:rPr>
        <w:t>work</w:t>
      </w:r>
      <w:r w:rsidR="004B5B5D">
        <w:rPr>
          <w:b/>
          <w:bCs/>
          <w:sz w:val="24"/>
          <w:szCs w:val="24"/>
        </w:rPr>
        <w:t xml:space="preserve"> on MS Team</w:t>
      </w:r>
      <w:bookmarkStart w:id="0" w:name="_GoBack"/>
      <w:bookmarkEnd w:id="0"/>
    </w:p>
    <w:p w14:paraId="1B834237" w14:textId="158FF6B3" w:rsidR="005C7BB6" w:rsidRPr="006E6851" w:rsidRDefault="005C7BB6" w:rsidP="005C7BB6">
      <w:pPr>
        <w:pStyle w:val="SingleTxt"/>
        <w:ind w:left="720"/>
        <w:jc w:val="center"/>
        <w:rPr>
          <w:b/>
          <w:bCs/>
          <w:sz w:val="24"/>
          <w:szCs w:val="24"/>
        </w:rPr>
      </w:pPr>
    </w:p>
    <w:p w14:paraId="579C952C" w14:textId="43E94CEF" w:rsidR="000E60B3" w:rsidRPr="006D6A04" w:rsidRDefault="00EF2964">
      <w:pPr>
        <w:pStyle w:val="SingleTxt"/>
        <w:numPr>
          <w:ilvl w:val="0"/>
          <w:numId w:val="2"/>
        </w:numPr>
        <w:ind w:right="0"/>
        <w:rPr>
          <w:rFonts w:asciiTheme="minorHAnsi" w:hAnsiTheme="minorHAnsi" w:cstheme="minorHAnsi"/>
          <w:sz w:val="22"/>
          <w:szCs w:val="22"/>
        </w:rPr>
      </w:pPr>
      <w:r w:rsidRPr="006D6A04">
        <w:rPr>
          <w:rFonts w:asciiTheme="minorHAnsi" w:hAnsiTheme="minorHAnsi" w:cstheme="minorHAnsi"/>
          <w:sz w:val="22"/>
          <w:szCs w:val="22"/>
        </w:rPr>
        <w:t xml:space="preserve">In accordance with this template, delegations </w:t>
      </w:r>
      <w:r w:rsidR="00ED2EF3" w:rsidRPr="006D6A04">
        <w:rPr>
          <w:rFonts w:asciiTheme="minorHAnsi" w:hAnsiTheme="minorHAnsi" w:cstheme="minorHAnsi"/>
          <w:sz w:val="22"/>
          <w:szCs w:val="22"/>
        </w:rPr>
        <w:t xml:space="preserve">are kindly </w:t>
      </w:r>
      <w:r w:rsidR="000F0BE1" w:rsidRPr="006D6A04">
        <w:rPr>
          <w:rFonts w:asciiTheme="minorHAnsi" w:hAnsiTheme="minorHAnsi" w:cstheme="minorHAnsi"/>
          <w:sz w:val="22"/>
          <w:szCs w:val="22"/>
        </w:rPr>
        <w:t xml:space="preserve">requested to </w:t>
      </w:r>
      <w:r w:rsidR="000E60B3" w:rsidRPr="006D6A04">
        <w:rPr>
          <w:rFonts w:asciiTheme="minorHAnsi" w:hAnsiTheme="minorHAnsi" w:cstheme="minorHAnsi"/>
          <w:sz w:val="22"/>
          <w:szCs w:val="22"/>
        </w:rPr>
        <w:t xml:space="preserve">communicate to the </w:t>
      </w:r>
      <w:r w:rsidR="000E60B3" w:rsidRPr="006D6A04">
        <w:rPr>
          <w:rFonts w:asciiTheme="minorHAnsi" w:hAnsiTheme="minorHAnsi" w:cstheme="minorHAnsi"/>
          <w:color w:val="000000"/>
          <w:sz w:val="22"/>
          <w:szCs w:val="22"/>
        </w:rPr>
        <w:t xml:space="preserve">Secretariat (Division for Ocean Affairs and the Law of the Sea - DOALOS), </w:t>
      </w:r>
      <w:r w:rsidR="000F0BE1" w:rsidRPr="006D6A04">
        <w:rPr>
          <w:rFonts w:asciiTheme="minorHAnsi" w:hAnsiTheme="minorHAnsi" w:cstheme="minorHAnsi"/>
          <w:sz w:val="22"/>
          <w:szCs w:val="22"/>
        </w:rPr>
        <w:t>their representatives in the intersessional work</w:t>
      </w:r>
      <w:r w:rsidR="00321D20" w:rsidRPr="00321D20">
        <w:t xml:space="preserve"> </w:t>
      </w:r>
      <w:r w:rsidR="00321D20" w:rsidRPr="00321D20">
        <w:rPr>
          <w:rFonts w:asciiTheme="minorHAnsi" w:hAnsiTheme="minorHAnsi" w:cstheme="minorHAnsi"/>
          <w:sz w:val="22"/>
          <w:szCs w:val="22"/>
        </w:rPr>
        <w:t>of the Intergovernmental Conference</w:t>
      </w:r>
      <w:r w:rsidR="000F0BE1" w:rsidRPr="00321D20">
        <w:rPr>
          <w:rFonts w:asciiTheme="minorHAnsi" w:hAnsiTheme="minorHAnsi" w:cstheme="minorHAnsi"/>
          <w:sz w:val="22"/>
          <w:szCs w:val="22"/>
        </w:rPr>
        <w:t xml:space="preserve"> on</w:t>
      </w:r>
      <w:r w:rsidR="000F0BE1" w:rsidRPr="006D6A04">
        <w:rPr>
          <w:rFonts w:asciiTheme="minorHAnsi" w:hAnsiTheme="minorHAnsi" w:cstheme="minorHAnsi"/>
          <w:sz w:val="22"/>
          <w:szCs w:val="22"/>
        </w:rPr>
        <w:t xml:space="preserve"> an international legally binding </w:t>
      </w:r>
      <w:r w:rsidR="000E60B3" w:rsidRPr="006D6A04">
        <w:rPr>
          <w:rFonts w:asciiTheme="minorHAnsi" w:hAnsiTheme="minorHAnsi" w:cstheme="minorHAnsi"/>
          <w:sz w:val="22"/>
          <w:szCs w:val="22"/>
        </w:rPr>
        <w:t>instrument</w:t>
      </w:r>
      <w:r w:rsidR="000F0BE1" w:rsidRPr="006D6A04">
        <w:rPr>
          <w:rFonts w:asciiTheme="minorHAnsi" w:hAnsiTheme="minorHAnsi" w:cstheme="minorHAnsi"/>
          <w:sz w:val="22"/>
          <w:szCs w:val="22"/>
        </w:rPr>
        <w:t xml:space="preserve"> under the United Nations Convention on the Law of the Sea on the conservation and sustainable use of marine biological diversity of areas beyond national jurisdiction</w:t>
      </w:r>
      <w:r w:rsidR="006D6A04" w:rsidRPr="006E6851">
        <w:rPr>
          <w:rFonts w:asciiTheme="minorHAnsi" w:hAnsiTheme="minorHAnsi" w:cstheme="minorHAnsi"/>
          <w:sz w:val="22"/>
          <w:szCs w:val="22"/>
        </w:rPr>
        <w:t xml:space="preserve"> (BBNJ intersessional work)</w:t>
      </w:r>
      <w:r w:rsidR="000E60B3" w:rsidRPr="006D6A04">
        <w:rPr>
          <w:rFonts w:asciiTheme="minorHAnsi" w:hAnsiTheme="minorHAnsi" w:cstheme="minorHAnsi"/>
          <w:sz w:val="22"/>
          <w:szCs w:val="22"/>
        </w:rPr>
        <w:t xml:space="preserve">.  Representatives should be identified as follows: </w:t>
      </w:r>
      <w:r w:rsidR="000E60B3" w:rsidRPr="006D6A04">
        <w:rPr>
          <w:rFonts w:asciiTheme="minorHAnsi" w:hAnsiTheme="minorHAnsi" w:cstheme="minorHAnsi"/>
          <w:color w:val="000000"/>
          <w:sz w:val="22"/>
          <w:szCs w:val="22"/>
        </w:rPr>
        <w:t>name(s), title(s) and email address(es)</w:t>
      </w:r>
      <w:r w:rsidRPr="006D6A04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6D6A04" w:rsidRPr="006E6851">
        <w:rPr>
          <w:rFonts w:asciiTheme="minorHAnsi" w:hAnsiTheme="minorHAnsi" w:cstheme="minorHAnsi"/>
          <w:color w:val="000000"/>
          <w:sz w:val="22"/>
          <w:szCs w:val="22"/>
        </w:rPr>
        <w:t xml:space="preserve">At any time of the intersessional work, delegations </w:t>
      </w:r>
      <w:r w:rsidR="004B5B5D">
        <w:rPr>
          <w:rFonts w:asciiTheme="minorHAnsi" w:hAnsiTheme="minorHAnsi" w:cstheme="minorHAnsi"/>
          <w:color w:val="000000"/>
          <w:sz w:val="22"/>
          <w:szCs w:val="22"/>
        </w:rPr>
        <w:t>may</w:t>
      </w:r>
      <w:r w:rsidR="006D6A04" w:rsidRPr="006E6851">
        <w:rPr>
          <w:rFonts w:asciiTheme="minorHAnsi" w:hAnsiTheme="minorHAnsi" w:cstheme="minorHAnsi"/>
          <w:color w:val="000000"/>
          <w:sz w:val="22"/>
          <w:szCs w:val="22"/>
        </w:rPr>
        <w:t xml:space="preserve"> designate additional or new representatives and communicate their email addresses</w:t>
      </w:r>
      <w:r w:rsidR="006D6A04" w:rsidRPr="006E6851">
        <w:rPr>
          <w:rFonts w:asciiTheme="minorHAnsi" w:hAnsiTheme="minorHAnsi" w:cstheme="minorHAnsi"/>
          <w:sz w:val="22"/>
          <w:szCs w:val="22"/>
        </w:rPr>
        <w:t>.</w:t>
      </w:r>
    </w:p>
    <w:p w14:paraId="68985908" w14:textId="72C15841" w:rsidR="006D6A04" w:rsidRPr="00A56D11" w:rsidRDefault="000E60B3">
      <w:pPr>
        <w:pStyle w:val="SingleTxt"/>
        <w:numPr>
          <w:ilvl w:val="0"/>
          <w:numId w:val="2"/>
        </w:numPr>
        <w:ind w:right="0"/>
        <w:rPr>
          <w:rFonts w:asciiTheme="minorHAnsi" w:hAnsiTheme="minorHAnsi" w:cstheme="minorHAnsi"/>
          <w:sz w:val="22"/>
          <w:szCs w:val="22"/>
        </w:rPr>
      </w:pPr>
      <w:r w:rsidRPr="006D6A04">
        <w:rPr>
          <w:rFonts w:asciiTheme="minorHAnsi" w:hAnsiTheme="minorHAnsi" w:cstheme="minorHAnsi"/>
          <w:sz w:val="22"/>
          <w:szCs w:val="22"/>
        </w:rPr>
        <w:t>Delegations are also requested to</w:t>
      </w:r>
      <w:r w:rsidR="000F0BE1" w:rsidRPr="006D6A04">
        <w:rPr>
          <w:rFonts w:asciiTheme="minorHAnsi" w:hAnsiTheme="minorHAnsi" w:cstheme="minorHAnsi"/>
          <w:sz w:val="22"/>
          <w:szCs w:val="22"/>
        </w:rPr>
        <w:t xml:space="preserve"> </w:t>
      </w:r>
      <w:r w:rsidRPr="00A56D11">
        <w:rPr>
          <w:rFonts w:asciiTheme="minorHAnsi" w:hAnsiTheme="minorHAnsi" w:cstheme="minorHAnsi"/>
          <w:sz w:val="22"/>
          <w:szCs w:val="22"/>
          <w:u w:val="single"/>
        </w:rPr>
        <w:t>clearly identify</w:t>
      </w:r>
      <w:r w:rsidRPr="006D6A04">
        <w:rPr>
          <w:rFonts w:asciiTheme="minorHAnsi" w:hAnsiTheme="minorHAnsi" w:cstheme="minorHAnsi"/>
          <w:sz w:val="22"/>
          <w:szCs w:val="22"/>
        </w:rPr>
        <w:t xml:space="preserve"> as per the template below </w:t>
      </w:r>
      <w:r w:rsidR="00ED2EF3" w:rsidRPr="00A56D11">
        <w:rPr>
          <w:rFonts w:asciiTheme="minorHAnsi" w:hAnsiTheme="minorHAnsi" w:cstheme="minorHAnsi"/>
          <w:b/>
          <w:bCs/>
          <w:sz w:val="22"/>
          <w:szCs w:val="22"/>
        </w:rPr>
        <w:t xml:space="preserve">one </w:t>
      </w:r>
      <w:r w:rsidR="001D2CAA" w:rsidRPr="00A56D11">
        <w:rPr>
          <w:rFonts w:asciiTheme="minorHAnsi" w:hAnsiTheme="minorHAnsi" w:cstheme="minorHAnsi"/>
          <w:b/>
          <w:bCs/>
          <w:sz w:val="22"/>
          <w:szCs w:val="22"/>
        </w:rPr>
        <w:t>representative</w:t>
      </w:r>
      <w:r w:rsidR="001D2CAA" w:rsidRPr="006D6A04">
        <w:rPr>
          <w:rFonts w:asciiTheme="minorHAnsi" w:hAnsiTheme="minorHAnsi" w:cstheme="minorHAnsi"/>
          <w:sz w:val="22"/>
          <w:szCs w:val="22"/>
        </w:rPr>
        <w:t xml:space="preserve"> </w:t>
      </w:r>
      <w:r w:rsidR="00ED2EF3" w:rsidRPr="00A56D11">
        <w:rPr>
          <w:rFonts w:asciiTheme="minorHAnsi" w:hAnsiTheme="minorHAnsi" w:cstheme="minorHAnsi"/>
          <w:b/>
          <w:bCs/>
          <w:sz w:val="22"/>
          <w:szCs w:val="22"/>
        </w:rPr>
        <w:t>as “</w:t>
      </w:r>
      <w:r w:rsidR="001D2CAA" w:rsidRPr="00A56D11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focal point</w:t>
      </w:r>
      <w:r w:rsidR="00ED2EF3" w:rsidRPr="00A56D11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6D6A04">
        <w:rPr>
          <w:rFonts w:asciiTheme="minorHAnsi" w:hAnsiTheme="minorHAnsi" w:cstheme="minorHAnsi"/>
          <w:b/>
          <w:bCs/>
          <w:sz w:val="22"/>
          <w:szCs w:val="22"/>
        </w:rPr>
        <w:t xml:space="preserve">under </w:t>
      </w:r>
      <w:r w:rsidR="00ED2EF3" w:rsidRPr="00A56D11">
        <w:rPr>
          <w:rFonts w:asciiTheme="minorHAnsi" w:hAnsiTheme="minorHAnsi" w:cstheme="minorHAnsi"/>
          <w:b/>
          <w:bCs/>
          <w:sz w:val="22"/>
          <w:szCs w:val="22"/>
        </w:rPr>
        <w:t xml:space="preserve">each </w:t>
      </w:r>
      <w:r w:rsidR="00FA78BC" w:rsidRPr="006D6A04">
        <w:rPr>
          <w:rFonts w:asciiTheme="minorHAnsi" w:hAnsiTheme="minorHAnsi" w:cstheme="minorHAnsi"/>
          <w:b/>
          <w:bCs/>
          <w:sz w:val="22"/>
          <w:szCs w:val="22"/>
        </w:rPr>
        <w:t xml:space="preserve">of the five </w:t>
      </w:r>
      <w:r w:rsidR="001D2CAA" w:rsidRPr="00A56D11">
        <w:rPr>
          <w:rFonts w:asciiTheme="minorHAnsi" w:hAnsiTheme="minorHAnsi" w:cstheme="minorHAnsi"/>
          <w:b/>
          <w:bCs/>
          <w:sz w:val="22"/>
          <w:szCs w:val="22"/>
        </w:rPr>
        <w:t>work</w:t>
      </w:r>
      <w:r w:rsidR="000206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2CAA" w:rsidRPr="00A56D11">
        <w:rPr>
          <w:rFonts w:asciiTheme="minorHAnsi" w:hAnsiTheme="minorHAnsi" w:cstheme="minorHAnsi"/>
          <w:b/>
          <w:bCs/>
          <w:sz w:val="22"/>
          <w:szCs w:val="22"/>
        </w:rPr>
        <w:t>stream</w:t>
      </w:r>
      <w:r w:rsidR="000F0BE1" w:rsidRPr="006D6A04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6D6A0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BB2232" w:rsidRPr="00C65D08">
        <w:rPr>
          <w:rFonts w:asciiTheme="minorHAnsi" w:hAnsiTheme="minorHAnsi" w:cstheme="minorHAnsi"/>
          <w:b/>
          <w:bCs/>
          <w:sz w:val="22"/>
          <w:szCs w:val="22"/>
        </w:rPr>
        <w:t xml:space="preserve">who </w:t>
      </w:r>
      <w:r w:rsidR="00F76B0E">
        <w:rPr>
          <w:rFonts w:asciiTheme="minorHAnsi" w:hAnsiTheme="minorHAnsi" w:cstheme="minorHAnsi"/>
          <w:b/>
          <w:bCs/>
          <w:sz w:val="22"/>
          <w:szCs w:val="22"/>
        </w:rPr>
        <w:t xml:space="preserve">is expected to </w:t>
      </w:r>
      <w:r w:rsidR="00ED2EF3" w:rsidRPr="00C65D08">
        <w:rPr>
          <w:rFonts w:asciiTheme="minorHAnsi" w:hAnsiTheme="minorHAnsi" w:cstheme="minorHAnsi"/>
          <w:b/>
          <w:bCs/>
          <w:sz w:val="22"/>
          <w:szCs w:val="22"/>
        </w:rPr>
        <w:t>mak</w:t>
      </w:r>
      <w:r w:rsidR="00BB2232" w:rsidRPr="00C65D08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ED2EF3" w:rsidRPr="00C65D08">
        <w:rPr>
          <w:rFonts w:asciiTheme="minorHAnsi" w:hAnsiTheme="minorHAnsi" w:cstheme="minorHAnsi"/>
          <w:b/>
          <w:bCs/>
          <w:sz w:val="22"/>
          <w:szCs w:val="22"/>
        </w:rPr>
        <w:t xml:space="preserve">posts </w:t>
      </w:r>
      <w:r w:rsidR="001D2CAA" w:rsidRPr="00C65D08">
        <w:rPr>
          <w:rFonts w:asciiTheme="minorHAnsi" w:hAnsiTheme="minorHAnsi" w:cstheme="minorHAnsi"/>
          <w:b/>
          <w:bCs/>
          <w:sz w:val="22"/>
          <w:szCs w:val="22"/>
        </w:rPr>
        <w:t xml:space="preserve">or otherwise intervene </w:t>
      </w:r>
      <w:r w:rsidR="00ED2EF3" w:rsidRPr="00C65D08">
        <w:rPr>
          <w:rFonts w:asciiTheme="minorHAnsi" w:hAnsiTheme="minorHAnsi" w:cstheme="minorHAnsi"/>
          <w:b/>
          <w:bCs/>
          <w:sz w:val="22"/>
          <w:szCs w:val="22"/>
        </w:rPr>
        <w:t>on behalf of that delegation</w:t>
      </w:r>
      <w:r w:rsidR="00BB2232" w:rsidRPr="00C65D08">
        <w:rPr>
          <w:rFonts w:asciiTheme="minorHAnsi" w:hAnsiTheme="minorHAnsi" w:cstheme="minorHAnsi"/>
          <w:b/>
          <w:bCs/>
          <w:sz w:val="22"/>
          <w:szCs w:val="22"/>
        </w:rPr>
        <w:t xml:space="preserve"> for that work stream</w:t>
      </w:r>
      <w:r w:rsidR="00EF2964" w:rsidRPr="006D6A04">
        <w:rPr>
          <w:rFonts w:asciiTheme="minorHAnsi" w:hAnsiTheme="minorHAnsi" w:cstheme="minorHAnsi"/>
          <w:sz w:val="22"/>
          <w:szCs w:val="22"/>
        </w:rPr>
        <w:t xml:space="preserve">.  </w:t>
      </w:r>
      <w:r w:rsidR="006D6A04" w:rsidRPr="00A56D11">
        <w:rPr>
          <w:rFonts w:asciiTheme="minorHAnsi" w:hAnsiTheme="minorHAnsi" w:cstheme="minorHAnsi"/>
          <w:color w:val="000000"/>
          <w:sz w:val="22"/>
          <w:szCs w:val="22"/>
        </w:rPr>
        <w:t>Under each work stream, a delegation may identify a different representative as its focal point.</w:t>
      </w:r>
      <w:r w:rsidR="006D6A04" w:rsidRPr="00A56D11">
        <w:rPr>
          <w:rFonts w:asciiTheme="minorHAnsi" w:hAnsiTheme="minorHAnsi" w:cstheme="minorHAnsi"/>
          <w:sz w:val="22"/>
          <w:szCs w:val="22"/>
        </w:rPr>
        <w:t xml:space="preserve">  </w:t>
      </w:r>
      <w:r w:rsidR="00EF2964" w:rsidRPr="006D6A04">
        <w:rPr>
          <w:rFonts w:asciiTheme="minorHAnsi" w:hAnsiTheme="minorHAnsi" w:cstheme="minorHAnsi"/>
          <w:sz w:val="22"/>
          <w:szCs w:val="22"/>
        </w:rPr>
        <w:t>All other registered representati</w:t>
      </w:r>
      <w:r w:rsidR="00BB2232">
        <w:rPr>
          <w:rFonts w:asciiTheme="minorHAnsi" w:hAnsiTheme="minorHAnsi" w:cstheme="minorHAnsi"/>
          <w:sz w:val="22"/>
          <w:szCs w:val="22"/>
        </w:rPr>
        <w:t xml:space="preserve">ves </w:t>
      </w:r>
      <w:r w:rsidR="00EF2964" w:rsidRPr="006D6A04">
        <w:rPr>
          <w:rFonts w:asciiTheme="minorHAnsi" w:hAnsiTheme="minorHAnsi" w:cstheme="minorHAnsi"/>
          <w:sz w:val="22"/>
          <w:szCs w:val="22"/>
        </w:rPr>
        <w:t xml:space="preserve">will be able to </w:t>
      </w:r>
      <w:r w:rsidR="006D6A04" w:rsidRPr="006D6A04">
        <w:rPr>
          <w:rFonts w:asciiTheme="minorHAnsi" w:hAnsiTheme="minorHAnsi" w:cstheme="minorHAnsi"/>
          <w:sz w:val="22"/>
          <w:szCs w:val="22"/>
        </w:rPr>
        <w:t>observe</w:t>
      </w:r>
      <w:r w:rsidR="00ED2EF3" w:rsidRPr="006D6A04">
        <w:rPr>
          <w:rFonts w:asciiTheme="minorHAnsi" w:hAnsiTheme="minorHAnsi" w:cstheme="minorHAnsi"/>
          <w:color w:val="000000"/>
          <w:sz w:val="22"/>
          <w:szCs w:val="22"/>
        </w:rPr>
        <w:t xml:space="preserve"> discussions </w:t>
      </w:r>
      <w:r w:rsidR="00F76B0E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ED2EF3" w:rsidRPr="006D6A04">
        <w:rPr>
          <w:rFonts w:asciiTheme="minorHAnsi" w:hAnsiTheme="minorHAnsi" w:cstheme="minorHAnsi"/>
          <w:color w:val="000000"/>
          <w:sz w:val="22"/>
          <w:szCs w:val="22"/>
        </w:rPr>
        <w:t xml:space="preserve"> the online discussion forum</w:t>
      </w:r>
      <w:r w:rsidR="001D2CAA" w:rsidRPr="006D6A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2964" w:rsidRPr="006D6A04">
        <w:rPr>
          <w:rFonts w:asciiTheme="minorHAnsi" w:hAnsiTheme="minorHAnsi" w:cstheme="minorHAnsi"/>
          <w:color w:val="000000"/>
          <w:sz w:val="22"/>
          <w:szCs w:val="22"/>
        </w:rPr>
        <w:t xml:space="preserve">or </w:t>
      </w:r>
      <w:r w:rsidR="001D2CAA" w:rsidRPr="006D6A04">
        <w:rPr>
          <w:rFonts w:asciiTheme="minorHAnsi" w:hAnsiTheme="minorHAnsi" w:cstheme="minorHAnsi"/>
          <w:color w:val="000000"/>
          <w:sz w:val="22"/>
          <w:szCs w:val="22"/>
        </w:rPr>
        <w:t xml:space="preserve">other </w:t>
      </w:r>
      <w:r w:rsidR="00F76B0E">
        <w:rPr>
          <w:rFonts w:asciiTheme="minorHAnsi" w:hAnsiTheme="minorHAnsi" w:cstheme="minorHAnsi"/>
          <w:color w:val="000000"/>
          <w:sz w:val="22"/>
          <w:szCs w:val="22"/>
        </w:rPr>
        <w:t>proceedings</w:t>
      </w:r>
      <w:r w:rsidR="001D2CAA" w:rsidRPr="006D6A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2964" w:rsidRPr="006D6A04">
        <w:rPr>
          <w:rFonts w:asciiTheme="minorHAnsi" w:hAnsiTheme="minorHAnsi" w:cstheme="minorHAnsi"/>
          <w:color w:val="000000"/>
          <w:sz w:val="22"/>
          <w:szCs w:val="22"/>
        </w:rPr>
        <w:t xml:space="preserve">as may be used </w:t>
      </w:r>
      <w:r w:rsidR="001D2CAA" w:rsidRPr="006D6A04">
        <w:rPr>
          <w:rFonts w:asciiTheme="minorHAnsi" w:hAnsiTheme="minorHAnsi" w:cstheme="minorHAnsi"/>
          <w:color w:val="000000"/>
          <w:sz w:val="22"/>
          <w:szCs w:val="22"/>
        </w:rPr>
        <w:t>for the intersessional work</w:t>
      </w:r>
      <w:r w:rsidR="00EF2964" w:rsidRPr="006D6A0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3E5B52ED" w14:textId="6A2F21AE" w:rsidR="006D6A04" w:rsidRPr="006D6A04" w:rsidRDefault="00ED2EF3">
      <w:pPr>
        <w:pStyle w:val="SingleTxt"/>
        <w:numPr>
          <w:ilvl w:val="0"/>
          <w:numId w:val="2"/>
        </w:numPr>
        <w:ind w:right="0"/>
        <w:rPr>
          <w:rFonts w:asciiTheme="minorHAnsi" w:hAnsiTheme="minorHAnsi" w:cstheme="minorHAnsi"/>
          <w:sz w:val="22"/>
          <w:szCs w:val="22"/>
        </w:rPr>
      </w:pPr>
      <w:r w:rsidRPr="00BB2232">
        <w:rPr>
          <w:rFonts w:cstheme="minorHAnsi"/>
          <w:sz w:val="22"/>
          <w:szCs w:val="22"/>
        </w:rPr>
        <w:t>The</w:t>
      </w:r>
      <w:r w:rsidRPr="006D6A04">
        <w:rPr>
          <w:rFonts w:cstheme="minorHAnsi"/>
          <w:color w:val="000000"/>
          <w:sz w:val="22"/>
          <w:szCs w:val="22"/>
        </w:rPr>
        <w:t xml:space="preserve"> </w:t>
      </w:r>
      <w:r w:rsidR="001D2CAA" w:rsidRPr="006D6A04">
        <w:rPr>
          <w:rFonts w:cstheme="minorHAnsi"/>
          <w:color w:val="000000"/>
          <w:sz w:val="22"/>
          <w:szCs w:val="22"/>
        </w:rPr>
        <w:t>name(s), title(s) and email address(es)</w:t>
      </w:r>
      <w:r w:rsidRPr="006D6A04">
        <w:rPr>
          <w:rFonts w:cstheme="minorHAnsi"/>
          <w:color w:val="000000"/>
          <w:sz w:val="22"/>
          <w:szCs w:val="22"/>
        </w:rPr>
        <w:t xml:space="preserve"> </w:t>
      </w:r>
      <w:r w:rsidR="00613525" w:rsidRPr="006D6A04">
        <w:rPr>
          <w:rFonts w:cstheme="minorHAnsi"/>
          <w:color w:val="000000"/>
          <w:sz w:val="22"/>
          <w:szCs w:val="22"/>
        </w:rPr>
        <w:t xml:space="preserve">for </w:t>
      </w:r>
      <w:r w:rsidR="000E60B3" w:rsidRPr="006E6851">
        <w:rPr>
          <w:rFonts w:cstheme="minorHAnsi"/>
          <w:color w:val="000000"/>
          <w:sz w:val="22"/>
          <w:szCs w:val="22"/>
        </w:rPr>
        <w:t xml:space="preserve">representatives and focal point(s) for all </w:t>
      </w:r>
      <w:r w:rsidR="00613525" w:rsidRPr="006D6A04">
        <w:rPr>
          <w:rFonts w:cstheme="minorHAnsi"/>
          <w:color w:val="000000"/>
          <w:sz w:val="22"/>
          <w:szCs w:val="22"/>
        </w:rPr>
        <w:t>work</w:t>
      </w:r>
      <w:r w:rsidR="006E6851">
        <w:rPr>
          <w:rFonts w:cstheme="minorHAnsi"/>
          <w:color w:val="000000"/>
          <w:sz w:val="22"/>
          <w:szCs w:val="22"/>
        </w:rPr>
        <w:t xml:space="preserve"> </w:t>
      </w:r>
      <w:r w:rsidR="00613525" w:rsidRPr="006D6A04">
        <w:rPr>
          <w:rFonts w:cstheme="minorHAnsi"/>
          <w:color w:val="000000"/>
          <w:sz w:val="22"/>
          <w:szCs w:val="22"/>
        </w:rPr>
        <w:t xml:space="preserve">streams </w:t>
      </w:r>
      <w:r w:rsidRPr="006D6A04">
        <w:rPr>
          <w:rFonts w:cstheme="minorHAnsi"/>
          <w:color w:val="000000"/>
          <w:sz w:val="22"/>
          <w:szCs w:val="22"/>
        </w:rPr>
        <w:t xml:space="preserve">should be transmitted to </w:t>
      </w:r>
      <w:r w:rsidR="000E60B3" w:rsidRPr="006D6A04">
        <w:rPr>
          <w:rFonts w:cstheme="minorHAnsi"/>
          <w:color w:val="000000"/>
          <w:sz w:val="22"/>
          <w:szCs w:val="22"/>
        </w:rPr>
        <w:t xml:space="preserve">DOALOS, </w:t>
      </w:r>
      <w:r w:rsidRPr="006D6A04">
        <w:rPr>
          <w:rFonts w:cstheme="minorHAnsi"/>
          <w:color w:val="000000"/>
          <w:sz w:val="22"/>
          <w:szCs w:val="22"/>
        </w:rPr>
        <w:t xml:space="preserve">as soon as possible and </w:t>
      </w:r>
      <w:r w:rsidRPr="006E6851">
        <w:rPr>
          <w:rFonts w:cstheme="minorHAnsi"/>
          <w:color w:val="000000"/>
          <w:sz w:val="22"/>
          <w:szCs w:val="22"/>
          <w:u w:val="single"/>
        </w:rPr>
        <w:t xml:space="preserve">no later than </w:t>
      </w:r>
      <w:r w:rsidR="00D058F1" w:rsidRPr="006E6851">
        <w:rPr>
          <w:rFonts w:cstheme="minorHAnsi"/>
          <w:b/>
          <w:bCs/>
          <w:color w:val="000000"/>
          <w:sz w:val="22"/>
          <w:szCs w:val="22"/>
          <w:u w:val="single"/>
        </w:rPr>
        <w:t>7</w:t>
      </w:r>
      <w:r w:rsidR="00613525" w:rsidRPr="006E6851">
        <w:rPr>
          <w:rFonts w:cstheme="minorHAnsi"/>
          <w:b/>
          <w:bCs/>
          <w:color w:val="000000"/>
          <w:sz w:val="22"/>
          <w:szCs w:val="22"/>
          <w:u w:val="single"/>
        </w:rPr>
        <w:t xml:space="preserve"> September 2020</w:t>
      </w:r>
      <w:r w:rsidRPr="006D6A04">
        <w:rPr>
          <w:rFonts w:cstheme="minorHAnsi"/>
          <w:color w:val="000000"/>
          <w:sz w:val="22"/>
          <w:szCs w:val="22"/>
        </w:rPr>
        <w:t>, using the template below.</w:t>
      </w:r>
      <w:r w:rsidR="000246D6" w:rsidRPr="006D6A04">
        <w:rPr>
          <w:rFonts w:cstheme="minorHAnsi"/>
          <w:color w:val="000000"/>
          <w:sz w:val="22"/>
          <w:szCs w:val="22"/>
        </w:rPr>
        <w:t xml:space="preserve"> </w:t>
      </w:r>
    </w:p>
    <w:p w14:paraId="082602E5" w14:textId="3549CD34" w:rsidR="009D0DD3" w:rsidRPr="006E6851" w:rsidRDefault="009D0DD3" w:rsidP="006E6851">
      <w:pPr>
        <w:pStyle w:val="SingleTxt"/>
        <w:ind w:left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521EB4" w14:textId="21841660" w:rsidR="009D0DD3" w:rsidRPr="006E6851" w:rsidRDefault="00EF40DB" w:rsidP="006E6851">
      <w:pPr>
        <w:pStyle w:val="SingleTx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E6851">
        <w:rPr>
          <w:rFonts w:asciiTheme="minorHAnsi" w:hAnsiTheme="minorHAnsi" w:cstheme="minorHAnsi"/>
          <w:b/>
          <w:bCs/>
          <w:sz w:val="22"/>
          <w:szCs w:val="22"/>
        </w:rPr>
        <w:t>Focal points for each w</w:t>
      </w:r>
      <w:r w:rsidR="00A53D7E" w:rsidRPr="006E6851">
        <w:rPr>
          <w:rFonts w:asciiTheme="minorHAnsi" w:hAnsiTheme="minorHAnsi" w:cstheme="minorHAnsi"/>
          <w:b/>
          <w:bCs/>
          <w:sz w:val="22"/>
          <w:szCs w:val="22"/>
        </w:rPr>
        <w:t xml:space="preserve">orkstream </w:t>
      </w:r>
      <w:r w:rsidRPr="006E6851">
        <w:rPr>
          <w:rFonts w:asciiTheme="minorHAnsi" w:hAnsiTheme="minorHAnsi" w:cstheme="minorHAnsi"/>
          <w:b/>
          <w:bCs/>
          <w:sz w:val="22"/>
          <w:szCs w:val="22"/>
        </w:rPr>
        <w:t xml:space="preserve">and other representatives who are designated to participate in </w:t>
      </w:r>
      <w:r w:rsidR="006D6A04" w:rsidRPr="006E685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E6851">
        <w:rPr>
          <w:rFonts w:asciiTheme="minorHAnsi" w:hAnsiTheme="minorHAnsi" w:cstheme="minorHAnsi"/>
          <w:b/>
          <w:bCs/>
          <w:sz w:val="22"/>
          <w:szCs w:val="22"/>
        </w:rPr>
        <w:t>the BBNJ intersessional work</w:t>
      </w:r>
    </w:p>
    <w:p w14:paraId="60AB2725" w14:textId="537B51E9" w:rsidR="00EF40DB" w:rsidRPr="006E6851" w:rsidRDefault="004F61DF" w:rsidP="00ED2EF3">
      <w:pPr>
        <w:pStyle w:val="SingleTxt"/>
        <w:ind w:left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(please add rows as may be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00"/>
        <w:gridCol w:w="2160"/>
        <w:gridCol w:w="1800"/>
        <w:gridCol w:w="1642"/>
        <w:gridCol w:w="1350"/>
        <w:gridCol w:w="1290"/>
      </w:tblGrid>
      <w:tr w:rsidR="00EF40DB" w:rsidRPr="006D6A04" w14:paraId="0839CF46" w14:textId="77777777" w:rsidTr="006E6851">
        <w:tc>
          <w:tcPr>
            <w:tcW w:w="2425" w:type="dxa"/>
          </w:tcPr>
          <w:p w14:paraId="31F4B4B6" w14:textId="76F53329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A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and title</w:t>
            </w:r>
            <w:r w:rsidR="004F61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  <w:r w:rsidRPr="006D6A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the </w:t>
            </w:r>
            <w:r w:rsidR="009A5971" w:rsidRPr="006E68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representative</w:t>
            </w:r>
            <w:r w:rsidR="004F61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1800" w:type="dxa"/>
          </w:tcPr>
          <w:p w14:paraId="13C5774C" w14:textId="3ED5191D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A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8242" w:type="dxa"/>
            <w:gridSpan w:val="5"/>
          </w:tcPr>
          <w:p w14:paraId="4B9402BC" w14:textId="2A658228" w:rsidR="00EF40DB" w:rsidRPr="006D6A04" w:rsidRDefault="00D91C9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68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indicate by inserting “x” </w:t>
            </w:r>
            <w:r w:rsidR="006E68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the box(es) below</w:t>
            </w:r>
            <w:r w:rsidRPr="006E68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E68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EF40DB" w:rsidRPr="006D6A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 the representative concerned is the focal point for one or more of the work</w:t>
            </w:r>
            <w:r w:rsidR="006E68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F40DB" w:rsidRPr="006D6A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streams.</w:t>
            </w:r>
          </w:p>
        </w:tc>
      </w:tr>
      <w:tr w:rsidR="002F5B7C" w:rsidRPr="006D6A04" w14:paraId="35410D28" w14:textId="38A2AE65" w:rsidTr="006E6851">
        <w:trPr>
          <w:trHeight w:val="1376"/>
        </w:trPr>
        <w:tc>
          <w:tcPr>
            <w:tcW w:w="2425" w:type="dxa"/>
          </w:tcPr>
          <w:p w14:paraId="6322086C" w14:textId="6ABC4FF8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BAA09A7" w14:textId="2DBFEA48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3DBAF241" w14:textId="77F508F3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A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Marine genetic resources, including the sharing of benefits</w:t>
            </w:r>
          </w:p>
        </w:tc>
        <w:tc>
          <w:tcPr>
            <w:tcW w:w="1800" w:type="dxa"/>
          </w:tcPr>
          <w:p w14:paraId="1F7BED7B" w14:textId="4D1264E0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A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Measures such as area-based management tools, including marine protected areas</w:t>
            </w:r>
          </w:p>
        </w:tc>
        <w:tc>
          <w:tcPr>
            <w:tcW w:w="1642" w:type="dxa"/>
          </w:tcPr>
          <w:p w14:paraId="3E9F5F2F" w14:textId="5A849919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A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Environmental impact assessments</w:t>
            </w:r>
          </w:p>
        </w:tc>
        <w:tc>
          <w:tcPr>
            <w:tcW w:w="1350" w:type="dxa"/>
          </w:tcPr>
          <w:p w14:paraId="2EC12C41" w14:textId="2FB77EEC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A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Capacity-building and the transfer of marine technology</w:t>
            </w:r>
          </w:p>
        </w:tc>
        <w:tc>
          <w:tcPr>
            <w:tcW w:w="1290" w:type="dxa"/>
          </w:tcPr>
          <w:p w14:paraId="54093706" w14:textId="77447D9B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A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Cross-cutting issues</w:t>
            </w:r>
          </w:p>
        </w:tc>
      </w:tr>
      <w:tr w:rsidR="002F5B7C" w:rsidRPr="006D6A04" w14:paraId="22975D0B" w14:textId="0090D553" w:rsidTr="006E6851">
        <w:tc>
          <w:tcPr>
            <w:tcW w:w="2425" w:type="dxa"/>
          </w:tcPr>
          <w:p w14:paraId="4DDDD045" w14:textId="049711A8" w:rsidR="00EF40DB" w:rsidRPr="006D6A04" w:rsidRDefault="00EF40DB" w:rsidP="006E6851">
            <w:pPr>
              <w:pStyle w:val="SingleTxt"/>
              <w:numPr>
                <w:ilvl w:val="0"/>
                <w:numId w:val="4"/>
              </w:numPr>
              <w:ind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C66921" w14:textId="5576B31A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FB7EA6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0ED6074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</w:tcPr>
          <w:p w14:paraId="175E9206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6FA32BD3" w14:textId="3EEBCDD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</w:tcPr>
          <w:p w14:paraId="4F547318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F5B7C" w:rsidRPr="006D6A04" w14:paraId="5C2ECC13" w14:textId="75D0446C" w:rsidTr="006E6851">
        <w:tc>
          <w:tcPr>
            <w:tcW w:w="2425" w:type="dxa"/>
          </w:tcPr>
          <w:p w14:paraId="77916BAD" w14:textId="77777777" w:rsidR="00EF40DB" w:rsidRPr="006D6A04" w:rsidRDefault="00EF40DB" w:rsidP="006E6851">
            <w:pPr>
              <w:pStyle w:val="SingleTxt"/>
              <w:numPr>
                <w:ilvl w:val="0"/>
                <w:numId w:val="4"/>
              </w:numPr>
              <w:ind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0023582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A4DD2B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75C3578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</w:tcPr>
          <w:p w14:paraId="0DD72133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FB002B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</w:tcPr>
          <w:p w14:paraId="51DDCD55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F5B7C" w:rsidRPr="006D6A04" w14:paraId="69A83265" w14:textId="451B1783" w:rsidTr="006E6851">
        <w:tc>
          <w:tcPr>
            <w:tcW w:w="2425" w:type="dxa"/>
          </w:tcPr>
          <w:p w14:paraId="51C09E24" w14:textId="77777777" w:rsidR="00EF40DB" w:rsidRPr="006D6A04" w:rsidRDefault="00EF40DB" w:rsidP="006E6851">
            <w:pPr>
              <w:pStyle w:val="SingleTxt"/>
              <w:numPr>
                <w:ilvl w:val="0"/>
                <w:numId w:val="4"/>
              </w:numPr>
              <w:ind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D12656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507B0668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BE2851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</w:tcPr>
          <w:p w14:paraId="47E08C5C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7B1C6DA2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</w:tcPr>
          <w:p w14:paraId="3B61CA11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F5B7C" w:rsidRPr="006D6A04" w14:paraId="0EBADDE8" w14:textId="3191C0F9" w:rsidTr="006E6851">
        <w:tc>
          <w:tcPr>
            <w:tcW w:w="2425" w:type="dxa"/>
          </w:tcPr>
          <w:p w14:paraId="6E426D64" w14:textId="77777777" w:rsidR="00EF40DB" w:rsidRPr="006D6A04" w:rsidRDefault="00EF40DB" w:rsidP="006E6851">
            <w:pPr>
              <w:pStyle w:val="SingleTxt"/>
              <w:numPr>
                <w:ilvl w:val="0"/>
                <w:numId w:val="4"/>
              </w:numPr>
              <w:ind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32B2FD37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2ABC5127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0569CE9C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</w:tcPr>
          <w:p w14:paraId="1546607E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7730BECD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</w:tcPr>
          <w:p w14:paraId="3FA4DF48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F5B7C" w:rsidRPr="006D6A04" w14:paraId="6EA53326" w14:textId="3316AA4B" w:rsidTr="006E6851">
        <w:tc>
          <w:tcPr>
            <w:tcW w:w="2425" w:type="dxa"/>
          </w:tcPr>
          <w:p w14:paraId="0B45F4E1" w14:textId="77777777" w:rsidR="00EF40DB" w:rsidRPr="006D6A04" w:rsidRDefault="00EF40DB" w:rsidP="006E6851">
            <w:pPr>
              <w:pStyle w:val="SingleTxt"/>
              <w:numPr>
                <w:ilvl w:val="0"/>
                <w:numId w:val="4"/>
              </w:numPr>
              <w:ind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47C83E86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93F373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6262790F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</w:tcPr>
          <w:p w14:paraId="7277FFC2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48CFFC98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</w:tcPr>
          <w:p w14:paraId="078FD09F" w14:textId="77777777" w:rsidR="00EF40DB" w:rsidRPr="006D6A04" w:rsidRDefault="00EF40DB" w:rsidP="00EF40DB">
            <w:pPr>
              <w:pStyle w:val="SingleTxt"/>
              <w:ind w:left="0" w:righ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9FA74C1" w14:textId="3588C5D0" w:rsidR="00287EAF" w:rsidRPr="006E6851" w:rsidRDefault="004F61DF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Etc. </w:t>
      </w:r>
    </w:p>
    <w:sectPr w:rsidR="00287EAF" w:rsidRPr="006E6851" w:rsidSect="000206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62F"/>
    <w:multiLevelType w:val="hybridMultilevel"/>
    <w:tmpl w:val="03E024C6"/>
    <w:lvl w:ilvl="0" w:tplc="13CCED86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  <w:bCs w:val="0"/>
        <w:i w:val="0"/>
        <w:i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28C6614"/>
    <w:multiLevelType w:val="hybridMultilevel"/>
    <w:tmpl w:val="5ACA73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604BF9"/>
    <w:multiLevelType w:val="hybridMultilevel"/>
    <w:tmpl w:val="B3E2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F35EF"/>
    <w:multiLevelType w:val="hybridMultilevel"/>
    <w:tmpl w:val="7A06D768"/>
    <w:lvl w:ilvl="0" w:tplc="59822F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B6"/>
    <w:rsid w:val="00020627"/>
    <w:rsid w:val="000246D6"/>
    <w:rsid w:val="000E60B3"/>
    <w:rsid w:val="000F0BE1"/>
    <w:rsid w:val="001773B3"/>
    <w:rsid w:val="001D2CAA"/>
    <w:rsid w:val="00287EAF"/>
    <w:rsid w:val="00290755"/>
    <w:rsid w:val="002B0C61"/>
    <w:rsid w:val="002F5576"/>
    <w:rsid w:val="002F5B7C"/>
    <w:rsid w:val="00321D20"/>
    <w:rsid w:val="004B5B5D"/>
    <w:rsid w:val="004F61DF"/>
    <w:rsid w:val="005C7BB6"/>
    <w:rsid w:val="00613525"/>
    <w:rsid w:val="00632AB5"/>
    <w:rsid w:val="006D6A04"/>
    <w:rsid w:val="006E6851"/>
    <w:rsid w:val="00782064"/>
    <w:rsid w:val="007E0C4A"/>
    <w:rsid w:val="00863E68"/>
    <w:rsid w:val="009711D8"/>
    <w:rsid w:val="009A5971"/>
    <w:rsid w:val="009D0DD3"/>
    <w:rsid w:val="00A06B1D"/>
    <w:rsid w:val="00A53D7E"/>
    <w:rsid w:val="00A56D11"/>
    <w:rsid w:val="00A64773"/>
    <w:rsid w:val="00A77447"/>
    <w:rsid w:val="00BB2232"/>
    <w:rsid w:val="00BE067B"/>
    <w:rsid w:val="00C60C4E"/>
    <w:rsid w:val="00C65D08"/>
    <w:rsid w:val="00D058F1"/>
    <w:rsid w:val="00D91C9B"/>
    <w:rsid w:val="00ED2EF3"/>
    <w:rsid w:val="00EF2964"/>
    <w:rsid w:val="00EF40DB"/>
    <w:rsid w:val="00F103DC"/>
    <w:rsid w:val="00F3131A"/>
    <w:rsid w:val="00F76B0E"/>
    <w:rsid w:val="00F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996C"/>
  <w15:chartTrackingRefBased/>
  <w15:docId w15:val="{D98B27CD-F175-C94E-BB09-CCFEE10F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">
    <w:name w:val="__Single Txt"/>
    <w:basedOn w:val="Normal"/>
    <w:rsid w:val="005C7BB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9D0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5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9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9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2EF4-D06D-43DE-870D-ED88D4D9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Yoshinobu Takei</cp:lastModifiedBy>
  <cp:revision>2</cp:revision>
  <dcterms:created xsi:type="dcterms:W3CDTF">2020-09-04T21:34:00Z</dcterms:created>
  <dcterms:modified xsi:type="dcterms:W3CDTF">2020-09-04T21:34:00Z</dcterms:modified>
</cp:coreProperties>
</file>